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F7F9A">
      <w:pPr>
        <w:spacing w:line="600" w:lineRule="exact"/>
        <w:jc w:val="center"/>
        <w:outlineLvl w:val="9"/>
        <w:rPr>
          <w:rFonts w:ascii="方正小标宋简体" w:hAnsi="宋体" w:eastAsia="方正小标宋简体"/>
          <w:color w:val="auto"/>
          <w:sz w:val="72"/>
          <w:szCs w:val="72"/>
          <w:highlight w:val="none"/>
        </w:rPr>
      </w:pPr>
      <w:bookmarkStart w:id="0" w:name="_Toc15378441"/>
      <w:bookmarkStart w:id="1" w:name="_Toc15377193"/>
      <w:bookmarkStart w:id="2" w:name="_Toc15377425"/>
      <w:bookmarkStart w:id="3" w:name="_Toc15396475"/>
      <w:bookmarkStart w:id="4" w:name="_Toc15396597"/>
      <w:bookmarkStart w:id="5" w:name="_Toc15306267"/>
      <w:bookmarkStart w:id="97" w:name="_GoBack"/>
      <w:bookmarkEnd w:id="97"/>
    </w:p>
    <w:p w14:paraId="27A52B69">
      <w:pPr>
        <w:spacing w:line="600" w:lineRule="exact"/>
        <w:jc w:val="center"/>
        <w:outlineLvl w:val="9"/>
        <w:rPr>
          <w:rFonts w:ascii="方正小标宋简体" w:hAnsi="宋体" w:eastAsia="方正小标宋简体"/>
          <w:color w:val="auto"/>
          <w:sz w:val="72"/>
          <w:szCs w:val="72"/>
          <w:highlight w:val="none"/>
        </w:rPr>
      </w:pPr>
    </w:p>
    <w:p w14:paraId="62965A3F">
      <w:pPr>
        <w:spacing w:line="600" w:lineRule="exact"/>
        <w:jc w:val="center"/>
        <w:outlineLvl w:val="9"/>
        <w:rPr>
          <w:rFonts w:ascii="方正小标宋简体" w:hAnsi="宋体" w:eastAsia="方正小标宋简体"/>
          <w:color w:val="auto"/>
          <w:sz w:val="72"/>
          <w:szCs w:val="72"/>
          <w:highlight w:val="none"/>
        </w:rPr>
      </w:pPr>
    </w:p>
    <w:p w14:paraId="659ACA60">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14:paraId="270BD2E9">
      <w:pPr>
        <w:adjustRightInd w:val="0"/>
        <w:snapToGrid w:val="0"/>
        <w:spacing w:line="360" w:lineRule="auto"/>
        <w:jc w:val="center"/>
        <w:outlineLvl w:val="9"/>
        <w:rPr>
          <w:rFonts w:hint="eastAsia" w:ascii="方正小标宋简体" w:hAnsi="宋体" w:eastAsia="方正小标宋简体"/>
          <w:color w:val="000000"/>
          <w:sz w:val="72"/>
          <w:szCs w:val="72"/>
        </w:rPr>
      </w:pPr>
      <w:bookmarkStart w:id="6" w:name="_Toc15377194"/>
      <w:bookmarkStart w:id="7" w:name="_Toc15396598"/>
      <w:bookmarkStart w:id="8" w:name="_Toc15396476"/>
      <w:bookmarkStart w:id="9" w:name="_Toc15378442"/>
      <w:bookmarkStart w:id="10" w:name="_Toc15377426"/>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宋体" w:eastAsia="方正小标宋简体"/>
          <w:color w:val="000000"/>
          <w:sz w:val="72"/>
          <w:szCs w:val="72"/>
        </w:rPr>
        <w:t>遂宁市安居区</w:t>
      </w:r>
    </w:p>
    <w:p w14:paraId="62F3056A">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r>
        <w:rPr>
          <w:rFonts w:hint="eastAsia" w:ascii="方正小标宋简体" w:hAnsi="宋体" w:eastAsia="方正小标宋简体"/>
          <w:color w:val="000000"/>
          <w:sz w:val="72"/>
          <w:szCs w:val="72"/>
        </w:rPr>
        <w:t>统计局</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14:paraId="44CEAC7D">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07E04454">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484B0E96">
      <w:pPr>
        <w:widowControl/>
        <w:jc w:val="center"/>
        <w:rPr>
          <w:rFonts w:ascii="黑体" w:hAnsi="黑体" w:eastAsia="黑体" w:cstheme="minorBidi"/>
          <w:color w:val="auto"/>
          <w:sz w:val="28"/>
          <w:szCs w:val="28"/>
          <w:highlight w:val="none"/>
        </w:rPr>
      </w:pPr>
    </w:p>
    <w:p w14:paraId="17B9EC28">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14:paraId="4530226A">
      <w:pPr>
        <w:rPr>
          <w:color w:val="auto"/>
          <w:highlight w:val="none"/>
        </w:rPr>
      </w:pPr>
    </w:p>
    <w:p w14:paraId="49D9F2AB">
      <w:pPr>
        <w:pStyle w:val="12"/>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_Toc26069 </w:instrText>
      </w:r>
      <w:r>
        <w:fldChar w:fldCharType="separate"/>
      </w:r>
      <w:r>
        <w:rPr>
          <w:rFonts w:hint="eastAsia" w:ascii="黑体" w:hAnsi="黑体" w:eastAsia="黑体"/>
          <w:highlight w:val="none"/>
        </w:rPr>
        <w:t>第一部分</w:t>
      </w:r>
      <w:r>
        <w:rPr>
          <w:rFonts w:hint="eastAsia" w:ascii="黑体" w:hAnsi="黑体" w:eastAsia="黑体"/>
          <w:highlight w:val="none"/>
          <w:lang w:val="en-US" w:eastAsia="zh-CN"/>
        </w:rPr>
        <w:t xml:space="preserve"> </w:t>
      </w:r>
      <w:r>
        <w:rPr>
          <w:rFonts w:hint="eastAsia" w:ascii="黑体" w:hAnsi="黑体" w:eastAsia="黑体"/>
          <w:bCs w:val="0"/>
          <w:highlight w:val="none"/>
        </w:rPr>
        <w:t>部门概况</w:t>
      </w:r>
      <w:r>
        <w:tab/>
      </w:r>
      <w:r>
        <w:fldChar w:fldCharType="begin"/>
      </w:r>
      <w:r>
        <w:instrText xml:space="preserve"> PAGEREF _Toc26069 \h </w:instrText>
      </w:r>
      <w:r>
        <w:fldChar w:fldCharType="separate"/>
      </w:r>
      <w:r>
        <w:t>1</w:t>
      </w:r>
      <w:r>
        <w:fldChar w:fldCharType="end"/>
      </w:r>
      <w:r>
        <w:fldChar w:fldCharType="end"/>
      </w:r>
    </w:p>
    <w:p w14:paraId="32DD444F">
      <w:pPr>
        <w:pStyle w:val="13"/>
        <w:tabs>
          <w:tab w:val="right" w:leader="dot" w:pos="8306"/>
          <w:tab w:val="clear" w:pos="8296"/>
        </w:tabs>
      </w:pPr>
      <w:r>
        <w:fldChar w:fldCharType="begin"/>
      </w:r>
      <w:r>
        <w:instrText xml:space="preserve"> HYPERLINK \l _Toc27932 </w:instrText>
      </w:r>
      <w:r>
        <w:fldChar w:fldCharType="separate"/>
      </w:r>
      <w:r>
        <w:rPr>
          <w:rFonts w:hint="eastAsia" w:ascii="黑体" w:hAnsi="黑体" w:eastAsia="黑体"/>
          <w:highlight w:val="none"/>
          <w:lang w:eastAsia="zh-CN"/>
        </w:rPr>
        <w:t>一、部门职责</w:t>
      </w:r>
      <w:r>
        <w:tab/>
      </w:r>
      <w:r>
        <w:fldChar w:fldCharType="begin"/>
      </w:r>
      <w:r>
        <w:instrText xml:space="preserve"> PAGEREF _Toc27932 \h </w:instrText>
      </w:r>
      <w:r>
        <w:fldChar w:fldCharType="separate"/>
      </w:r>
      <w:r>
        <w:t>1</w:t>
      </w:r>
      <w:r>
        <w:fldChar w:fldCharType="end"/>
      </w:r>
      <w:r>
        <w:fldChar w:fldCharType="end"/>
      </w:r>
    </w:p>
    <w:p w14:paraId="7CA271EA">
      <w:pPr>
        <w:pStyle w:val="13"/>
        <w:tabs>
          <w:tab w:val="right" w:leader="dot" w:pos="8306"/>
          <w:tab w:val="clear" w:pos="8296"/>
        </w:tabs>
      </w:pPr>
      <w:r>
        <w:fldChar w:fldCharType="begin"/>
      </w:r>
      <w:r>
        <w:instrText xml:space="preserve"> HYPERLINK \l _Toc24135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_Toc24135 \h </w:instrText>
      </w:r>
      <w:r>
        <w:fldChar w:fldCharType="separate"/>
      </w:r>
      <w:r>
        <w:t>2</w:t>
      </w:r>
      <w:r>
        <w:fldChar w:fldCharType="end"/>
      </w:r>
      <w:r>
        <w:fldChar w:fldCharType="end"/>
      </w:r>
    </w:p>
    <w:p w14:paraId="7D35AED0">
      <w:pPr>
        <w:pStyle w:val="12"/>
        <w:tabs>
          <w:tab w:val="right" w:leader="dot" w:pos="8306"/>
          <w:tab w:val="clear" w:pos="8296"/>
        </w:tabs>
      </w:pPr>
      <w:r>
        <w:fldChar w:fldCharType="begin"/>
      </w:r>
      <w:r>
        <w:instrText xml:space="preserve"> HYPERLINK \l _Toc22132 </w:instrText>
      </w:r>
      <w:r>
        <w:fldChar w:fldCharType="separate"/>
      </w:r>
      <w:r>
        <w:rPr>
          <w:rFonts w:hint="eastAsia" w:ascii="黑体" w:hAnsi="黑体" w:eastAsia="黑体"/>
          <w:bCs/>
          <w:highlight w:val="none"/>
        </w:rPr>
        <w:t>第二部分</w:t>
      </w:r>
      <w:r>
        <w:rPr>
          <w:rFonts w:hint="eastAsia" w:ascii="黑体" w:hAnsi="黑体" w:eastAsia="黑体"/>
          <w:bCs/>
          <w:highlight w:val="none"/>
          <w:lang w:val="en-US" w:eastAsia="zh-CN"/>
        </w:rPr>
        <w:t>2022年度</w:t>
      </w:r>
      <w:r>
        <w:rPr>
          <w:rFonts w:hint="eastAsia" w:ascii="黑体" w:hAnsi="黑体" w:eastAsia="黑体"/>
          <w:bCs/>
          <w:highlight w:val="none"/>
        </w:rPr>
        <w:t>部门决算情况说明</w:t>
      </w:r>
      <w:r>
        <w:tab/>
      </w:r>
      <w:r>
        <w:fldChar w:fldCharType="begin"/>
      </w:r>
      <w:r>
        <w:instrText xml:space="preserve"> PAGEREF _Toc22132 \h </w:instrText>
      </w:r>
      <w:r>
        <w:fldChar w:fldCharType="separate"/>
      </w:r>
      <w:r>
        <w:t>4</w:t>
      </w:r>
      <w:r>
        <w:fldChar w:fldCharType="end"/>
      </w:r>
      <w:r>
        <w:fldChar w:fldCharType="end"/>
      </w:r>
    </w:p>
    <w:p w14:paraId="304CA7F1">
      <w:pPr>
        <w:pStyle w:val="13"/>
        <w:tabs>
          <w:tab w:val="right" w:leader="dot" w:pos="8306"/>
          <w:tab w:val="clear" w:pos="8296"/>
        </w:tabs>
      </w:pPr>
      <w:r>
        <w:fldChar w:fldCharType="begin"/>
      </w:r>
      <w:r>
        <w:instrText xml:space="preserve"> HYPERLINK \l _Toc10449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_Toc10449 \h </w:instrText>
      </w:r>
      <w:r>
        <w:fldChar w:fldCharType="separate"/>
      </w:r>
      <w:r>
        <w:t>4</w:t>
      </w:r>
      <w:r>
        <w:fldChar w:fldCharType="end"/>
      </w:r>
      <w:r>
        <w:fldChar w:fldCharType="end"/>
      </w:r>
    </w:p>
    <w:p w14:paraId="34409F0F">
      <w:pPr>
        <w:pStyle w:val="13"/>
        <w:tabs>
          <w:tab w:val="right" w:leader="dot" w:pos="8306"/>
          <w:tab w:val="clear" w:pos="8296"/>
        </w:tabs>
      </w:pPr>
      <w:r>
        <w:fldChar w:fldCharType="begin"/>
      </w:r>
      <w:r>
        <w:instrText xml:space="preserve"> HYPERLINK \l _Toc26431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_Toc26431 \h </w:instrText>
      </w:r>
      <w:r>
        <w:fldChar w:fldCharType="separate"/>
      </w:r>
      <w:r>
        <w:t>4</w:t>
      </w:r>
      <w:r>
        <w:fldChar w:fldCharType="end"/>
      </w:r>
      <w:r>
        <w:fldChar w:fldCharType="end"/>
      </w:r>
    </w:p>
    <w:p w14:paraId="5D49CDAE">
      <w:pPr>
        <w:pStyle w:val="13"/>
        <w:tabs>
          <w:tab w:val="right" w:leader="dot" w:pos="8306"/>
          <w:tab w:val="clear" w:pos="8296"/>
        </w:tabs>
      </w:pPr>
      <w:r>
        <w:fldChar w:fldCharType="begin"/>
      </w:r>
      <w:r>
        <w:instrText xml:space="preserve"> HYPERLINK \l _Toc6360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_Toc6360 \h </w:instrText>
      </w:r>
      <w:r>
        <w:fldChar w:fldCharType="separate"/>
      </w:r>
      <w:r>
        <w:t>5</w:t>
      </w:r>
      <w:r>
        <w:fldChar w:fldCharType="end"/>
      </w:r>
      <w:r>
        <w:fldChar w:fldCharType="end"/>
      </w:r>
    </w:p>
    <w:p w14:paraId="1E20E2C6">
      <w:pPr>
        <w:pStyle w:val="13"/>
        <w:tabs>
          <w:tab w:val="right" w:leader="dot" w:pos="8306"/>
          <w:tab w:val="clear" w:pos="8296"/>
        </w:tabs>
      </w:pPr>
      <w:r>
        <w:fldChar w:fldCharType="begin"/>
      </w:r>
      <w:r>
        <w:instrText xml:space="preserve"> HYPERLINK \l _Toc21781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_Toc21781 \h </w:instrText>
      </w:r>
      <w:r>
        <w:fldChar w:fldCharType="separate"/>
      </w:r>
      <w:r>
        <w:t>5</w:t>
      </w:r>
      <w:r>
        <w:fldChar w:fldCharType="end"/>
      </w:r>
      <w:r>
        <w:fldChar w:fldCharType="end"/>
      </w:r>
    </w:p>
    <w:p w14:paraId="294513A4">
      <w:pPr>
        <w:pStyle w:val="13"/>
        <w:tabs>
          <w:tab w:val="right" w:leader="dot" w:pos="8306"/>
          <w:tab w:val="clear" w:pos="8296"/>
        </w:tabs>
      </w:pPr>
      <w:r>
        <w:fldChar w:fldCharType="begin"/>
      </w:r>
      <w:r>
        <w:instrText xml:space="preserve"> HYPERLINK \l _Toc9777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_Toc9777 \h </w:instrText>
      </w:r>
      <w:r>
        <w:fldChar w:fldCharType="separate"/>
      </w:r>
      <w:r>
        <w:t>6</w:t>
      </w:r>
      <w:r>
        <w:fldChar w:fldCharType="end"/>
      </w:r>
      <w:r>
        <w:fldChar w:fldCharType="end"/>
      </w:r>
    </w:p>
    <w:p w14:paraId="129069B1">
      <w:pPr>
        <w:pStyle w:val="13"/>
        <w:tabs>
          <w:tab w:val="right" w:leader="dot" w:pos="8306"/>
          <w:tab w:val="clear" w:pos="8296"/>
        </w:tabs>
      </w:pPr>
      <w:r>
        <w:fldChar w:fldCharType="begin"/>
      </w:r>
      <w:r>
        <w:instrText xml:space="preserve"> HYPERLINK \l _Toc30356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_Toc30356 \h </w:instrText>
      </w:r>
      <w:r>
        <w:fldChar w:fldCharType="separate"/>
      </w:r>
      <w:r>
        <w:t>9</w:t>
      </w:r>
      <w:r>
        <w:fldChar w:fldCharType="end"/>
      </w:r>
      <w:r>
        <w:fldChar w:fldCharType="end"/>
      </w:r>
    </w:p>
    <w:p w14:paraId="62C4182E">
      <w:pPr>
        <w:pStyle w:val="13"/>
        <w:tabs>
          <w:tab w:val="right" w:leader="dot" w:pos="8306"/>
          <w:tab w:val="clear" w:pos="8296"/>
        </w:tabs>
      </w:pPr>
      <w:r>
        <w:fldChar w:fldCharType="begin"/>
      </w:r>
      <w:r>
        <w:instrText xml:space="preserve"> HYPERLINK \l _Toc31418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_Toc31418 \h </w:instrText>
      </w:r>
      <w:r>
        <w:fldChar w:fldCharType="separate"/>
      </w:r>
      <w:r>
        <w:t>9</w:t>
      </w:r>
      <w:r>
        <w:fldChar w:fldCharType="end"/>
      </w:r>
      <w:r>
        <w:fldChar w:fldCharType="end"/>
      </w:r>
    </w:p>
    <w:p w14:paraId="0A1C7CEA">
      <w:pPr>
        <w:pStyle w:val="13"/>
        <w:tabs>
          <w:tab w:val="right" w:leader="dot" w:pos="8306"/>
          <w:tab w:val="clear" w:pos="8296"/>
        </w:tabs>
      </w:pPr>
      <w:r>
        <w:fldChar w:fldCharType="begin"/>
      </w:r>
      <w:r>
        <w:instrText xml:space="preserve"> HYPERLINK \l _Toc3337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_Toc3337 \h </w:instrText>
      </w:r>
      <w:r>
        <w:fldChar w:fldCharType="separate"/>
      </w:r>
      <w:r>
        <w:t>11</w:t>
      </w:r>
      <w:r>
        <w:fldChar w:fldCharType="end"/>
      </w:r>
      <w:r>
        <w:fldChar w:fldCharType="end"/>
      </w:r>
    </w:p>
    <w:p w14:paraId="42DE8C45">
      <w:pPr>
        <w:pStyle w:val="13"/>
        <w:tabs>
          <w:tab w:val="right" w:leader="dot" w:pos="8306"/>
          <w:tab w:val="clear" w:pos="8296"/>
        </w:tabs>
      </w:pPr>
      <w:r>
        <w:fldChar w:fldCharType="begin"/>
      </w:r>
      <w:r>
        <w:instrText xml:space="preserve"> HYPERLINK \l _Toc15820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_Toc15820 \h </w:instrText>
      </w:r>
      <w:r>
        <w:fldChar w:fldCharType="separate"/>
      </w:r>
      <w:r>
        <w:t>11</w:t>
      </w:r>
      <w:r>
        <w:fldChar w:fldCharType="end"/>
      </w:r>
      <w:r>
        <w:fldChar w:fldCharType="end"/>
      </w:r>
    </w:p>
    <w:p w14:paraId="163B4116">
      <w:pPr>
        <w:pStyle w:val="13"/>
        <w:tabs>
          <w:tab w:val="right" w:leader="dot" w:pos="8306"/>
          <w:tab w:val="clear" w:pos="8296"/>
        </w:tabs>
      </w:pPr>
      <w:r>
        <w:fldChar w:fldCharType="begin"/>
      </w:r>
      <w:r>
        <w:instrText xml:space="preserve"> HYPERLINK \l _Toc26788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_Toc26788 \h </w:instrText>
      </w:r>
      <w:r>
        <w:fldChar w:fldCharType="separate"/>
      </w:r>
      <w:r>
        <w:t>11</w:t>
      </w:r>
      <w:r>
        <w:fldChar w:fldCharType="end"/>
      </w:r>
      <w:r>
        <w:fldChar w:fldCharType="end"/>
      </w:r>
    </w:p>
    <w:p w14:paraId="7F354D7C">
      <w:pPr>
        <w:pStyle w:val="12"/>
        <w:tabs>
          <w:tab w:val="right" w:leader="dot" w:pos="8306"/>
          <w:tab w:val="clear" w:pos="8296"/>
        </w:tabs>
      </w:pPr>
      <w:r>
        <w:fldChar w:fldCharType="begin"/>
      </w:r>
      <w:r>
        <w:instrText xml:space="preserve"> HYPERLINK \l _Toc5157 </w:instrText>
      </w:r>
      <w: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_Toc5157 \h </w:instrText>
      </w:r>
      <w:r>
        <w:fldChar w:fldCharType="separate"/>
      </w:r>
      <w:r>
        <w:t>13</w:t>
      </w:r>
      <w:r>
        <w:fldChar w:fldCharType="end"/>
      </w:r>
      <w:r>
        <w:fldChar w:fldCharType="end"/>
      </w:r>
    </w:p>
    <w:p w14:paraId="75107B6D">
      <w:pPr>
        <w:pStyle w:val="12"/>
        <w:tabs>
          <w:tab w:val="right" w:leader="dot" w:pos="8306"/>
          <w:tab w:val="clear" w:pos="8296"/>
        </w:tabs>
      </w:pPr>
      <w:r>
        <w:fldChar w:fldCharType="begin"/>
      </w:r>
      <w:r>
        <w:instrText xml:space="preserve"> HYPERLINK \l _Toc9013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四部分附件</w:t>
      </w:r>
      <w:r>
        <w:tab/>
      </w:r>
      <w:r>
        <w:fldChar w:fldCharType="begin"/>
      </w:r>
      <w:r>
        <w:instrText xml:space="preserve"> PAGEREF _Toc9013 \h </w:instrText>
      </w:r>
      <w:r>
        <w:fldChar w:fldCharType="separate"/>
      </w:r>
      <w:r>
        <w:t>16</w:t>
      </w:r>
      <w:r>
        <w:fldChar w:fldCharType="end"/>
      </w:r>
      <w:r>
        <w:fldChar w:fldCharType="end"/>
      </w:r>
    </w:p>
    <w:p w14:paraId="1352221F">
      <w:pPr>
        <w:pStyle w:val="12"/>
        <w:tabs>
          <w:tab w:val="right" w:leader="dot" w:pos="8306"/>
          <w:tab w:val="clear" w:pos="8296"/>
        </w:tabs>
      </w:pPr>
      <w:r>
        <w:fldChar w:fldCharType="begin"/>
      </w:r>
      <w:r>
        <w:instrText xml:space="preserve"> HYPERLINK \l _Toc16444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五部分附表</w:t>
      </w:r>
      <w:r>
        <w:tab/>
      </w:r>
      <w:r>
        <w:fldChar w:fldCharType="begin"/>
      </w:r>
      <w:r>
        <w:instrText xml:space="preserve"> PAGEREF _Toc16444 \h </w:instrText>
      </w:r>
      <w:r>
        <w:fldChar w:fldCharType="separate"/>
      </w:r>
      <w:r>
        <w:t>38</w:t>
      </w:r>
      <w:r>
        <w:fldChar w:fldCharType="end"/>
      </w:r>
      <w:r>
        <w:fldChar w:fldCharType="end"/>
      </w:r>
    </w:p>
    <w:p w14:paraId="397896AE">
      <w:pPr>
        <w:pStyle w:val="13"/>
        <w:tabs>
          <w:tab w:val="right" w:leader="dot" w:pos="8306"/>
          <w:tab w:val="clear" w:pos="8296"/>
        </w:tabs>
      </w:pPr>
      <w:r>
        <w:fldChar w:fldCharType="begin"/>
      </w:r>
      <w:r>
        <w:instrText xml:space="preserve"> HYPERLINK \l _Toc19891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_Toc19891 \h </w:instrText>
      </w:r>
      <w:r>
        <w:fldChar w:fldCharType="separate"/>
      </w:r>
      <w:r>
        <w:t>38</w:t>
      </w:r>
      <w:r>
        <w:fldChar w:fldCharType="end"/>
      </w:r>
      <w:r>
        <w:fldChar w:fldCharType="end"/>
      </w:r>
    </w:p>
    <w:p w14:paraId="115BFF5D">
      <w:pPr>
        <w:pStyle w:val="13"/>
        <w:tabs>
          <w:tab w:val="right" w:leader="dot" w:pos="8306"/>
          <w:tab w:val="clear" w:pos="8296"/>
        </w:tabs>
      </w:pPr>
      <w:r>
        <w:fldChar w:fldCharType="begin"/>
      </w:r>
      <w:r>
        <w:instrText xml:space="preserve"> HYPERLINK \l _Toc28189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_Toc28189 \h </w:instrText>
      </w:r>
      <w:r>
        <w:fldChar w:fldCharType="separate"/>
      </w:r>
      <w:r>
        <w:t>38</w:t>
      </w:r>
      <w:r>
        <w:fldChar w:fldCharType="end"/>
      </w:r>
      <w:r>
        <w:fldChar w:fldCharType="end"/>
      </w:r>
    </w:p>
    <w:p w14:paraId="29161D59">
      <w:pPr>
        <w:pStyle w:val="13"/>
        <w:tabs>
          <w:tab w:val="right" w:leader="dot" w:pos="8306"/>
          <w:tab w:val="clear" w:pos="8296"/>
        </w:tabs>
      </w:pPr>
      <w:r>
        <w:fldChar w:fldCharType="begin"/>
      </w:r>
      <w:r>
        <w:instrText xml:space="preserve"> HYPERLINK \l _Toc3873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_Toc3873 \h </w:instrText>
      </w:r>
      <w:r>
        <w:fldChar w:fldCharType="separate"/>
      </w:r>
      <w:r>
        <w:t>38</w:t>
      </w:r>
      <w:r>
        <w:fldChar w:fldCharType="end"/>
      </w:r>
      <w:r>
        <w:fldChar w:fldCharType="end"/>
      </w:r>
    </w:p>
    <w:p w14:paraId="0EB73DCB">
      <w:pPr>
        <w:pStyle w:val="13"/>
        <w:tabs>
          <w:tab w:val="right" w:leader="dot" w:pos="8306"/>
          <w:tab w:val="clear" w:pos="8296"/>
        </w:tabs>
      </w:pPr>
      <w:r>
        <w:fldChar w:fldCharType="begin"/>
      </w:r>
      <w:r>
        <w:instrText xml:space="preserve"> HYPERLINK \l _Toc20287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_Toc20287 \h </w:instrText>
      </w:r>
      <w:r>
        <w:fldChar w:fldCharType="separate"/>
      </w:r>
      <w:r>
        <w:t>38</w:t>
      </w:r>
      <w:r>
        <w:fldChar w:fldCharType="end"/>
      </w:r>
      <w:r>
        <w:fldChar w:fldCharType="end"/>
      </w:r>
    </w:p>
    <w:p w14:paraId="0CA74002">
      <w:pPr>
        <w:pStyle w:val="13"/>
        <w:tabs>
          <w:tab w:val="right" w:leader="dot" w:pos="8306"/>
          <w:tab w:val="clear" w:pos="8296"/>
        </w:tabs>
      </w:pPr>
      <w:r>
        <w:fldChar w:fldCharType="begin"/>
      </w:r>
      <w:r>
        <w:instrText xml:space="preserve"> HYPERLINK \l _Toc26517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_Toc26517 \h </w:instrText>
      </w:r>
      <w:r>
        <w:fldChar w:fldCharType="separate"/>
      </w:r>
      <w:r>
        <w:t>38</w:t>
      </w:r>
      <w:r>
        <w:fldChar w:fldCharType="end"/>
      </w:r>
      <w:r>
        <w:fldChar w:fldCharType="end"/>
      </w:r>
    </w:p>
    <w:p w14:paraId="6CCBF500">
      <w:pPr>
        <w:pStyle w:val="13"/>
        <w:tabs>
          <w:tab w:val="right" w:leader="dot" w:pos="8306"/>
          <w:tab w:val="clear" w:pos="8296"/>
        </w:tabs>
      </w:pPr>
      <w:r>
        <w:fldChar w:fldCharType="begin"/>
      </w:r>
      <w:r>
        <w:instrText xml:space="preserve"> HYPERLINK \l _Toc3572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_Toc3572 \h </w:instrText>
      </w:r>
      <w:r>
        <w:fldChar w:fldCharType="separate"/>
      </w:r>
      <w:r>
        <w:t>38</w:t>
      </w:r>
      <w:r>
        <w:fldChar w:fldCharType="end"/>
      </w:r>
      <w:r>
        <w:fldChar w:fldCharType="end"/>
      </w:r>
    </w:p>
    <w:p w14:paraId="4220C212">
      <w:pPr>
        <w:pStyle w:val="13"/>
        <w:tabs>
          <w:tab w:val="right" w:leader="dot" w:pos="8306"/>
          <w:tab w:val="clear" w:pos="8296"/>
        </w:tabs>
      </w:pPr>
      <w:r>
        <w:fldChar w:fldCharType="begin"/>
      </w:r>
      <w:r>
        <w:instrText xml:space="preserve"> HYPERLINK \l _Toc8292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_Toc8292 \h </w:instrText>
      </w:r>
      <w:r>
        <w:fldChar w:fldCharType="separate"/>
      </w:r>
      <w:r>
        <w:t>38</w:t>
      </w:r>
      <w:r>
        <w:fldChar w:fldCharType="end"/>
      </w:r>
      <w:r>
        <w:fldChar w:fldCharType="end"/>
      </w:r>
    </w:p>
    <w:p w14:paraId="2F8C2B2D">
      <w:pPr>
        <w:pStyle w:val="13"/>
        <w:tabs>
          <w:tab w:val="right" w:leader="dot" w:pos="8306"/>
          <w:tab w:val="clear" w:pos="8296"/>
        </w:tabs>
      </w:pPr>
      <w:r>
        <w:fldChar w:fldCharType="begin"/>
      </w:r>
      <w:r>
        <w:instrText xml:space="preserve"> HYPERLINK \l _Toc7517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_Toc7517 \h </w:instrText>
      </w:r>
      <w:r>
        <w:fldChar w:fldCharType="separate"/>
      </w:r>
      <w:r>
        <w:t>38</w:t>
      </w:r>
      <w:r>
        <w:fldChar w:fldCharType="end"/>
      </w:r>
      <w:r>
        <w:fldChar w:fldCharType="end"/>
      </w:r>
    </w:p>
    <w:p w14:paraId="37533605">
      <w:pPr>
        <w:pStyle w:val="13"/>
        <w:tabs>
          <w:tab w:val="right" w:leader="dot" w:pos="8306"/>
          <w:tab w:val="clear" w:pos="8296"/>
        </w:tabs>
      </w:pPr>
      <w:r>
        <w:fldChar w:fldCharType="begin"/>
      </w:r>
      <w:r>
        <w:instrText xml:space="preserve"> HYPERLINK \l _Toc31427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_Toc31427 \h </w:instrText>
      </w:r>
      <w:r>
        <w:fldChar w:fldCharType="separate"/>
      </w:r>
      <w:r>
        <w:t>38</w:t>
      </w:r>
      <w:r>
        <w:fldChar w:fldCharType="end"/>
      </w:r>
      <w:r>
        <w:fldChar w:fldCharType="end"/>
      </w:r>
    </w:p>
    <w:p w14:paraId="64CB1624">
      <w:pPr>
        <w:pStyle w:val="13"/>
        <w:tabs>
          <w:tab w:val="right" w:leader="dot" w:pos="8306"/>
          <w:tab w:val="clear" w:pos="8296"/>
        </w:tabs>
      </w:pPr>
      <w:r>
        <w:fldChar w:fldCharType="begin"/>
      </w:r>
      <w:r>
        <w:instrText xml:space="preserve"> HYPERLINK \l _Toc21008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_Toc21008 \h </w:instrText>
      </w:r>
      <w:r>
        <w:fldChar w:fldCharType="separate"/>
      </w:r>
      <w:r>
        <w:t>38</w:t>
      </w:r>
      <w:r>
        <w:fldChar w:fldCharType="end"/>
      </w:r>
      <w:r>
        <w:fldChar w:fldCharType="end"/>
      </w:r>
    </w:p>
    <w:p w14:paraId="2E6BDF3E">
      <w:pPr>
        <w:pStyle w:val="13"/>
        <w:tabs>
          <w:tab w:val="right" w:leader="dot" w:pos="8306"/>
          <w:tab w:val="clear" w:pos="8296"/>
        </w:tabs>
      </w:pPr>
      <w:r>
        <w:fldChar w:fldCharType="begin"/>
      </w:r>
      <w:r>
        <w:instrText xml:space="preserve"> HYPERLINK \l _Toc30813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_Toc30813 \h </w:instrText>
      </w:r>
      <w:r>
        <w:fldChar w:fldCharType="separate"/>
      </w:r>
      <w:r>
        <w:t>38</w:t>
      </w:r>
      <w:r>
        <w:fldChar w:fldCharType="end"/>
      </w:r>
      <w:r>
        <w:fldChar w:fldCharType="end"/>
      </w:r>
    </w:p>
    <w:p w14:paraId="47521921">
      <w:pPr>
        <w:pStyle w:val="13"/>
        <w:tabs>
          <w:tab w:val="right" w:leader="dot" w:pos="8306"/>
          <w:tab w:val="clear" w:pos="8296"/>
        </w:tabs>
      </w:pPr>
      <w:r>
        <w:fldChar w:fldCharType="begin"/>
      </w:r>
      <w:r>
        <w:instrText xml:space="preserve"> HYPERLINK \l _Toc20683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_Toc20683 \h </w:instrText>
      </w:r>
      <w:r>
        <w:fldChar w:fldCharType="separate"/>
      </w:r>
      <w:r>
        <w:t>38</w:t>
      </w:r>
      <w:r>
        <w:fldChar w:fldCharType="end"/>
      </w:r>
      <w:r>
        <w:fldChar w:fldCharType="end"/>
      </w:r>
    </w:p>
    <w:p w14:paraId="5D1E8BB1">
      <w:pPr>
        <w:pStyle w:val="13"/>
        <w:tabs>
          <w:tab w:val="right" w:leader="dot" w:pos="8306"/>
          <w:tab w:val="clear" w:pos="8296"/>
        </w:tabs>
      </w:pPr>
      <w:r>
        <w:fldChar w:fldCharType="begin"/>
      </w:r>
      <w:r>
        <w:instrText xml:space="preserve"> HYPERLINK \l _Toc13742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_Toc13742 \h </w:instrText>
      </w:r>
      <w:r>
        <w:fldChar w:fldCharType="separate"/>
      </w:r>
      <w:r>
        <w:t>38</w:t>
      </w:r>
      <w:r>
        <w:fldChar w:fldCharType="end"/>
      </w:r>
      <w:r>
        <w:fldChar w:fldCharType="end"/>
      </w:r>
    </w:p>
    <w:p w14:paraId="5508849D">
      <w:pPr>
        <w:pStyle w:val="3"/>
        <w:jc w:val="center"/>
        <w:sectPr>
          <w:footerReference r:id="rId6" w:type="first"/>
          <w:footerReference r:id="rId5" w:type="default"/>
          <w:pgSz w:w="11906" w:h="16838"/>
          <w:pgMar w:top="1440" w:right="1800" w:bottom="1440" w:left="1800" w:header="851" w:footer="992" w:gutter="0"/>
          <w:pgNumType w:fmt="upperRoman" w:start="1"/>
          <w:cols w:space="425" w:num="1"/>
          <w:docGrid w:type="lines" w:linePitch="312" w:charSpace="0"/>
        </w:sectPr>
      </w:pPr>
      <w:r>
        <w:fldChar w:fldCharType="end"/>
      </w:r>
      <w:bookmarkStart w:id="12" w:name="_Toc15377196"/>
      <w:bookmarkStart w:id="13" w:name="_Toc15396599"/>
    </w:p>
    <w:p w14:paraId="7149E961">
      <w:pPr>
        <w:pStyle w:val="3"/>
        <w:jc w:val="center"/>
        <w:rPr>
          <w:rFonts w:ascii="黑体" w:eastAsia="黑体"/>
          <w:color w:val="auto"/>
          <w:sz w:val="32"/>
          <w:szCs w:val="32"/>
          <w:highlight w:val="none"/>
        </w:rPr>
      </w:pPr>
      <w:bookmarkStart w:id="14" w:name="_Toc26069"/>
      <w:r>
        <w:rPr>
          <w:rFonts w:hint="eastAsia" w:ascii="黑体" w:hAnsi="黑体" w:eastAsia="黑体"/>
          <w:b w:val="0"/>
          <w:color w:val="auto"/>
          <w:highlight w:val="none"/>
        </w:rPr>
        <w:t>第一部分</w:t>
      </w:r>
      <w:r>
        <w:rPr>
          <w:rFonts w:hint="eastAsia" w:ascii="黑体" w:hAnsi="黑体" w:eastAsia="黑体"/>
          <w:b w:val="0"/>
          <w:color w:val="auto"/>
          <w:highlight w:val="none"/>
          <w:lang w:val="en-US" w:eastAsia="zh-CN"/>
        </w:rPr>
        <w:t xml:space="preserve"> </w:t>
      </w:r>
      <w:r>
        <w:rPr>
          <w:rStyle w:val="28"/>
          <w:rFonts w:hint="eastAsia" w:ascii="黑体" w:hAnsi="黑体" w:eastAsia="黑体"/>
          <w:b w:val="0"/>
          <w:bCs w:val="0"/>
          <w:color w:val="auto"/>
          <w:highlight w:val="none"/>
        </w:rPr>
        <w:t>部门概况</w:t>
      </w:r>
      <w:bookmarkEnd w:id="12"/>
      <w:bookmarkEnd w:id="13"/>
      <w:bookmarkEnd w:id="14"/>
    </w:p>
    <w:p w14:paraId="6CCB1F6A">
      <w:pPr>
        <w:pStyle w:val="4"/>
        <w:numPr>
          <w:ilvl w:val="0"/>
          <w:numId w:val="0"/>
        </w:numPr>
        <w:ind w:firstLine="640" w:firstLineChars="200"/>
        <w:rPr>
          <w:rFonts w:hint="eastAsia"/>
          <w:lang w:eastAsia="zh-CN"/>
        </w:rPr>
      </w:pPr>
      <w:bookmarkStart w:id="15" w:name="_Toc27932"/>
      <w:r>
        <w:rPr>
          <w:rFonts w:hint="eastAsia" w:ascii="黑体" w:hAnsi="黑体" w:eastAsia="黑体"/>
          <w:b w:val="0"/>
          <w:color w:val="auto"/>
          <w:highlight w:val="none"/>
          <w:lang w:eastAsia="zh-CN"/>
        </w:rPr>
        <w:t>一、部门职责</w:t>
      </w:r>
      <w:bookmarkEnd w:id="15"/>
    </w:p>
    <w:p w14:paraId="772284B6">
      <w:pPr>
        <w:pStyle w:val="6"/>
        <w:adjustRightInd w:val="0"/>
        <w:snapToGrid w:val="0"/>
        <w:spacing w:before="93" w:line="600" w:lineRule="exact"/>
        <w:ind w:firstLine="672" w:firstLineChars="210"/>
        <w:outlineLvl w:val="9"/>
        <w:rPr>
          <w:rFonts w:hint="eastAsia" w:ascii="仿宋" w:hAnsi="仿宋" w:eastAsia="仿宋"/>
          <w:bCs/>
          <w:color w:val="000000"/>
          <w:sz w:val="32"/>
          <w:szCs w:val="32"/>
        </w:rPr>
      </w:pPr>
      <w:r>
        <w:rPr>
          <w:rFonts w:hint="eastAsia" w:ascii="仿宋" w:hAnsi="仿宋" w:eastAsia="仿宋"/>
          <w:bCs/>
          <w:color w:val="000000"/>
          <w:sz w:val="32"/>
          <w:szCs w:val="32"/>
        </w:rPr>
        <w:t>1.贯彻执行国家统计工作的方针、政策和法律、法规以及统计制度、统计标准，起草全区统计规章、统计规划；拟定或与有关部门制订全区统计标准，审定部门统计标准；管理全区统计调查项目，审批各部门的统计调查计划、调查方案；承担组织领导和协调全区统计工作，监督检查统计法律、法规的实施，确保统计数据真实、准确、及时。</w:t>
      </w:r>
    </w:p>
    <w:p w14:paraId="79A0BB4E">
      <w:pPr>
        <w:pStyle w:val="6"/>
        <w:adjustRightInd w:val="0"/>
        <w:snapToGrid w:val="0"/>
        <w:spacing w:before="93" w:line="600" w:lineRule="exact"/>
        <w:ind w:firstLine="672" w:firstLineChars="210"/>
        <w:outlineLvl w:val="9"/>
        <w:rPr>
          <w:rFonts w:hint="eastAsia" w:ascii="仿宋" w:hAnsi="仿宋" w:eastAsia="仿宋"/>
          <w:bCs/>
          <w:color w:val="000000"/>
          <w:sz w:val="32"/>
          <w:szCs w:val="32"/>
        </w:rPr>
      </w:pPr>
      <w:r>
        <w:rPr>
          <w:rFonts w:hint="eastAsia" w:ascii="仿宋" w:hAnsi="仿宋" w:eastAsia="仿宋"/>
          <w:bCs/>
          <w:color w:val="000000"/>
          <w:sz w:val="32"/>
          <w:szCs w:val="32"/>
        </w:rPr>
        <w:t>2.建立健全全区国民经济核算体系，组织实施全区国民经济核算制度，核算全区地区生产总值，整理提供国民经济核算资料，开展分析研究，指导、监督乡镇国民经济核算工作；建立和管理全区统计报表，全面完成国家、省、市的各项任务。</w:t>
      </w:r>
    </w:p>
    <w:p w14:paraId="0E295DA3">
      <w:pPr>
        <w:pStyle w:val="6"/>
        <w:adjustRightInd w:val="0"/>
        <w:snapToGrid w:val="0"/>
        <w:spacing w:before="93" w:line="600" w:lineRule="exact"/>
        <w:ind w:firstLine="672" w:firstLineChars="210"/>
        <w:outlineLvl w:val="9"/>
        <w:rPr>
          <w:rFonts w:hint="eastAsia" w:ascii="仿宋" w:hAnsi="仿宋" w:eastAsia="仿宋"/>
          <w:bCs/>
          <w:color w:val="000000"/>
          <w:sz w:val="32"/>
          <w:szCs w:val="32"/>
        </w:rPr>
      </w:pPr>
      <w:r>
        <w:rPr>
          <w:rFonts w:hint="eastAsia" w:ascii="仿宋" w:hAnsi="仿宋" w:eastAsia="仿宋"/>
          <w:bCs/>
          <w:color w:val="000000"/>
          <w:sz w:val="32"/>
          <w:szCs w:val="32"/>
        </w:rPr>
        <w:t>3.组织实施农林牧渔业、工业、建筑业、批发和零售业、住宿和餐饮业、房地产业等国民经济行业以及能源、投资、人口、城乡收入、价格、科技、社会发展基本情况</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环境基本状况等领域的统计调查，建立全区经济社会发展监测评价制度及指标体系，对重点区域和重要领域实施监测评价，牵头综合整理和提供资源、房屋、旅游、教育、卫生、邮电、交通运输、社会保障、公用事业、对外贸易、对外经济等全区基本统计资料。</w:t>
      </w:r>
    </w:p>
    <w:p w14:paraId="76404AB9">
      <w:pPr>
        <w:pStyle w:val="6"/>
        <w:adjustRightInd w:val="0"/>
        <w:snapToGrid w:val="0"/>
        <w:spacing w:before="93" w:line="600" w:lineRule="exact"/>
        <w:ind w:firstLine="672" w:firstLineChars="210"/>
        <w:outlineLvl w:val="9"/>
        <w:rPr>
          <w:rFonts w:hint="eastAsia" w:ascii="仿宋" w:hAnsi="仿宋" w:eastAsia="仿宋"/>
          <w:bCs/>
          <w:color w:val="000000"/>
          <w:sz w:val="32"/>
          <w:szCs w:val="32"/>
        </w:rPr>
      </w:pPr>
      <w:r>
        <w:rPr>
          <w:rFonts w:hint="eastAsia" w:ascii="仿宋" w:hAnsi="仿宋" w:eastAsia="仿宋"/>
          <w:bCs/>
          <w:color w:val="000000"/>
          <w:sz w:val="32"/>
          <w:szCs w:val="32"/>
        </w:rPr>
        <w:t>4.组织实施人口、经济、农业等普查和重大国情国力专项调查，组织实施全区投入产出调查、组织实施粮食、生猪等农产品检测专项调查和社情民意调查。</w:t>
      </w:r>
    </w:p>
    <w:p w14:paraId="46135F79">
      <w:pPr>
        <w:pStyle w:val="6"/>
        <w:adjustRightInd w:val="0"/>
        <w:snapToGrid w:val="0"/>
        <w:spacing w:before="93" w:line="600" w:lineRule="exact"/>
        <w:ind w:firstLine="672" w:firstLineChars="210"/>
        <w:outlineLvl w:val="9"/>
        <w:rPr>
          <w:rFonts w:hint="eastAsia" w:ascii="仿宋" w:hAnsi="仿宋" w:eastAsia="仿宋"/>
          <w:bCs/>
          <w:color w:val="000000"/>
          <w:sz w:val="32"/>
          <w:szCs w:val="32"/>
        </w:rPr>
      </w:pPr>
      <w:r>
        <w:rPr>
          <w:rFonts w:hint="eastAsia" w:ascii="仿宋" w:hAnsi="仿宋" w:eastAsia="仿宋"/>
          <w:bCs/>
          <w:color w:val="000000"/>
          <w:sz w:val="32"/>
          <w:szCs w:val="32"/>
        </w:rPr>
        <w:t>5.建立健全全区统计数据质量审核、监控和评估制度，组织指导统计基层基础建设。</w:t>
      </w:r>
    </w:p>
    <w:p w14:paraId="32564BF5">
      <w:pPr>
        <w:pStyle w:val="6"/>
        <w:adjustRightInd w:val="0"/>
        <w:snapToGrid w:val="0"/>
        <w:spacing w:before="93" w:line="600" w:lineRule="exact"/>
        <w:ind w:firstLine="672" w:firstLineChars="210"/>
        <w:outlineLvl w:val="9"/>
        <w:rPr>
          <w:rFonts w:hint="eastAsia" w:ascii="仿宋" w:hAnsi="仿宋" w:eastAsia="仿宋"/>
          <w:bCs/>
          <w:color w:val="000000"/>
          <w:sz w:val="32"/>
          <w:szCs w:val="32"/>
        </w:rPr>
      </w:pPr>
      <w:r>
        <w:rPr>
          <w:rFonts w:hint="eastAsia" w:ascii="仿宋" w:hAnsi="仿宋" w:eastAsia="仿宋"/>
          <w:bCs/>
          <w:color w:val="000000"/>
          <w:sz w:val="32"/>
          <w:szCs w:val="32"/>
        </w:rPr>
        <w:t>6.对国民经济、社会发展、科技进步和资源环境等情况进行统计分析和预测，定期发布全区经济社会发展情况的统计信息，向区委、区政府及有关部门提供统计咨询建议，向社会公众提供统计信息服务。</w:t>
      </w:r>
    </w:p>
    <w:p w14:paraId="63F2027F">
      <w:pPr>
        <w:pStyle w:val="6"/>
        <w:adjustRightInd w:val="0"/>
        <w:snapToGrid w:val="0"/>
        <w:spacing w:before="93" w:line="600" w:lineRule="exact"/>
        <w:ind w:firstLine="672" w:firstLineChars="210"/>
        <w:outlineLvl w:val="9"/>
        <w:rPr>
          <w:rFonts w:hint="eastAsia" w:ascii="仿宋" w:hAnsi="仿宋" w:eastAsia="仿宋"/>
          <w:bCs/>
          <w:color w:val="000000"/>
          <w:sz w:val="32"/>
          <w:szCs w:val="32"/>
        </w:rPr>
      </w:pPr>
      <w:r>
        <w:rPr>
          <w:rFonts w:hint="eastAsia" w:ascii="仿宋" w:hAnsi="仿宋" w:eastAsia="仿宋"/>
          <w:bCs/>
          <w:color w:val="000000"/>
          <w:sz w:val="32"/>
          <w:szCs w:val="32"/>
        </w:rPr>
        <w:t>7.会同有关部门组织管理全区统计专业资格考试、职务评聘和从业资格认定工作；指导全区统计专业人才队伍建设、统计专业技术人员岗位培训和继续教育工作、开展统计交流与合作；组织和指导全区统计科研、统计宣传、统计咨询服务和统计书刊的出版发行工作。</w:t>
      </w:r>
    </w:p>
    <w:p w14:paraId="57576848">
      <w:pPr>
        <w:pStyle w:val="6"/>
        <w:adjustRightInd w:val="0"/>
        <w:snapToGrid w:val="0"/>
        <w:spacing w:before="93" w:line="600" w:lineRule="exact"/>
        <w:ind w:firstLine="672" w:firstLineChars="210"/>
        <w:outlineLvl w:val="9"/>
        <w:rPr>
          <w:rFonts w:hint="eastAsia" w:ascii="仿宋" w:hAnsi="仿宋" w:eastAsia="仿宋"/>
          <w:bCs/>
          <w:color w:val="000000"/>
          <w:sz w:val="32"/>
          <w:szCs w:val="32"/>
        </w:rPr>
      </w:pPr>
      <w:r>
        <w:rPr>
          <w:rFonts w:hint="eastAsia" w:ascii="仿宋" w:hAnsi="仿宋" w:eastAsia="仿宋"/>
          <w:bCs/>
          <w:color w:val="000000"/>
          <w:sz w:val="32"/>
          <w:szCs w:val="32"/>
        </w:rPr>
        <w:t>8.建立健全和管理全区统计信息自动化系统和统计数据库体系；负责全区统计信息网络的信息提供和协调管理。</w:t>
      </w:r>
    </w:p>
    <w:p w14:paraId="5D4ED9C3">
      <w:pPr>
        <w:pStyle w:val="6"/>
        <w:adjustRightInd w:val="0"/>
        <w:snapToGrid w:val="0"/>
        <w:spacing w:before="93" w:line="600" w:lineRule="exact"/>
        <w:ind w:firstLine="672" w:firstLineChars="210"/>
        <w:outlineLvl w:val="9"/>
        <w:rPr>
          <w:rFonts w:hint="eastAsia" w:ascii="仿宋" w:hAnsi="仿宋" w:eastAsia="仿宋"/>
          <w:bCs/>
          <w:color w:val="000000"/>
          <w:sz w:val="32"/>
          <w:szCs w:val="32"/>
        </w:rPr>
      </w:pPr>
      <w:r>
        <w:rPr>
          <w:rFonts w:hint="eastAsia" w:ascii="仿宋" w:hAnsi="仿宋" w:eastAsia="仿宋"/>
          <w:bCs/>
          <w:color w:val="000000"/>
          <w:sz w:val="32"/>
          <w:szCs w:val="32"/>
        </w:rPr>
        <w:t>9.承担区政府公布的有关行政审批事项。</w:t>
      </w:r>
    </w:p>
    <w:p w14:paraId="2E805E18">
      <w:pPr>
        <w:pStyle w:val="6"/>
        <w:adjustRightInd w:val="0"/>
        <w:snapToGrid w:val="0"/>
        <w:spacing w:before="93" w:line="600" w:lineRule="exact"/>
        <w:ind w:firstLine="672" w:firstLineChars="210"/>
        <w:outlineLvl w:val="9"/>
        <w:rPr>
          <w:rFonts w:hint="eastAsia"/>
          <w:lang w:eastAsia="zh-CN"/>
        </w:rPr>
      </w:pPr>
      <w:r>
        <w:rPr>
          <w:rFonts w:hint="eastAsia" w:ascii="仿宋" w:hAnsi="仿宋" w:eastAsia="仿宋"/>
          <w:bCs/>
          <w:color w:val="000000"/>
          <w:sz w:val="32"/>
          <w:szCs w:val="32"/>
        </w:rPr>
        <w:t>10.承办市统计局和区政府交办的其他事项。（职能参照省政府批准的三定方案）</w:t>
      </w:r>
    </w:p>
    <w:p w14:paraId="0694C22B">
      <w:pPr>
        <w:pStyle w:val="4"/>
        <w:ind w:firstLine="640" w:firstLineChars="200"/>
        <w:rPr>
          <w:rStyle w:val="29"/>
          <w:b w:val="0"/>
          <w:bCs w:val="0"/>
          <w:color w:val="auto"/>
          <w:highlight w:val="none"/>
        </w:rPr>
      </w:pPr>
      <w:bookmarkStart w:id="16" w:name="_Toc15396601"/>
      <w:bookmarkStart w:id="17" w:name="_Toc24135"/>
      <w:bookmarkStart w:id="18"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29"/>
          <w:rFonts w:hint="eastAsia" w:ascii="黑体" w:hAnsi="黑体" w:eastAsia="黑体"/>
          <w:b w:val="0"/>
          <w:bCs w:val="0"/>
          <w:color w:val="auto"/>
          <w:highlight w:val="none"/>
        </w:rPr>
        <w:t>构设置</w:t>
      </w:r>
      <w:bookmarkEnd w:id="16"/>
      <w:bookmarkEnd w:id="17"/>
      <w:bookmarkEnd w:id="18"/>
    </w:p>
    <w:p w14:paraId="2E3BF099">
      <w:pPr>
        <w:ind w:firstLine="800" w:firstLineChars="250"/>
        <w:rPr>
          <w:rFonts w:hint="eastAsia" w:ascii="仿宋" w:hAnsi="仿宋" w:eastAsia="仿宋"/>
          <w:sz w:val="32"/>
          <w:szCs w:val="32"/>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r>
        <w:rPr>
          <w:rFonts w:hint="eastAsia" w:ascii="仿宋" w:hAnsi="仿宋" w:eastAsia="仿宋"/>
          <w:sz w:val="32"/>
          <w:szCs w:val="32"/>
        </w:rPr>
        <w:t>遂宁市安居区统计局为独立核算单位，下属二级单位0</w:t>
      </w:r>
    </w:p>
    <w:p w14:paraId="4A6F8377">
      <w:pPr>
        <w:ind w:firstLine="800" w:firstLineChars="250"/>
        <w:rPr>
          <w:rFonts w:hint="eastAsia" w:ascii="仿宋" w:hAnsi="仿宋" w:eastAsia="仿宋"/>
          <w:sz w:val="32"/>
          <w:szCs w:val="32"/>
        </w:rPr>
      </w:pPr>
      <w:r>
        <w:rPr>
          <w:rFonts w:hint="eastAsia" w:ascii="仿宋" w:hAnsi="仿宋" w:eastAsia="仿宋"/>
          <w:sz w:val="32"/>
          <w:szCs w:val="32"/>
        </w:rPr>
        <w:t>个。</w:t>
      </w:r>
    </w:p>
    <w:p w14:paraId="5F577286">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5F80CBC0">
      <w:pPr>
        <w:pStyle w:val="3"/>
        <w:ind w:right="440"/>
        <w:jc w:val="center"/>
        <w:rPr>
          <w:rStyle w:val="28"/>
          <w:rFonts w:ascii="黑体" w:hAnsi="黑体" w:eastAsia="黑体"/>
          <w:b w:val="0"/>
          <w:bCs/>
          <w:color w:val="auto"/>
          <w:highlight w:val="none"/>
        </w:rPr>
      </w:pPr>
      <w:bookmarkStart w:id="19" w:name="_Toc15396602"/>
      <w:bookmarkStart w:id="20" w:name="_Toc15377204"/>
      <w:bookmarkStart w:id="21" w:name="_Toc22132"/>
      <w:r>
        <w:rPr>
          <w:rFonts w:hint="eastAsia" w:ascii="黑体" w:hAnsi="黑体" w:eastAsia="黑体"/>
          <w:b w:val="0"/>
          <w:bCs/>
          <w:color w:val="auto"/>
          <w:highlight w:val="none"/>
        </w:rPr>
        <w:t>第二部分</w:t>
      </w:r>
      <w:r>
        <w:rPr>
          <w:rFonts w:hint="eastAsia" w:ascii="黑体" w:hAnsi="黑体" w:eastAsia="黑体"/>
          <w:b w:val="0"/>
          <w:bCs/>
          <w:color w:val="auto"/>
          <w:highlight w:val="none"/>
          <w:lang w:val="en-US" w:eastAsia="zh-CN"/>
        </w:rPr>
        <w:t>2022年度</w:t>
      </w:r>
      <w:r>
        <w:rPr>
          <w:rStyle w:val="28"/>
          <w:rFonts w:hint="eastAsia" w:ascii="黑体" w:hAnsi="黑体" w:eastAsia="黑体"/>
          <w:b w:val="0"/>
          <w:bCs/>
          <w:color w:val="auto"/>
          <w:highlight w:val="none"/>
        </w:rPr>
        <w:t>部门决算情况说明</w:t>
      </w:r>
      <w:bookmarkEnd w:id="19"/>
      <w:bookmarkEnd w:id="20"/>
      <w:bookmarkEnd w:id="21"/>
    </w:p>
    <w:p w14:paraId="59832488">
      <w:pPr>
        <w:rPr>
          <w:color w:val="auto"/>
          <w:highlight w:val="none"/>
        </w:rPr>
      </w:pPr>
    </w:p>
    <w:p w14:paraId="3936CA7B">
      <w:pPr>
        <w:pStyle w:val="27"/>
        <w:numPr>
          <w:ilvl w:val="0"/>
          <w:numId w:val="2"/>
        </w:numPr>
        <w:spacing w:line="600" w:lineRule="exact"/>
        <w:ind w:firstLineChars="0"/>
        <w:outlineLvl w:val="1"/>
        <w:rPr>
          <w:rStyle w:val="29"/>
          <w:rFonts w:ascii="黑体" w:hAnsi="黑体" w:eastAsia="黑体"/>
          <w:b w:val="0"/>
          <w:color w:val="auto"/>
          <w:highlight w:val="none"/>
        </w:rPr>
      </w:pPr>
      <w:bookmarkStart w:id="22" w:name="_Toc10449"/>
      <w:bookmarkStart w:id="23" w:name="_Toc15377205"/>
      <w:bookmarkStart w:id="24" w:name="_Toc15396603"/>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2"/>
      <w:bookmarkEnd w:id="23"/>
      <w:bookmarkEnd w:id="24"/>
    </w:p>
    <w:p w14:paraId="1C14B606">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468.1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0.82</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0.18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区统计局工作经费减少。</w:t>
      </w:r>
    </w:p>
    <w:p w14:paraId="70561126">
      <w:pPr>
        <w:spacing w:line="600" w:lineRule="exact"/>
        <w:ind w:firstLine="420" w:firstLineChars="200"/>
        <w:jc w:val="center"/>
        <w:rPr>
          <w:rFonts w:ascii="仿宋_GB2312" w:eastAsia="仿宋_GB2312"/>
          <w:color w:val="auto"/>
          <w:sz w:val="32"/>
          <w:szCs w:val="32"/>
          <w:highlight w:val="none"/>
        </w:rPr>
      </w:pPr>
      <w:r>
        <w:drawing>
          <wp:anchor distT="0" distB="0" distL="114300" distR="114300" simplePos="0" relativeHeight="251659264" behindDoc="0" locked="0" layoutInCell="1" allowOverlap="1">
            <wp:simplePos x="0" y="0"/>
            <wp:positionH relativeFrom="column">
              <wp:posOffset>351155</wp:posOffset>
            </wp:positionH>
            <wp:positionV relativeFrom="paragraph">
              <wp:posOffset>228600</wp:posOffset>
            </wp:positionV>
            <wp:extent cx="4572000" cy="2743200"/>
            <wp:effectExtent l="4445" t="4445" r="8255" b="825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114C411F">
      <w:pPr>
        <w:pStyle w:val="27"/>
        <w:numPr>
          <w:ilvl w:val="0"/>
          <w:numId w:val="2"/>
        </w:numPr>
        <w:spacing w:line="600" w:lineRule="exact"/>
        <w:ind w:firstLineChars="0"/>
        <w:outlineLvl w:val="1"/>
        <w:rPr>
          <w:rStyle w:val="29"/>
          <w:rFonts w:ascii="黑体" w:hAnsi="黑体" w:eastAsia="黑体"/>
          <w:b w:val="0"/>
          <w:color w:val="auto"/>
          <w:highlight w:val="none"/>
        </w:rPr>
      </w:pPr>
      <w:bookmarkStart w:id="25" w:name="_Toc15396604"/>
      <w:bookmarkStart w:id="26" w:name="_Toc15377206"/>
      <w:bookmarkStart w:id="27" w:name="_Toc26431"/>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5"/>
      <w:bookmarkEnd w:id="26"/>
      <w:bookmarkEnd w:id="27"/>
    </w:p>
    <w:p w14:paraId="7D1E83B6">
      <w:pPr>
        <w:spacing w:line="600" w:lineRule="exact"/>
        <w:ind w:firstLine="640" w:firstLineChars="200"/>
        <w:outlineLvl w:val="9"/>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468.1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468.1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0209EB8C">
      <w:pPr>
        <w:spacing w:line="600" w:lineRule="exact"/>
        <w:jc w:val="center"/>
        <w:rPr>
          <w:rFonts w:ascii="仿宋_GB2312" w:eastAsia="仿宋_GB2312"/>
          <w:color w:val="auto"/>
          <w:sz w:val="32"/>
          <w:szCs w:val="32"/>
          <w:highlight w:val="none"/>
        </w:rPr>
      </w:pPr>
      <w:r>
        <w:drawing>
          <wp:anchor distT="0" distB="0" distL="114300" distR="114300" simplePos="0" relativeHeight="251666432" behindDoc="0" locked="0" layoutInCell="1" allowOverlap="1">
            <wp:simplePos x="0" y="0"/>
            <wp:positionH relativeFrom="column">
              <wp:posOffset>303530</wp:posOffset>
            </wp:positionH>
            <wp:positionV relativeFrom="paragraph">
              <wp:posOffset>33020</wp:posOffset>
            </wp:positionV>
            <wp:extent cx="4572000" cy="2743200"/>
            <wp:effectExtent l="4445" t="4445" r="8255" b="8255"/>
            <wp:wrapTopAndBottom/>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rPr>
        <w:t>（图2：收入决算结构图）（饼状图）</w:t>
      </w:r>
    </w:p>
    <w:p w14:paraId="1DDEFFBF">
      <w:pPr>
        <w:pStyle w:val="27"/>
        <w:numPr>
          <w:ilvl w:val="0"/>
          <w:numId w:val="2"/>
        </w:numPr>
        <w:spacing w:line="600" w:lineRule="exact"/>
        <w:ind w:firstLineChars="0"/>
        <w:outlineLvl w:val="1"/>
        <w:rPr>
          <w:rStyle w:val="29"/>
          <w:rFonts w:ascii="黑体" w:hAnsi="黑体" w:eastAsia="黑体"/>
          <w:b w:val="0"/>
          <w:color w:val="auto"/>
          <w:highlight w:val="none"/>
        </w:rPr>
      </w:pPr>
      <w:bookmarkStart w:id="28" w:name="_Toc15396605"/>
      <w:bookmarkStart w:id="29" w:name="_Toc15377207"/>
      <w:bookmarkStart w:id="30" w:name="_Toc6360"/>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28"/>
      <w:bookmarkEnd w:id="29"/>
      <w:bookmarkEnd w:id="30"/>
    </w:p>
    <w:p w14:paraId="53D09955">
      <w:pPr>
        <w:spacing w:line="600" w:lineRule="exact"/>
        <w:ind w:firstLine="420" w:firstLineChars="200"/>
        <w:outlineLvl w:val="9"/>
        <w:rPr>
          <w:rFonts w:hint="eastAsia" w:ascii="仿宋" w:hAnsi="仿宋" w:eastAsia="仿宋"/>
          <w:color w:val="auto"/>
          <w:sz w:val="32"/>
          <w:szCs w:val="32"/>
          <w:highlight w:val="none"/>
        </w:rPr>
      </w:pPr>
      <w:r>
        <w:drawing>
          <wp:anchor distT="0" distB="0" distL="114300" distR="114300" simplePos="0" relativeHeight="251664384" behindDoc="0" locked="0" layoutInCell="1" allowOverlap="1">
            <wp:simplePos x="0" y="0"/>
            <wp:positionH relativeFrom="column">
              <wp:posOffset>467360</wp:posOffset>
            </wp:positionH>
            <wp:positionV relativeFrom="paragraph">
              <wp:posOffset>831850</wp:posOffset>
            </wp:positionV>
            <wp:extent cx="4572000" cy="2743200"/>
            <wp:effectExtent l="4445" t="4445" r="8255" b="8255"/>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468.1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265.66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56.75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202.44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43.25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A2D71D6">
      <w:pPr>
        <w:spacing w:line="600" w:lineRule="exact"/>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14:paraId="1F08308A">
      <w:pPr>
        <w:spacing w:line="600" w:lineRule="exact"/>
        <w:ind w:firstLine="640" w:firstLineChars="200"/>
        <w:outlineLvl w:val="1"/>
        <w:rPr>
          <w:rStyle w:val="29"/>
          <w:rFonts w:ascii="黑体" w:hAnsi="黑体" w:eastAsia="黑体"/>
          <w:b w:val="0"/>
          <w:color w:val="auto"/>
          <w:highlight w:val="none"/>
        </w:rPr>
      </w:pPr>
      <w:bookmarkStart w:id="31" w:name="_Toc21781"/>
      <w:bookmarkStart w:id="32" w:name="_Toc15377208"/>
      <w:bookmarkStart w:id="33" w:name="_Toc15396606"/>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31"/>
      <w:bookmarkEnd w:id="32"/>
      <w:bookmarkEnd w:id="33"/>
    </w:p>
    <w:p w14:paraId="7D69D30F">
      <w:pPr>
        <w:spacing w:line="600" w:lineRule="exact"/>
        <w:ind w:firstLine="640"/>
        <w:rPr>
          <w:rFonts w:ascii="仿宋" w:hAnsi="仿宋" w:eastAsia="仿宋"/>
          <w:color w:val="auto"/>
          <w:sz w:val="32"/>
          <w:szCs w:val="32"/>
          <w:highlight w:val="none"/>
        </w:rPr>
      </w:pPr>
      <w:r>
        <w:drawing>
          <wp:anchor distT="0" distB="0" distL="114300" distR="114300" simplePos="0" relativeHeight="251665408" behindDoc="0" locked="0" layoutInCell="1" allowOverlap="1">
            <wp:simplePos x="0" y="0"/>
            <wp:positionH relativeFrom="column">
              <wp:posOffset>630555</wp:posOffset>
            </wp:positionH>
            <wp:positionV relativeFrom="paragraph">
              <wp:posOffset>1303020</wp:posOffset>
            </wp:positionV>
            <wp:extent cx="4572000" cy="2743200"/>
            <wp:effectExtent l="4445" t="4445" r="8255" b="8255"/>
            <wp:wrapTopAndBottom/>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468.1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0.82</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0.18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区统计局工作经费减少。</w:t>
      </w:r>
    </w:p>
    <w:p w14:paraId="560D47C2">
      <w:pPr>
        <w:spacing w:line="600" w:lineRule="exact"/>
        <w:ind w:firstLine="640" w:firstLineChars="200"/>
        <w:jc w:val="both"/>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61E6EB9F">
      <w:pPr>
        <w:spacing w:line="600" w:lineRule="exact"/>
        <w:ind w:firstLine="640" w:firstLineChars="200"/>
        <w:outlineLvl w:val="1"/>
        <w:rPr>
          <w:rStyle w:val="29"/>
          <w:rFonts w:ascii="黑体" w:hAnsi="黑体" w:eastAsia="黑体"/>
          <w:b w:val="0"/>
          <w:color w:val="auto"/>
          <w:highlight w:val="none"/>
        </w:rPr>
      </w:pPr>
      <w:bookmarkStart w:id="34" w:name="_Toc15377209"/>
      <w:bookmarkStart w:id="35" w:name="_Toc15396607"/>
      <w:bookmarkStart w:id="36" w:name="_Toc977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34"/>
      <w:bookmarkEnd w:id="35"/>
      <w:bookmarkEnd w:id="36"/>
    </w:p>
    <w:p w14:paraId="0F22C825">
      <w:pPr>
        <w:spacing w:line="600" w:lineRule="exact"/>
        <w:ind w:firstLine="643" w:firstLineChars="200"/>
        <w:outlineLvl w:val="9"/>
        <w:rPr>
          <w:rFonts w:ascii="仿宋" w:hAnsi="仿宋" w:eastAsia="仿宋"/>
          <w:b/>
          <w:color w:val="auto"/>
          <w:sz w:val="32"/>
          <w:szCs w:val="32"/>
          <w:highlight w:val="none"/>
        </w:rPr>
      </w:pPr>
      <w:bookmarkStart w:id="37" w:name="_Toc15377210"/>
      <w:r>
        <w:rPr>
          <w:rFonts w:hint="eastAsia" w:ascii="仿宋" w:hAnsi="仿宋" w:eastAsia="仿宋"/>
          <w:b/>
          <w:color w:val="auto"/>
          <w:sz w:val="32"/>
          <w:szCs w:val="32"/>
          <w:highlight w:val="none"/>
        </w:rPr>
        <w:t>（一）一般公共预算财政拨款支出决算总体情况</w:t>
      </w:r>
      <w:bookmarkEnd w:id="37"/>
    </w:p>
    <w:p w14:paraId="7FEEF71E">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468.1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0.82</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0.18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区统计局工作经费减少。</w:t>
      </w:r>
    </w:p>
    <w:p w14:paraId="3895D995">
      <w:pPr>
        <w:spacing w:line="600" w:lineRule="exact"/>
        <w:ind w:firstLine="640" w:firstLineChars="200"/>
        <w:jc w:val="center"/>
        <w:rPr>
          <w:rFonts w:hint="eastAsia" w:ascii="仿宋" w:hAnsi="仿宋" w:eastAsia="仿宋"/>
          <w:color w:val="auto"/>
          <w:sz w:val="32"/>
          <w:szCs w:val="32"/>
          <w:highlight w:val="none"/>
        </w:rPr>
      </w:pPr>
    </w:p>
    <w:p w14:paraId="1BD5F6F3">
      <w:pPr>
        <w:spacing w:line="600" w:lineRule="exact"/>
        <w:ind w:firstLine="640" w:firstLineChars="200"/>
        <w:jc w:val="center"/>
        <w:rPr>
          <w:rFonts w:hint="eastAsia" w:ascii="仿宋" w:hAnsi="仿宋" w:eastAsia="仿宋"/>
          <w:color w:val="auto"/>
          <w:sz w:val="32"/>
          <w:szCs w:val="32"/>
          <w:highlight w:val="none"/>
        </w:rPr>
      </w:pPr>
    </w:p>
    <w:p w14:paraId="4DCBEBB9">
      <w:pPr>
        <w:spacing w:line="600" w:lineRule="exact"/>
        <w:jc w:val="center"/>
        <w:rPr>
          <w:rFonts w:hint="eastAsia" w:ascii="仿宋" w:hAnsi="仿宋" w:eastAsia="仿宋"/>
          <w:color w:val="auto"/>
          <w:sz w:val="32"/>
          <w:szCs w:val="32"/>
          <w:highlight w:val="none"/>
        </w:rPr>
      </w:pPr>
      <w:r>
        <w:drawing>
          <wp:anchor distT="0" distB="0" distL="114300" distR="114300" simplePos="0" relativeHeight="251660288" behindDoc="0" locked="0" layoutInCell="1" allowOverlap="1">
            <wp:simplePos x="0" y="0"/>
            <wp:positionH relativeFrom="column">
              <wp:posOffset>280035</wp:posOffset>
            </wp:positionH>
            <wp:positionV relativeFrom="paragraph">
              <wp:posOffset>160020</wp:posOffset>
            </wp:positionV>
            <wp:extent cx="4572000" cy="2743200"/>
            <wp:effectExtent l="4445" t="4445" r="8255" b="8255"/>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color w:val="auto"/>
          <w:sz w:val="32"/>
          <w:szCs w:val="32"/>
          <w:highlight w:val="none"/>
        </w:rPr>
        <w:t>（图5：一般公共预算财政拨款支出决算变动情况）</w:t>
      </w:r>
    </w:p>
    <w:p w14:paraId="6A43A93E">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（柱状图）</w:t>
      </w:r>
    </w:p>
    <w:p w14:paraId="0ECF75C7">
      <w:pPr>
        <w:spacing w:line="600" w:lineRule="exact"/>
        <w:ind w:firstLine="643" w:firstLineChars="200"/>
        <w:outlineLvl w:val="9"/>
        <w:rPr>
          <w:rFonts w:ascii="仿宋" w:hAnsi="仿宋" w:eastAsia="仿宋"/>
          <w:b/>
          <w:color w:val="auto"/>
          <w:sz w:val="32"/>
          <w:szCs w:val="32"/>
          <w:highlight w:val="none"/>
        </w:rPr>
      </w:pPr>
      <w:bookmarkStart w:id="38" w:name="_Toc15377211"/>
      <w:r>
        <w:rPr>
          <w:rFonts w:hint="eastAsia" w:ascii="仿宋" w:hAnsi="仿宋" w:eastAsia="仿宋"/>
          <w:b/>
          <w:color w:val="auto"/>
          <w:sz w:val="32"/>
          <w:szCs w:val="32"/>
          <w:highlight w:val="none"/>
        </w:rPr>
        <w:t>（二）一般公共预算财政拨款支出决算结构情况</w:t>
      </w:r>
      <w:bookmarkEnd w:id="38"/>
    </w:p>
    <w:p w14:paraId="35D49A43">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468.1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一般公共服务支出</w:t>
      </w:r>
      <w:r>
        <w:rPr>
          <w:rFonts w:hint="eastAsia" w:ascii="仿宋" w:hAnsi="仿宋" w:eastAsia="仿宋"/>
          <w:b/>
          <w:color w:val="auto"/>
          <w:sz w:val="32"/>
          <w:szCs w:val="32"/>
          <w:highlight w:val="none"/>
          <w:lang w:val="en-US" w:eastAsia="zh-CN"/>
        </w:rPr>
        <w:t>425.95</w:t>
      </w:r>
      <w:r>
        <w:rPr>
          <w:rFonts w:hint="eastAsia" w:ascii="仿宋" w:hAnsi="仿宋" w:eastAsia="仿宋"/>
          <w:b/>
          <w:color w:val="auto"/>
          <w:sz w:val="32"/>
          <w:szCs w:val="32"/>
          <w:highlight w:val="none"/>
        </w:rPr>
        <w:t>万元，占</w:t>
      </w:r>
      <w:r>
        <w:rPr>
          <w:rFonts w:hint="eastAsia" w:ascii="仿宋" w:hAnsi="仿宋" w:eastAsia="仿宋"/>
          <w:b/>
          <w:color w:val="auto"/>
          <w:sz w:val="32"/>
          <w:szCs w:val="32"/>
          <w:highlight w:val="none"/>
          <w:lang w:val="en-US" w:eastAsia="zh-CN"/>
        </w:rPr>
        <w:t>91</w:t>
      </w:r>
      <w:r>
        <w:rPr>
          <w:rFonts w:hint="eastAsia" w:ascii="仿宋" w:hAnsi="仿宋" w:eastAsia="仿宋"/>
          <w:b/>
          <w:color w:val="auto"/>
          <w:sz w:val="32"/>
          <w:szCs w:val="32"/>
          <w:highlight w:val="none"/>
        </w:rPr>
        <w:t>%；社会保障和就业支出</w:t>
      </w:r>
      <w:r>
        <w:rPr>
          <w:rFonts w:hint="eastAsia" w:ascii="仿宋" w:hAnsi="仿宋" w:eastAsia="仿宋"/>
          <w:b/>
          <w:color w:val="auto"/>
          <w:sz w:val="32"/>
          <w:szCs w:val="32"/>
          <w:highlight w:val="none"/>
          <w:lang w:val="en-US" w:eastAsia="zh-CN"/>
        </w:rPr>
        <w:t>15.98</w:t>
      </w:r>
      <w:r>
        <w:rPr>
          <w:rFonts w:hint="eastAsia" w:ascii="仿宋" w:hAnsi="仿宋" w:eastAsia="仿宋"/>
          <w:b/>
          <w:color w:val="auto"/>
          <w:sz w:val="32"/>
          <w:szCs w:val="32"/>
          <w:highlight w:val="none"/>
        </w:rPr>
        <w:t>万元，占</w:t>
      </w:r>
      <w:r>
        <w:rPr>
          <w:rFonts w:hint="eastAsia" w:ascii="仿宋" w:hAnsi="仿宋" w:eastAsia="仿宋"/>
          <w:b/>
          <w:color w:val="auto"/>
          <w:sz w:val="32"/>
          <w:szCs w:val="32"/>
          <w:highlight w:val="none"/>
          <w:lang w:val="en-US" w:eastAsia="zh-CN"/>
        </w:rPr>
        <w:t>3.41</w:t>
      </w:r>
      <w:r>
        <w:rPr>
          <w:rFonts w:hint="eastAsia" w:ascii="仿宋" w:hAnsi="仿宋" w:eastAsia="仿宋"/>
          <w:b/>
          <w:color w:val="auto"/>
          <w:sz w:val="32"/>
          <w:szCs w:val="32"/>
          <w:highlight w:val="none"/>
        </w:rPr>
        <w:t>%；卫生健康支出</w:t>
      </w:r>
      <w:r>
        <w:rPr>
          <w:rFonts w:hint="eastAsia" w:ascii="仿宋" w:hAnsi="仿宋" w:eastAsia="仿宋"/>
          <w:b/>
          <w:color w:val="auto"/>
          <w:sz w:val="32"/>
          <w:szCs w:val="32"/>
          <w:highlight w:val="none"/>
          <w:lang w:val="en-US" w:eastAsia="zh-CN"/>
        </w:rPr>
        <w:t>9.52</w:t>
      </w:r>
      <w:r>
        <w:rPr>
          <w:rFonts w:hint="eastAsia" w:ascii="仿宋" w:hAnsi="仿宋" w:eastAsia="仿宋"/>
          <w:b/>
          <w:color w:val="auto"/>
          <w:sz w:val="32"/>
          <w:szCs w:val="32"/>
          <w:highlight w:val="none"/>
        </w:rPr>
        <w:t>万元，占</w:t>
      </w:r>
      <w:r>
        <w:rPr>
          <w:rFonts w:hint="eastAsia" w:ascii="仿宋" w:hAnsi="仿宋" w:eastAsia="仿宋"/>
          <w:b/>
          <w:color w:val="auto"/>
          <w:sz w:val="32"/>
          <w:szCs w:val="32"/>
          <w:highlight w:val="none"/>
          <w:lang w:val="en-US" w:eastAsia="zh-CN"/>
        </w:rPr>
        <w:t>2.03</w:t>
      </w:r>
      <w:r>
        <w:rPr>
          <w:rFonts w:hint="eastAsia" w:ascii="仿宋" w:hAnsi="仿宋" w:eastAsia="仿宋"/>
          <w:b/>
          <w:color w:val="auto"/>
          <w:sz w:val="32"/>
          <w:szCs w:val="32"/>
          <w:highlight w:val="none"/>
        </w:rPr>
        <w:t>%；住房保障支出</w:t>
      </w:r>
      <w:r>
        <w:rPr>
          <w:rFonts w:hint="eastAsia" w:ascii="仿宋" w:hAnsi="仿宋" w:eastAsia="仿宋"/>
          <w:b/>
          <w:color w:val="auto"/>
          <w:sz w:val="32"/>
          <w:szCs w:val="32"/>
          <w:highlight w:val="none"/>
          <w:lang w:val="en-US" w:eastAsia="zh-CN"/>
        </w:rPr>
        <w:t>16.65</w:t>
      </w:r>
      <w:r>
        <w:rPr>
          <w:rFonts w:hint="eastAsia" w:ascii="仿宋" w:hAnsi="仿宋" w:eastAsia="仿宋"/>
          <w:b/>
          <w:color w:val="auto"/>
          <w:sz w:val="32"/>
          <w:szCs w:val="32"/>
          <w:highlight w:val="none"/>
        </w:rPr>
        <w:t>万元，占</w:t>
      </w:r>
      <w:r>
        <w:rPr>
          <w:rFonts w:hint="eastAsia" w:ascii="仿宋" w:hAnsi="仿宋" w:eastAsia="仿宋"/>
          <w:b/>
          <w:color w:val="auto"/>
          <w:sz w:val="32"/>
          <w:szCs w:val="32"/>
          <w:highlight w:val="none"/>
          <w:lang w:val="en-US" w:eastAsia="zh-CN"/>
        </w:rPr>
        <w:t>3.56</w:t>
      </w:r>
      <w:r>
        <w:rPr>
          <w:rFonts w:hint="eastAsia" w:ascii="仿宋" w:hAnsi="仿宋" w:eastAsia="仿宋"/>
          <w:b/>
          <w:color w:val="auto"/>
          <w:sz w:val="32"/>
          <w:szCs w:val="32"/>
          <w:highlight w:val="none"/>
        </w:rPr>
        <w:t>%。</w:t>
      </w:r>
    </w:p>
    <w:p w14:paraId="49BA2B6B">
      <w:pPr>
        <w:spacing w:line="600" w:lineRule="exact"/>
        <w:ind w:firstLine="640"/>
        <w:jc w:val="center"/>
        <w:rPr>
          <w:rFonts w:ascii="仿宋" w:hAnsi="仿宋" w:eastAsia="仿宋"/>
          <w:color w:val="auto"/>
          <w:sz w:val="32"/>
          <w:szCs w:val="32"/>
          <w:highlight w:val="none"/>
        </w:rPr>
      </w:pPr>
      <w:r>
        <w:drawing>
          <wp:anchor distT="0" distB="0" distL="114300" distR="114300" simplePos="0" relativeHeight="251661312" behindDoc="0" locked="0" layoutInCell="1" allowOverlap="1">
            <wp:simplePos x="0" y="0"/>
            <wp:positionH relativeFrom="column">
              <wp:posOffset>351155</wp:posOffset>
            </wp:positionH>
            <wp:positionV relativeFrom="paragraph">
              <wp:posOffset>97155</wp:posOffset>
            </wp:positionV>
            <wp:extent cx="4572000" cy="2743200"/>
            <wp:effectExtent l="4445" t="4445" r="8255" b="8255"/>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color w:val="auto"/>
          <w:sz w:val="32"/>
          <w:szCs w:val="32"/>
          <w:highlight w:val="none"/>
        </w:rPr>
        <w:t>（图6：一般公共预算财政拨款支出决算结构）（饼状图）</w:t>
      </w:r>
    </w:p>
    <w:p w14:paraId="340783F3">
      <w:pPr>
        <w:spacing w:line="600" w:lineRule="exact"/>
        <w:ind w:firstLine="643" w:firstLineChars="200"/>
        <w:outlineLvl w:val="9"/>
        <w:rPr>
          <w:rFonts w:ascii="仿宋" w:hAnsi="仿宋" w:eastAsia="仿宋"/>
          <w:b/>
          <w:color w:val="auto"/>
          <w:sz w:val="32"/>
          <w:szCs w:val="32"/>
          <w:highlight w:val="none"/>
        </w:rPr>
      </w:pPr>
      <w:bookmarkStart w:id="39" w:name="_Toc15377212"/>
      <w:r>
        <w:rPr>
          <w:rFonts w:hint="eastAsia" w:ascii="仿宋" w:hAnsi="仿宋" w:eastAsia="仿宋"/>
          <w:b/>
          <w:color w:val="auto"/>
          <w:sz w:val="32"/>
          <w:szCs w:val="32"/>
          <w:highlight w:val="none"/>
        </w:rPr>
        <w:t>（三）一般公共预算财政拨款支出决算具体情况</w:t>
      </w:r>
      <w:bookmarkEnd w:id="39"/>
    </w:p>
    <w:p w14:paraId="543DCE0D">
      <w:pPr>
        <w:spacing w:line="600" w:lineRule="exact"/>
        <w:ind w:firstLine="643" w:firstLineChars="200"/>
        <w:outlineLvl w:val="9"/>
        <w:rPr>
          <w:rFonts w:ascii="仿宋" w:hAnsi="仿宋" w:eastAsia="仿宋"/>
          <w:color w:val="auto"/>
          <w:sz w:val="32"/>
          <w:szCs w:val="32"/>
          <w:highlight w:val="none"/>
        </w:rPr>
      </w:pPr>
      <w:bookmarkStart w:id="40" w:name="_Toc15377444"/>
      <w:bookmarkStart w:id="41" w:name="_Toc15378460"/>
      <w:bookmarkStart w:id="42"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468.1万元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0"/>
      <w:bookmarkEnd w:id="41"/>
      <w:bookmarkEnd w:id="42"/>
    </w:p>
    <w:p w14:paraId="5BEB8FB6">
      <w:pPr>
        <w:spacing w:line="600" w:lineRule="exact"/>
        <w:ind w:firstLine="643" w:firstLineChars="200"/>
        <w:rPr>
          <w:rStyle w:val="17"/>
          <w:rFonts w:hint="eastAsia" w:ascii="仿宋" w:hAnsi="仿宋" w:eastAsia="仿宋"/>
          <w:b w:val="0"/>
          <w:bCs/>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val="en-US" w:eastAsia="zh-CN"/>
        </w:rPr>
        <w:t>2021</w:t>
      </w:r>
      <w:r>
        <w:rPr>
          <w:rStyle w:val="17"/>
          <w:rFonts w:hint="eastAsia" w:ascii="仿宋" w:hAnsi="仿宋" w:eastAsia="仿宋"/>
          <w:bCs/>
          <w:color w:val="auto"/>
          <w:sz w:val="32"/>
          <w:szCs w:val="32"/>
          <w:highlight w:val="none"/>
        </w:rPr>
        <w:t>（类）统计信息事务</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（款）行政运行</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210.12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1AE92739">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val="en-US" w:eastAsia="zh-CN"/>
        </w:rPr>
        <w:t>2021</w:t>
      </w:r>
      <w:r>
        <w:rPr>
          <w:rStyle w:val="17"/>
          <w:rFonts w:hint="eastAsia" w:ascii="仿宋" w:hAnsi="仿宋" w:eastAsia="仿宋"/>
          <w:bCs/>
          <w:color w:val="auto"/>
          <w:sz w:val="32"/>
          <w:szCs w:val="32"/>
          <w:highlight w:val="none"/>
        </w:rPr>
        <w:t>（类）统计信息事务</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（款）专项统计业务</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92.2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1A2DBBD7">
      <w:pPr>
        <w:pStyle w:val="6"/>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val="en-US" w:eastAsia="zh-CN"/>
        </w:rPr>
        <w:t>2021</w:t>
      </w:r>
      <w:r>
        <w:rPr>
          <w:rStyle w:val="17"/>
          <w:rFonts w:hint="eastAsia" w:ascii="仿宋" w:hAnsi="仿宋" w:eastAsia="仿宋"/>
          <w:bCs/>
          <w:color w:val="auto"/>
          <w:sz w:val="32"/>
          <w:szCs w:val="32"/>
          <w:highlight w:val="none"/>
        </w:rPr>
        <w:t>（类）统计信息事务</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（款）统计管理</w:t>
      </w:r>
      <w:r>
        <w:rPr>
          <w:rStyle w:val="17"/>
          <w:rFonts w:hint="eastAsia" w:ascii="仿宋" w:hAnsi="仿宋" w:eastAsia="仿宋"/>
          <w:bCs/>
          <w:color w:val="auto"/>
          <w:sz w:val="32"/>
          <w:szCs w:val="32"/>
          <w:highlight w:val="none"/>
          <w:lang w:val="en-US" w:eastAsia="zh-CN"/>
        </w:rPr>
        <w:t>06</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15.96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580925D0">
      <w:pPr>
        <w:pStyle w:val="6"/>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val="en-US" w:eastAsia="zh-CN"/>
        </w:rPr>
        <w:t>2021</w:t>
      </w:r>
      <w:r>
        <w:rPr>
          <w:rStyle w:val="17"/>
          <w:rFonts w:hint="eastAsia" w:ascii="仿宋" w:hAnsi="仿宋" w:eastAsia="仿宋"/>
          <w:bCs/>
          <w:color w:val="auto"/>
          <w:sz w:val="32"/>
          <w:szCs w:val="32"/>
          <w:highlight w:val="none"/>
        </w:rPr>
        <w:t>（类）统计信息事务</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（款）统计抽样调查</w:t>
      </w:r>
      <w:r>
        <w:rPr>
          <w:rStyle w:val="17"/>
          <w:rFonts w:hint="eastAsia" w:ascii="仿宋" w:hAnsi="仿宋" w:eastAsia="仿宋"/>
          <w:bCs/>
          <w:color w:val="auto"/>
          <w:sz w:val="32"/>
          <w:szCs w:val="32"/>
          <w:highlight w:val="none"/>
          <w:lang w:val="en-US" w:eastAsia="zh-CN"/>
        </w:rPr>
        <w:t>08</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94.28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2E2DA33A">
      <w:pPr>
        <w:pStyle w:val="6"/>
        <w:ind w:firstLine="643" w:firstLineChars="200"/>
        <w:rPr>
          <w:rStyle w:val="17"/>
          <w:rFonts w:hint="default" w:ascii="仿宋" w:hAnsi="仿宋" w:eastAsia="仿宋"/>
          <w:b w:val="0"/>
          <w:bCs/>
          <w:color w:val="auto"/>
          <w:sz w:val="32"/>
          <w:szCs w:val="32"/>
          <w:highlight w:val="none"/>
          <w:lang w:val="en-US" w:eastAsia="zh-CN"/>
        </w:rPr>
      </w:pP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val="en-US" w:eastAsia="zh-CN"/>
        </w:rPr>
        <w:t>2021</w:t>
      </w:r>
      <w:r>
        <w:rPr>
          <w:rStyle w:val="17"/>
          <w:rFonts w:hint="eastAsia" w:ascii="仿宋" w:hAnsi="仿宋" w:eastAsia="仿宋"/>
          <w:bCs/>
          <w:color w:val="auto"/>
          <w:sz w:val="32"/>
          <w:szCs w:val="32"/>
          <w:highlight w:val="none"/>
        </w:rPr>
        <w:t>（类）统计信息事务</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（款）事业运行</w:t>
      </w:r>
      <w:r>
        <w:rPr>
          <w:rStyle w:val="17"/>
          <w:rFonts w:hint="eastAsia" w:ascii="仿宋" w:hAnsi="仿宋" w:eastAsia="仿宋"/>
          <w:bCs/>
          <w:color w:val="auto"/>
          <w:sz w:val="32"/>
          <w:szCs w:val="32"/>
          <w:highlight w:val="none"/>
          <w:lang w:val="en-US" w:eastAsia="zh-CN"/>
        </w:rPr>
        <w:t>50</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13.39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42221C2C">
      <w:pPr>
        <w:spacing w:line="600" w:lineRule="exact"/>
        <w:ind w:firstLine="643" w:firstLineChars="200"/>
        <w:rPr>
          <w:rFonts w:hint="default" w:eastAsia="仿宋"/>
          <w:lang w:val="en-US" w:eastAsia="zh-CN"/>
        </w:rPr>
      </w:pPr>
      <w:r>
        <w:rPr>
          <w:rStyle w:val="17"/>
          <w:rFonts w:hint="eastAsia" w:ascii="仿宋" w:hAnsi="仿宋" w:eastAsia="仿宋"/>
          <w:bCs/>
          <w:color w:val="auto"/>
          <w:sz w:val="32"/>
          <w:szCs w:val="32"/>
          <w:highlight w:val="none"/>
          <w:lang w:val="en-US" w:eastAsia="zh-CN"/>
        </w:rPr>
        <w:t>2.</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（类）行政事业单位养老支出</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（款）机关事业单位基本养老保险缴费支出</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15.85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7F903BF8">
      <w:pPr>
        <w:numPr>
          <w:ilvl w:val="0"/>
          <w:numId w:val="0"/>
        </w:numPr>
        <w:spacing w:line="600" w:lineRule="exact"/>
        <w:ind w:firstLine="643" w:firstLineChars="200"/>
        <w:rPr>
          <w:rFonts w:hint="default" w:eastAsia="仿宋"/>
          <w:lang w:val="en-US" w:eastAsia="zh-CN"/>
        </w:rPr>
      </w:pP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（类）其他社会保障和就业支出</w:t>
      </w:r>
      <w:r>
        <w:rPr>
          <w:rStyle w:val="17"/>
          <w:rFonts w:hint="eastAsia" w:ascii="仿宋" w:hAnsi="仿宋" w:eastAsia="仿宋"/>
          <w:bCs/>
          <w:color w:val="auto"/>
          <w:sz w:val="32"/>
          <w:szCs w:val="32"/>
          <w:highlight w:val="none"/>
          <w:lang w:val="en-US" w:eastAsia="zh-CN"/>
        </w:rPr>
        <w:t>99</w:t>
      </w:r>
      <w:r>
        <w:rPr>
          <w:rStyle w:val="17"/>
          <w:rFonts w:hint="eastAsia" w:ascii="仿宋" w:hAnsi="仿宋" w:eastAsia="仿宋"/>
          <w:bCs/>
          <w:color w:val="auto"/>
          <w:sz w:val="32"/>
          <w:szCs w:val="32"/>
          <w:highlight w:val="none"/>
        </w:rPr>
        <w:t>（款）其他社会保障和就业支出</w:t>
      </w:r>
      <w:r>
        <w:rPr>
          <w:rStyle w:val="17"/>
          <w:rFonts w:hint="eastAsia" w:ascii="仿宋" w:hAnsi="仿宋" w:eastAsia="仿宋"/>
          <w:bCs/>
          <w:color w:val="auto"/>
          <w:sz w:val="32"/>
          <w:szCs w:val="32"/>
          <w:highlight w:val="none"/>
          <w:lang w:val="en-US" w:eastAsia="zh-CN"/>
        </w:rPr>
        <w:t>99</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0.13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1D9476E6">
      <w:pPr>
        <w:numPr>
          <w:ilvl w:val="0"/>
          <w:numId w:val="0"/>
        </w:numPr>
        <w:spacing w:line="600" w:lineRule="exact"/>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3.</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210</w:t>
      </w:r>
      <w:r>
        <w:rPr>
          <w:rStyle w:val="17"/>
          <w:rFonts w:hint="eastAsia" w:ascii="仿宋" w:hAnsi="仿宋" w:eastAsia="仿宋"/>
          <w:bCs/>
          <w:color w:val="auto"/>
          <w:sz w:val="32"/>
          <w:szCs w:val="32"/>
          <w:highlight w:val="none"/>
        </w:rPr>
        <w:t>（类）行政事业单位医疗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（款）行政单位医疗</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66528DEB">
      <w:pPr>
        <w:pStyle w:val="6"/>
        <w:numPr>
          <w:ilvl w:val="0"/>
          <w:numId w:val="0"/>
        </w:numPr>
        <w:ind w:firstLine="643" w:firstLineChars="200"/>
      </w:pP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210</w:t>
      </w:r>
      <w:r>
        <w:rPr>
          <w:rStyle w:val="17"/>
          <w:rFonts w:hint="eastAsia" w:ascii="仿宋" w:hAnsi="仿宋" w:eastAsia="仿宋"/>
          <w:bCs/>
          <w:color w:val="auto"/>
          <w:sz w:val="32"/>
          <w:szCs w:val="32"/>
          <w:highlight w:val="none"/>
        </w:rPr>
        <w:t>（类）行政事业单位医疗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（款）公务员医疗补助</w:t>
      </w:r>
      <w:r>
        <w:rPr>
          <w:rStyle w:val="17"/>
          <w:rFonts w:hint="eastAsia" w:ascii="仿宋" w:hAnsi="仿宋" w:eastAsia="仿宋"/>
          <w:bCs/>
          <w:color w:val="auto"/>
          <w:sz w:val="32"/>
          <w:szCs w:val="32"/>
          <w:highlight w:val="none"/>
          <w:lang w:val="en-US" w:eastAsia="zh-CN"/>
        </w:rPr>
        <w:t>03</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2.22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p>
    <w:p w14:paraId="58B99987">
      <w:pPr>
        <w:pStyle w:val="6"/>
        <w:numPr>
          <w:ilvl w:val="0"/>
          <w:numId w:val="0"/>
        </w:numPr>
        <w:ind w:firstLine="643" w:firstLineChars="200"/>
        <w:rPr>
          <w:rFonts w:ascii="仿宋" w:hAnsi="仿宋" w:eastAsia="仿宋"/>
          <w:b/>
          <w:color w:val="auto"/>
          <w:sz w:val="32"/>
          <w:szCs w:val="32"/>
          <w:highlight w:val="none"/>
        </w:rPr>
      </w:pPr>
      <w:r>
        <w:rPr>
          <w:rStyle w:val="17"/>
          <w:rFonts w:hint="eastAsia" w:ascii="仿宋" w:hAnsi="仿宋" w:eastAsia="仿宋" w:cstheme="minorBidi"/>
          <w:bCs/>
          <w:color w:val="auto"/>
          <w:sz w:val="32"/>
          <w:szCs w:val="32"/>
          <w:highlight w:val="none"/>
          <w:lang w:val="en-US" w:eastAsia="zh-CN"/>
        </w:rPr>
        <w:t>4.住房保障支出221</w:t>
      </w:r>
      <w:r>
        <w:rPr>
          <w:rStyle w:val="17"/>
          <w:rFonts w:hint="eastAsia" w:ascii="仿宋" w:hAnsi="仿宋" w:eastAsia="仿宋" w:cstheme="minorBidi"/>
          <w:bCs/>
          <w:color w:val="auto"/>
          <w:sz w:val="32"/>
          <w:szCs w:val="32"/>
          <w:highlight w:val="none"/>
        </w:rPr>
        <w:t>（类）</w:t>
      </w:r>
      <w:r>
        <w:rPr>
          <w:rStyle w:val="17"/>
          <w:rFonts w:hint="eastAsia" w:ascii="仿宋" w:hAnsi="仿宋" w:eastAsia="仿宋" w:cstheme="minorBidi"/>
          <w:bCs/>
          <w:color w:val="auto"/>
          <w:sz w:val="32"/>
          <w:szCs w:val="32"/>
          <w:highlight w:val="none"/>
          <w:lang w:val="en-US" w:eastAsia="zh-CN"/>
        </w:rPr>
        <w:t>住房改革支出02</w:t>
      </w:r>
      <w:r>
        <w:rPr>
          <w:rStyle w:val="17"/>
          <w:rFonts w:hint="eastAsia" w:ascii="仿宋" w:hAnsi="仿宋" w:eastAsia="仿宋" w:cstheme="minorBidi"/>
          <w:bCs/>
          <w:color w:val="auto"/>
          <w:sz w:val="32"/>
          <w:szCs w:val="32"/>
          <w:highlight w:val="none"/>
        </w:rPr>
        <w:t>（款）</w:t>
      </w:r>
      <w:r>
        <w:rPr>
          <w:rStyle w:val="17"/>
          <w:rFonts w:hint="eastAsia" w:ascii="仿宋" w:hAnsi="仿宋" w:eastAsia="仿宋" w:cstheme="minorBidi"/>
          <w:bCs/>
          <w:color w:val="auto"/>
          <w:sz w:val="32"/>
          <w:szCs w:val="32"/>
          <w:highlight w:val="none"/>
          <w:lang w:val="en-US" w:eastAsia="zh-CN"/>
        </w:rPr>
        <w:t>住房公积金01</w:t>
      </w:r>
      <w:r>
        <w:rPr>
          <w:rStyle w:val="17"/>
          <w:rFonts w:hint="eastAsia" w:ascii="仿宋" w:hAnsi="仿宋" w:eastAsia="仿宋" w:cstheme="minorBidi"/>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16.65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p>
    <w:p w14:paraId="137C86A6">
      <w:pPr>
        <w:tabs>
          <w:tab w:val="right" w:pos="8306"/>
        </w:tabs>
        <w:spacing w:line="600" w:lineRule="exact"/>
        <w:ind w:firstLine="640"/>
        <w:outlineLvl w:val="1"/>
        <w:rPr>
          <w:rStyle w:val="29"/>
          <w:color w:val="auto"/>
          <w:highlight w:val="none"/>
        </w:rPr>
      </w:pPr>
      <w:bookmarkStart w:id="43" w:name="_Toc15396608"/>
      <w:bookmarkStart w:id="44" w:name="_Toc30356"/>
      <w:bookmarkStart w:id="4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43"/>
      <w:bookmarkEnd w:id="44"/>
      <w:bookmarkEnd w:id="45"/>
      <w:r>
        <w:rPr>
          <w:rStyle w:val="29"/>
          <w:rFonts w:ascii="黑体" w:hAnsi="黑体" w:eastAsia="黑体"/>
          <w:b w:val="0"/>
          <w:color w:val="auto"/>
          <w:highlight w:val="none"/>
        </w:rPr>
        <w:tab/>
      </w:r>
    </w:p>
    <w:p w14:paraId="00E69056">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265.66</w:t>
      </w:r>
      <w:r>
        <w:rPr>
          <w:rFonts w:hint="eastAsia" w:ascii="仿宋" w:hAnsi="仿宋" w:eastAsia="仿宋"/>
          <w:color w:val="auto"/>
          <w:sz w:val="32"/>
          <w:szCs w:val="32"/>
          <w:highlight w:val="none"/>
        </w:rPr>
        <w:t>万元，其中：</w:t>
      </w:r>
    </w:p>
    <w:p w14:paraId="6731F21E">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189.25</w:t>
      </w:r>
      <w:r>
        <w:rPr>
          <w:rFonts w:hint="eastAsia" w:ascii="仿宋" w:hAnsi="仿宋" w:eastAsia="仿宋"/>
          <w:color w:val="auto"/>
          <w:sz w:val="32"/>
          <w:szCs w:val="32"/>
          <w:highlight w:val="none"/>
        </w:rPr>
        <w:t>万元，主要包括：基本工资、津贴补贴、奖金、机关事业单位基本养老保险缴费、职工基本医疗保险缴费、公务员医疗补助缴费、其他社会保障缴费、住房公积金、其他工资福利支出、生活补助等。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76.4</w:t>
      </w:r>
      <w:r>
        <w:rPr>
          <w:rFonts w:hint="eastAsia" w:ascii="仿宋" w:hAnsi="仿宋" w:eastAsia="仿宋"/>
          <w:color w:val="auto"/>
          <w:sz w:val="32"/>
          <w:szCs w:val="32"/>
          <w:highlight w:val="none"/>
        </w:rPr>
        <w:t>万元，主要包括：办公费、印刷费、邮电费、差旅费、维修（护）费、培训费、公务接待费、劳务费、委托业务费、工会经费、福利费、其他交通费用、其他商品和服务支出等。</w:t>
      </w:r>
    </w:p>
    <w:p w14:paraId="011E0E58">
      <w:pPr>
        <w:spacing w:line="600" w:lineRule="exact"/>
        <w:ind w:firstLine="640"/>
        <w:outlineLvl w:val="1"/>
        <w:rPr>
          <w:rStyle w:val="29"/>
          <w:rFonts w:ascii="黑体" w:hAnsi="黑体" w:eastAsia="黑体"/>
          <w:b w:val="0"/>
          <w:color w:val="auto"/>
          <w:highlight w:val="none"/>
        </w:rPr>
      </w:pPr>
      <w:bookmarkStart w:id="46" w:name="_Toc15396609"/>
      <w:bookmarkStart w:id="47" w:name="_Toc15377215"/>
      <w:bookmarkStart w:id="48" w:name="_Toc31418"/>
      <w:r>
        <w:rPr>
          <w:rFonts w:hint="eastAsia" w:ascii="黑体" w:eastAsia="黑体"/>
          <w:color w:val="auto"/>
          <w:sz w:val="32"/>
          <w:szCs w:val="32"/>
          <w:highlight w:val="none"/>
        </w:rPr>
        <w:t>七、</w:t>
      </w:r>
      <w:r>
        <w:rPr>
          <w:rStyle w:val="29"/>
          <w:rFonts w:hint="eastAsia" w:ascii="黑体" w:hAnsi="黑体" w:eastAsia="黑体"/>
          <w:b w:val="0"/>
          <w:color w:val="auto"/>
          <w:highlight w:val="none"/>
        </w:rPr>
        <w:t>财政拨款</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三公”经费支出决算情况说明</w:t>
      </w:r>
      <w:bookmarkEnd w:id="46"/>
      <w:bookmarkEnd w:id="47"/>
      <w:bookmarkEnd w:id="48"/>
    </w:p>
    <w:p w14:paraId="4A8A9115">
      <w:pPr>
        <w:spacing w:line="600" w:lineRule="exact"/>
        <w:ind w:firstLine="640"/>
        <w:outlineLvl w:val="9"/>
        <w:rPr>
          <w:rFonts w:ascii="仿宋" w:hAnsi="仿宋" w:eastAsia="仿宋"/>
          <w:b/>
          <w:color w:val="auto"/>
          <w:sz w:val="32"/>
          <w:szCs w:val="32"/>
          <w:highlight w:val="none"/>
        </w:rPr>
      </w:pPr>
      <w:bookmarkStart w:id="49" w:name="_Toc15377216"/>
      <w:r>
        <w:rPr>
          <w:rFonts w:hint="eastAsia" w:ascii="仿宋" w:hAnsi="仿宋" w:eastAsia="仿宋"/>
          <w:b/>
          <w:color w:val="auto"/>
          <w:sz w:val="32"/>
          <w:szCs w:val="32"/>
          <w:highlight w:val="none"/>
        </w:rPr>
        <w:t>（一）“三公”经费财政拨款支出决算总体情况说明</w:t>
      </w:r>
      <w:bookmarkEnd w:id="49"/>
    </w:p>
    <w:p w14:paraId="56160BA6">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3.09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61.8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减少2.39万元，下降77.35%。</w:t>
      </w:r>
      <w:r>
        <w:rPr>
          <w:rFonts w:hint="eastAsia" w:ascii="仿宋" w:hAnsi="仿宋" w:eastAsia="仿宋"/>
          <w:color w:val="auto"/>
          <w:sz w:val="32"/>
          <w:szCs w:val="32"/>
          <w:highlight w:val="none"/>
        </w:rPr>
        <w:t>决算数小于预算数（或与预算数持平）的主要原因是</w:t>
      </w:r>
      <w:r>
        <w:rPr>
          <w:rFonts w:hint="eastAsia" w:ascii="仿宋" w:hAnsi="仿宋" w:eastAsia="仿宋"/>
          <w:color w:val="000000"/>
          <w:sz w:val="32"/>
          <w:szCs w:val="32"/>
        </w:rPr>
        <w:t>我局严格执行厉行节约的原则，压缩接待费用</w:t>
      </w:r>
      <w:r>
        <w:rPr>
          <w:rFonts w:hint="eastAsia" w:ascii="仿宋" w:hAnsi="仿宋" w:eastAsia="仿宋"/>
          <w:color w:val="auto"/>
          <w:sz w:val="32"/>
          <w:szCs w:val="32"/>
          <w:highlight w:val="none"/>
        </w:rPr>
        <w:t>。</w:t>
      </w:r>
    </w:p>
    <w:p w14:paraId="56A14393">
      <w:pPr>
        <w:spacing w:line="600" w:lineRule="exact"/>
        <w:ind w:firstLine="640"/>
        <w:outlineLvl w:val="9"/>
        <w:rPr>
          <w:rFonts w:ascii="仿宋" w:hAnsi="仿宋" w:eastAsia="仿宋"/>
          <w:b/>
          <w:color w:val="auto"/>
          <w:sz w:val="32"/>
          <w:szCs w:val="32"/>
          <w:highlight w:val="none"/>
        </w:rPr>
      </w:pPr>
      <w:bookmarkStart w:id="50" w:name="_Toc15377217"/>
      <w:r>
        <w:rPr>
          <w:rFonts w:hint="eastAsia" w:ascii="仿宋" w:hAnsi="仿宋" w:eastAsia="仿宋"/>
          <w:b/>
          <w:color w:val="auto"/>
          <w:sz w:val="32"/>
          <w:szCs w:val="32"/>
          <w:highlight w:val="none"/>
        </w:rPr>
        <w:t>（二）“三公”经费财政拨款支出决算具体情况说明</w:t>
      </w:r>
      <w:bookmarkEnd w:id="50"/>
    </w:p>
    <w:p w14:paraId="34C7ABE6">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w:t>
      </w:r>
      <w:r>
        <w:drawing>
          <wp:anchor distT="0" distB="0" distL="114300" distR="114300" simplePos="0" relativeHeight="251667456" behindDoc="0" locked="0" layoutInCell="1" allowOverlap="1">
            <wp:simplePos x="0" y="0"/>
            <wp:positionH relativeFrom="column">
              <wp:posOffset>429260</wp:posOffset>
            </wp:positionH>
            <wp:positionV relativeFrom="paragraph">
              <wp:posOffset>1457960</wp:posOffset>
            </wp:positionV>
            <wp:extent cx="4572000" cy="2743200"/>
            <wp:effectExtent l="4445" t="4445" r="8255" b="8255"/>
            <wp:wrapTopAndBottom/>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hint="eastAsia" w:ascii="仿宋" w:hAnsi="仿宋" w:eastAsia="仿宋"/>
          <w:color w:val="auto"/>
          <w:sz w:val="32"/>
          <w:szCs w:val="32"/>
          <w:highlight w:val="none"/>
        </w:rPr>
        <w:t>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3.09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4AB1DDEC">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6C71B81A">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A6C89DB">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565110D">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3.09</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61.8</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2.39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77.35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000000"/>
          <w:sz w:val="32"/>
          <w:szCs w:val="32"/>
        </w:rPr>
        <w:t>我局严格执行厉行节约的原则，压缩接待费用</w:t>
      </w:r>
      <w:r>
        <w:rPr>
          <w:rFonts w:hint="eastAsia" w:ascii="仿宋_GB2312" w:eastAsia="仿宋_GB2312"/>
          <w:color w:val="auto"/>
          <w:sz w:val="32"/>
          <w:szCs w:val="32"/>
          <w:highlight w:val="none"/>
        </w:rPr>
        <w:t>。其中：</w:t>
      </w:r>
    </w:p>
    <w:p w14:paraId="75D99D4D">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3.09</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区统计局</w:t>
      </w:r>
      <w:r>
        <w:rPr>
          <w:rFonts w:hint="eastAsia" w:ascii="仿宋_GB2312" w:eastAsia="仿宋_GB2312"/>
          <w:color w:val="auto"/>
          <w:sz w:val="32"/>
          <w:szCs w:val="32"/>
          <w:highlight w:val="none"/>
        </w:rPr>
        <w:t>执行公务、开展业务活动开支的交通费、住宿费、用餐费等。国内公务接待</w:t>
      </w:r>
      <w:r>
        <w:rPr>
          <w:rFonts w:hint="eastAsia" w:ascii="仿宋_GB2312" w:eastAsia="仿宋_GB2312"/>
          <w:color w:val="auto"/>
          <w:sz w:val="32"/>
          <w:szCs w:val="32"/>
          <w:highlight w:val="none"/>
          <w:lang w:val="en-US" w:eastAsia="zh-CN"/>
        </w:rPr>
        <w:t>81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510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3.09</w:t>
      </w:r>
      <w:r>
        <w:rPr>
          <w:rFonts w:hint="eastAsia" w:ascii="仿宋_GB2312" w:eastAsia="仿宋_GB2312"/>
          <w:color w:val="auto"/>
          <w:sz w:val="32"/>
          <w:szCs w:val="32"/>
          <w:highlight w:val="none"/>
        </w:rPr>
        <w:t>万元，具体内容包括：</w:t>
      </w:r>
      <w:r>
        <w:rPr>
          <w:rFonts w:hint="eastAsia" w:ascii="仿宋_GB2312" w:eastAsia="仿宋_GB2312"/>
          <w:color w:val="000000"/>
          <w:sz w:val="32"/>
          <w:szCs w:val="32"/>
        </w:rPr>
        <w:t>市统计局、市调查队开展调研工作、其他相</w:t>
      </w:r>
      <w:r>
        <w:rPr>
          <w:rFonts w:hint="eastAsia" w:ascii="仿宋_GB2312" w:eastAsia="仿宋_GB2312"/>
          <w:color w:val="000000"/>
          <w:sz w:val="32"/>
          <w:szCs w:val="32"/>
          <w:lang w:eastAsia="zh-CN"/>
        </w:rPr>
        <w:t>关</w:t>
      </w:r>
      <w:r>
        <w:rPr>
          <w:rFonts w:hint="eastAsia" w:ascii="仿宋_GB2312" w:eastAsia="仿宋_GB2312"/>
          <w:color w:val="000000"/>
          <w:sz w:val="32"/>
          <w:szCs w:val="32"/>
        </w:rPr>
        <w:t>区县开展交流学习工作</w:t>
      </w:r>
      <w:r>
        <w:rPr>
          <w:rFonts w:hint="eastAsia" w:ascii="仿宋_GB2312" w:eastAsia="仿宋_GB2312"/>
          <w:color w:val="auto"/>
          <w:sz w:val="32"/>
          <w:szCs w:val="32"/>
          <w:highlight w:val="none"/>
        </w:rPr>
        <w:t>。</w:t>
      </w:r>
    </w:p>
    <w:p w14:paraId="2661231C">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bookmarkStart w:id="51" w:name="_Toc15396610"/>
      <w:bookmarkStart w:id="52" w:name="_Toc15377218"/>
    </w:p>
    <w:p w14:paraId="19011591">
      <w:pPr>
        <w:spacing w:line="600" w:lineRule="exact"/>
        <w:ind w:firstLine="640"/>
        <w:outlineLvl w:val="1"/>
        <w:rPr>
          <w:rStyle w:val="29"/>
          <w:rFonts w:ascii="黑体" w:hAnsi="黑体" w:eastAsia="黑体"/>
          <w:color w:val="auto"/>
          <w:highlight w:val="none"/>
        </w:rPr>
      </w:pPr>
      <w:bookmarkStart w:id="53" w:name="_Toc3337"/>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51"/>
      <w:bookmarkEnd w:id="52"/>
      <w:bookmarkEnd w:id="53"/>
    </w:p>
    <w:p w14:paraId="0582D9E5">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3877C5F">
      <w:pPr>
        <w:numPr>
          <w:ilvl w:val="0"/>
          <w:numId w:val="3"/>
        </w:numPr>
        <w:spacing w:line="600" w:lineRule="exact"/>
        <w:ind w:firstLine="640"/>
        <w:outlineLvl w:val="1"/>
        <w:rPr>
          <w:rStyle w:val="29"/>
          <w:rFonts w:ascii="黑体" w:hAnsi="黑体" w:eastAsia="黑体"/>
          <w:b w:val="0"/>
          <w:color w:val="auto"/>
          <w:highlight w:val="none"/>
        </w:rPr>
      </w:pPr>
      <w:bookmarkStart w:id="54" w:name="_Toc15377219"/>
      <w:bookmarkStart w:id="55" w:name="_Toc15820"/>
      <w:bookmarkStart w:id="56" w:name="_Toc15396611"/>
      <w:r>
        <w:rPr>
          <w:rStyle w:val="29"/>
          <w:rFonts w:hint="eastAsia" w:ascii="黑体" w:hAnsi="黑体" w:eastAsia="黑体"/>
          <w:b w:val="0"/>
          <w:color w:val="auto"/>
          <w:highlight w:val="none"/>
        </w:rPr>
        <w:t>国有资本经营预算支出决算情况说明</w:t>
      </w:r>
      <w:bookmarkEnd w:id="54"/>
      <w:bookmarkEnd w:id="55"/>
      <w:bookmarkEnd w:id="56"/>
    </w:p>
    <w:p w14:paraId="65342DFB">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8590054">
      <w:pPr>
        <w:numPr>
          <w:ilvl w:val="0"/>
          <w:numId w:val="3"/>
        </w:numPr>
        <w:spacing w:line="600" w:lineRule="exact"/>
        <w:ind w:firstLine="640"/>
        <w:outlineLvl w:val="1"/>
        <w:rPr>
          <w:rStyle w:val="29"/>
          <w:rFonts w:hint="eastAsia" w:ascii="黑体" w:hAnsi="黑体" w:eastAsia="黑体"/>
          <w:b w:val="0"/>
          <w:color w:val="auto"/>
          <w:highlight w:val="none"/>
        </w:rPr>
      </w:pPr>
      <w:bookmarkStart w:id="57" w:name="_Toc15396612"/>
      <w:bookmarkStart w:id="58" w:name="_Toc15377221"/>
      <w:bookmarkStart w:id="59" w:name="_Toc26788"/>
      <w:r>
        <w:rPr>
          <w:rStyle w:val="29"/>
          <w:rFonts w:hint="eastAsia" w:ascii="黑体" w:hAnsi="黑体" w:eastAsia="黑体"/>
          <w:b w:val="0"/>
          <w:color w:val="auto"/>
          <w:highlight w:val="none"/>
        </w:rPr>
        <w:t>其他重要事项的情况说明</w:t>
      </w:r>
      <w:bookmarkEnd w:id="57"/>
      <w:bookmarkEnd w:id="58"/>
      <w:bookmarkEnd w:id="59"/>
    </w:p>
    <w:p w14:paraId="61CF325D">
      <w:pPr>
        <w:spacing w:line="600" w:lineRule="exact"/>
        <w:ind w:firstLine="643" w:firstLineChars="200"/>
        <w:outlineLvl w:val="9"/>
        <w:rPr>
          <w:rFonts w:ascii="仿宋" w:hAnsi="仿宋" w:eastAsia="仿宋"/>
          <w:color w:val="auto"/>
          <w:sz w:val="32"/>
          <w:szCs w:val="32"/>
          <w:highlight w:val="none"/>
        </w:rPr>
      </w:pPr>
      <w:bookmarkStart w:id="60" w:name="_Toc15377222"/>
      <w:r>
        <w:rPr>
          <w:rFonts w:hint="eastAsia" w:ascii="仿宋" w:hAnsi="仿宋" w:eastAsia="仿宋"/>
          <w:b/>
          <w:color w:val="auto"/>
          <w:sz w:val="32"/>
          <w:szCs w:val="32"/>
          <w:highlight w:val="none"/>
        </w:rPr>
        <w:t>（一）机关运行经费支出情况</w:t>
      </w:r>
      <w:bookmarkEnd w:id="60"/>
    </w:p>
    <w:p w14:paraId="13023D40">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区统计局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13.93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24.06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172.72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（或与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年决算数持平）。主要原因是</w:t>
      </w:r>
      <w:r>
        <w:rPr>
          <w:rFonts w:hint="eastAsia" w:ascii="仿宋" w:hAnsi="仿宋" w:eastAsia="仿宋"/>
          <w:color w:val="000000"/>
          <w:sz w:val="32"/>
          <w:szCs w:val="32"/>
        </w:rPr>
        <w:t>我局严格执行厉行节约的原则，压缩</w:t>
      </w:r>
      <w:r>
        <w:rPr>
          <w:rFonts w:hint="eastAsia" w:ascii="仿宋" w:hAnsi="仿宋" w:eastAsia="仿宋"/>
          <w:color w:val="000000"/>
          <w:sz w:val="32"/>
          <w:szCs w:val="32"/>
          <w:lang w:eastAsia="zh-CN"/>
        </w:rPr>
        <w:t>工作经费</w:t>
      </w:r>
      <w:r>
        <w:rPr>
          <w:rFonts w:hint="eastAsia" w:ascii="仿宋_GB2312" w:eastAsia="仿宋_GB2312"/>
          <w:color w:val="auto"/>
          <w:sz w:val="32"/>
          <w:szCs w:val="32"/>
          <w:highlight w:val="none"/>
          <w:lang w:eastAsia="zh-CN"/>
        </w:rPr>
        <w:t>。</w:t>
      </w:r>
    </w:p>
    <w:p w14:paraId="6D17F715">
      <w:pPr>
        <w:autoSpaceDE w:val="0"/>
        <w:autoSpaceDN w:val="0"/>
        <w:adjustRightInd w:val="0"/>
        <w:spacing w:line="600" w:lineRule="exact"/>
        <w:ind w:firstLine="643" w:firstLineChars="200"/>
        <w:jc w:val="left"/>
        <w:outlineLvl w:val="9"/>
        <w:rPr>
          <w:rFonts w:ascii="仿宋" w:hAnsi="仿宋" w:eastAsia="仿宋"/>
          <w:b/>
          <w:color w:val="auto"/>
          <w:sz w:val="32"/>
          <w:szCs w:val="32"/>
          <w:highlight w:val="none"/>
        </w:rPr>
      </w:pPr>
      <w:bookmarkStart w:id="61" w:name="_Toc15377223"/>
      <w:r>
        <w:rPr>
          <w:rFonts w:hint="eastAsia" w:ascii="仿宋" w:hAnsi="仿宋" w:eastAsia="仿宋"/>
          <w:b/>
          <w:color w:val="auto"/>
          <w:sz w:val="32"/>
          <w:szCs w:val="32"/>
          <w:highlight w:val="none"/>
        </w:rPr>
        <w:t>（二）政府采购支出情况</w:t>
      </w:r>
      <w:bookmarkEnd w:id="61"/>
    </w:p>
    <w:p w14:paraId="1BCBC84B">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区统计局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62E8B928">
      <w:pPr>
        <w:autoSpaceDE w:val="0"/>
        <w:autoSpaceDN w:val="0"/>
        <w:adjustRightInd w:val="0"/>
        <w:spacing w:line="600" w:lineRule="exact"/>
        <w:ind w:firstLine="643" w:firstLineChars="200"/>
        <w:jc w:val="left"/>
        <w:outlineLvl w:val="9"/>
        <w:rPr>
          <w:rFonts w:ascii="仿宋" w:hAnsi="仿宋" w:eastAsia="仿宋"/>
          <w:b/>
          <w:color w:val="auto"/>
          <w:sz w:val="32"/>
          <w:szCs w:val="32"/>
          <w:highlight w:val="none"/>
        </w:rPr>
      </w:pPr>
      <w:bookmarkStart w:id="62" w:name="_Toc15377224"/>
      <w:r>
        <w:rPr>
          <w:rFonts w:hint="eastAsia" w:ascii="仿宋" w:hAnsi="仿宋" w:eastAsia="仿宋"/>
          <w:b/>
          <w:color w:val="auto"/>
          <w:sz w:val="32"/>
          <w:szCs w:val="32"/>
          <w:highlight w:val="none"/>
        </w:rPr>
        <w:t>（三）国有资产占有使用情况</w:t>
      </w:r>
      <w:bookmarkEnd w:id="62"/>
    </w:p>
    <w:p w14:paraId="7ED6B88F">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区统计局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785BEFBC">
      <w:pPr>
        <w:autoSpaceDE w:val="0"/>
        <w:autoSpaceDN w:val="0"/>
        <w:adjustRightInd w:val="0"/>
        <w:spacing w:line="600" w:lineRule="exact"/>
        <w:ind w:firstLine="643" w:firstLineChars="200"/>
        <w:jc w:val="left"/>
        <w:outlineLvl w:val="9"/>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142F1895">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年度预算编制阶段，组织对专项统计、统计抽样调查活动</w:t>
      </w:r>
      <w:r>
        <w:rPr>
          <w:rFonts w:hint="eastAsia" w:ascii="仿宋_GB2312" w:hAnsi="仿宋_GB2312" w:eastAsia="仿宋_GB2312" w:cs="仿宋_GB2312"/>
          <w:color w:val="auto"/>
          <w:sz w:val="32"/>
          <w:szCs w:val="32"/>
          <w:highlight w:val="none"/>
          <w:lang w:eastAsia="zh-CN"/>
        </w:rPr>
        <w:t>；劳动力调查</w:t>
      </w:r>
      <w:r>
        <w:rPr>
          <w:rFonts w:hint="eastAsia" w:ascii="仿宋_GB2312" w:hAnsi="仿宋_GB2312" w:eastAsia="仿宋_GB2312" w:cs="仿宋_GB2312"/>
          <w:color w:val="auto"/>
          <w:sz w:val="32"/>
          <w:szCs w:val="32"/>
          <w:highlight w:val="none"/>
        </w:rPr>
        <w:t>项目（项目名称）等</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个项目开展了预算事前绩效评估，对XX个项目编制了绩效目标，预算执行过程中，选取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p>
    <w:p w14:paraId="437E5B56">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区统计局</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w:t>
      </w:r>
      <w:r>
        <w:rPr>
          <w:rFonts w:ascii="仿宋_GB2312" w:eastAsia="仿宋_GB2312"/>
          <w:b/>
          <w:color w:val="auto"/>
          <w:sz w:val="32"/>
          <w:szCs w:val="32"/>
          <w:highlight w:val="none"/>
        </w:rPr>
        <w:br w:type="page"/>
      </w:r>
    </w:p>
    <w:p w14:paraId="3C3D2410">
      <w:pPr>
        <w:numPr>
          <w:ilvl w:val="0"/>
          <w:numId w:val="4"/>
        </w:numPr>
        <w:spacing w:line="600" w:lineRule="exact"/>
        <w:ind w:firstLine="660" w:firstLineChars="150"/>
        <w:jc w:val="center"/>
        <w:outlineLvl w:val="0"/>
        <w:rPr>
          <w:rStyle w:val="28"/>
          <w:rFonts w:ascii="黑体" w:hAnsi="黑体" w:eastAsia="黑体"/>
          <w:b w:val="0"/>
          <w:color w:val="auto"/>
          <w:highlight w:val="none"/>
        </w:rPr>
      </w:pPr>
      <w:bookmarkStart w:id="63" w:name="_Toc15396613"/>
      <w:bookmarkStart w:id="64" w:name="_Toc15377225"/>
      <w:bookmarkStart w:id="65" w:name="_Toc5157"/>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63"/>
      <w:bookmarkEnd w:id="64"/>
      <w:bookmarkEnd w:id="65"/>
    </w:p>
    <w:p w14:paraId="21377551">
      <w:pPr>
        <w:spacing w:line="600" w:lineRule="exact"/>
        <w:jc w:val="left"/>
        <w:rPr>
          <w:rFonts w:ascii="宋体"/>
          <w:b/>
          <w:color w:val="auto"/>
          <w:sz w:val="44"/>
          <w:szCs w:val="44"/>
          <w:highlight w:val="none"/>
        </w:rPr>
      </w:pPr>
    </w:p>
    <w:p w14:paraId="3EB79129">
      <w:pPr>
        <w:pStyle w:val="26"/>
        <w:spacing w:line="560" w:lineRule="exact"/>
        <w:ind w:firstLine="640" w:firstLineChars="200"/>
        <w:rPr>
          <w:rFonts w:ascii="仿宋_GB2312" w:eastAsia="仿宋_GB2312"/>
          <w:color w:val="auto"/>
          <w:sz w:val="32"/>
          <w:szCs w:val="32"/>
          <w:highlight w:val="none"/>
        </w:rPr>
      </w:pPr>
      <w:bookmarkStart w:id="66"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28772759">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4E08BF8F">
      <w:pPr>
        <w:pStyle w:val="26"/>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3AE2AFF2">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14:paraId="51D2F435">
      <w:pPr>
        <w:pStyle w:val="26"/>
        <w:spacing w:line="56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p>
    <w:p w14:paraId="17C022CE">
      <w:pPr>
        <w:pStyle w:val="26"/>
        <w:spacing w:line="56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p>
    <w:p w14:paraId="1525671B">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3B585058">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3137BCCA">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一般公共服务（类）统计信息事务（款）行政运行（项）：指行政事业单位的基本支出。</w:t>
      </w:r>
    </w:p>
    <w:p w14:paraId="02786A53">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一般公共服务（类）统计信息事务（款）专项统计业务（项）：指统计机关在日常业务之外开展专项统计工作的支出。</w:t>
      </w:r>
    </w:p>
    <w:p w14:paraId="4EA97BC0">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一般公共服务（类）统计信息事务（款）专项普查活动（项）：指统计部门开展人口普查、经济普查、农业普查、投入产出调查等周期性普查工作的支出。</w:t>
      </w:r>
    </w:p>
    <w:p w14:paraId="4437E974">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一般公共服务（类）统计信息事务（款）统计抽样调查（项）：指统计抽样调查队开展各类统计调查工作的支出。</w:t>
      </w:r>
    </w:p>
    <w:p w14:paraId="0D988C4B">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一般公共服务（类）统计信息事务（款）其他统计信息事务（项）：指除上述项目以外的其他统计信息事务支出。</w:t>
      </w:r>
    </w:p>
    <w:p w14:paraId="2DDEC5D6">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.社会保障和就业支出（类）行政事业单位离退休（款）机关事业单位基本养老保险缴费支出（项）:指机关事业单位实施养老保险制度由单位缴纳的基本养老保险费支出。</w:t>
      </w:r>
    </w:p>
    <w:p w14:paraId="57611D00">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.社会保障和就业支出（类）其他社会保障和就业支出（款）其他社会保障和就业支出（项）:指除上述项目以外其他用于社会保障和就业方面的支出。</w:t>
      </w:r>
    </w:p>
    <w:p w14:paraId="43BFB42C">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卫生健康支出（类）行政事业单位医疗（款）行政单位医疗（项）:指财政部门安排的行政单位基本医疗保险缴费经费，未参加医疗保险的行政单位的公费医疗经费，按国家规定享受离休人员、红军老战士待遇人员的医疗经费。</w:t>
      </w:r>
    </w:p>
    <w:p w14:paraId="110030D2">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.卫生健康支出（类）行政事业单位医疗（款）公务员医疗补助（项）:指财政部门安排的公务员医疗补助经费。</w:t>
      </w:r>
    </w:p>
    <w:p w14:paraId="5D04CE7C">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.卫生健康支出（类）行政事业单位医疗（款）其他行政单位医疗支出（项）:指除上述项目以外的其他用于行政事业单位医疗方面的支出。</w:t>
      </w:r>
    </w:p>
    <w:p w14:paraId="3E88C34F">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19.住房保障支出（类）住房改革支出（款）住房公积金（项）:指行政事业单位按人力资源和社会保障部、财政部规定的基本工资和津补贴以及规定比例为职工缴纳的住房公积金。</w:t>
      </w:r>
    </w:p>
    <w:p w14:paraId="5AAC97E8">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523E3C0C">
      <w:pPr>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0326BBD3">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E7F4239">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B52AF7">
      <w:pPr>
        <w:spacing w:line="600" w:lineRule="exact"/>
        <w:jc w:val="center"/>
        <w:outlineLvl w:val="0"/>
        <w:rPr>
          <w:rStyle w:val="28"/>
          <w:rFonts w:hint="eastAsia" w:ascii="黑体" w:hAnsi="黑体" w:eastAsia="黑体"/>
          <w:b w:val="0"/>
          <w:color w:val="auto"/>
          <w:highlight w:val="none"/>
          <w:lang w:eastAsia="zh-CN"/>
        </w:rPr>
      </w:pPr>
      <w:r>
        <w:rPr>
          <w:rFonts w:ascii="宋体"/>
          <w:b/>
          <w:color w:val="auto"/>
          <w:sz w:val="44"/>
          <w:szCs w:val="44"/>
          <w:highlight w:val="none"/>
        </w:rPr>
        <w:br w:type="page"/>
      </w:r>
      <w:bookmarkStart w:id="67" w:name="_Toc15396614"/>
      <w:bookmarkStart w:id="68" w:name="_Toc9013"/>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四部分附件</w:t>
      </w:r>
      <w:bookmarkEnd w:id="67"/>
      <w:bookmarkEnd w:id="68"/>
    </w:p>
    <w:p w14:paraId="00DA9A38">
      <w:pPr>
        <w:keepNext w:val="0"/>
        <w:keepLines w:val="0"/>
        <w:pageBreakBefore w:val="0"/>
        <w:kinsoku/>
        <w:wordWrap/>
        <w:overflowPunct/>
        <w:topLinePunct w:val="0"/>
        <w:autoSpaceDE/>
        <w:autoSpaceDN/>
        <w:bidi w:val="0"/>
        <w:spacing w:line="572" w:lineRule="exact"/>
        <w:jc w:val="left"/>
        <w:textAlignment w:val="auto"/>
        <w:outlineLvl w:val="9"/>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28B12E8E">
      <w:pPr>
        <w:keepNext w:val="0"/>
        <w:keepLines w:val="0"/>
        <w:pageBreakBefore w:val="0"/>
        <w:widowControl/>
        <w:kinsoku/>
        <w:wordWrap/>
        <w:overflowPunct/>
        <w:topLinePunct w:val="0"/>
        <w:autoSpaceDE/>
        <w:autoSpaceDN/>
        <w:bidi w:val="0"/>
        <w:spacing w:line="560" w:lineRule="exact"/>
        <w:contextualSpacing/>
        <w:jc w:val="center"/>
        <w:textAlignment w:val="auto"/>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23</w:t>
      </w:r>
      <w:r>
        <w:rPr>
          <w:rFonts w:hint="eastAsia" w:ascii="宋体" w:hAnsi="宋体" w:eastAsia="宋体"/>
          <w:b/>
          <w:color w:val="auto"/>
          <w:sz w:val="32"/>
          <w:szCs w:val="32"/>
          <w:highlight w:val="none"/>
          <w:shd w:val="clear" w:color="auto" w:fill="FFFFFF"/>
        </w:rPr>
        <w:t>年省级部门整体绩效评价报告</w:t>
      </w:r>
    </w:p>
    <w:p w14:paraId="7BE57D2F">
      <w:pPr>
        <w:keepNext w:val="0"/>
        <w:keepLines w:val="0"/>
        <w:pageBreakBefore w:val="0"/>
        <w:widowControl/>
        <w:kinsoku/>
        <w:wordWrap/>
        <w:overflowPunct/>
        <w:topLinePunct w:val="0"/>
        <w:autoSpaceDE/>
        <w:autoSpaceDN/>
        <w:bidi w:val="0"/>
        <w:spacing w:line="560" w:lineRule="exact"/>
        <w:contextualSpacing/>
        <w:jc w:val="center"/>
        <w:textAlignment w:val="auto"/>
        <w:rPr>
          <w:rFonts w:ascii="黑体" w:hAnsi="宋体" w:eastAsia="黑体" w:cs="宋体"/>
          <w:color w:val="auto"/>
          <w:kern w:val="0"/>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（报告范围包括机关和下属单位）</w:t>
      </w:r>
    </w:p>
    <w:p w14:paraId="6B5F2229">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14:paraId="7B694248">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机构组成。（简要介绍）</w:t>
      </w:r>
    </w:p>
    <w:p w14:paraId="14EDF7B4">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1、办公室。</w:t>
      </w:r>
    </w:p>
    <w:p w14:paraId="3FBC61AF">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负责协调机关政务和后勤管理；负责行政效能建设、政务督办和绩效管理工作，承担人事、教育、党建、财务、文秘、宣传、会务、政务信息、档案管理以及保密、信访、维稳、综治等工作；统一管理全区统计部门的中央统计事业费；管理机关行政财务和基本建设，负责固定资产的监督管理，承担机关和所属事业单位的内部审计工作；负责全区统计专业人才队伍建设；完成局领导和上级机关交办的其他各项工作。</w:t>
      </w:r>
    </w:p>
    <w:p w14:paraId="3C40ADB1">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2、综合统计与国民经济核算股(贸易外经与社会事业统计股)。</w:t>
      </w:r>
    </w:p>
    <w:p w14:paraId="0449F40E">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贯彻执行国家统计制度和国家统计标准；拟订全区统计制度改革规划；组织实施地区国民经济核算；组织实施全区国民经济运行的监测预警和综合分析研究；对统计数据的使用和提供进行管理、审查；组织实施全区统计基层基础建设；组织实施全区服务业、批发和零售业、住宿和餐饮业、人口、工资、劳动力的统计调查；承担有关专业“一套表”改革工作。</w:t>
      </w:r>
    </w:p>
    <w:p w14:paraId="380F5687">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3、工业与投资统计股(农村经济统计股)</w:t>
      </w:r>
    </w:p>
    <w:p w14:paraId="2B604EF9">
      <w:pPr>
        <w:spacing w:line="600" w:lineRule="exact"/>
        <w:ind w:firstLine="640" w:firstLineChars="200"/>
        <w:outlineLvl w:val="9"/>
        <w:rPr>
          <w:rFonts w:hint="eastAsia" w:ascii="仿宋" w:hAnsi="仿宋" w:eastAsia="仿宋"/>
          <w:color w:val="auto"/>
          <w:sz w:val="32"/>
          <w:szCs w:val="32"/>
          <w:highlight w:val="none"/>
          <w:lang w:val="zh-CN" w:eastAsia="zh-CN"/>
        </w:rPr>
      </w:pPr>
      <w:r>
        <w:rPr>
          <w:rFonts w:hint="eastAsia" w:ascii="仿宋" w:hAnsi="仿宋" w:eastAsia="仿宋"/>
          <w:color w:val="auto"/>
          <w:sz w:val="32"/>
          <w:szCs w:val="32"/>
          <w:highlight w:val="none"/>
          <w:lang w:val="en-US" w:eastAsia="zh-CN"/>
        </w:rPr>
        <w:t>组织实施全区工业、固定资产投资、建筑业、房地产业、农业、农村经济、乡镇信息、能源、环境、科技与创新的统计调查，收集、整理和提供有关统计调查数据；承担有关专业“一套表”改革工作；收集、整理和提供有关统计调查数据，对有关数据质量进行检查和评估，检查指导有关专业统计基础工作，进行统计分析。</w:t>
      </w:r>
    </w:p>
    <w:p w14:paraId="2BCB33CF">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14:paraId="4A688269">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贯彻执行国家统计工作的方针、政策和法律、法规以及统计制度、统计标准；拟定或与有关部门制订全区统计标准；管理全区统计调查项目，审批各部门的统计调查计划、调查方案；承担组织领导和协调全区统计工作，监督检查统计法律、法规的实施，统计数据真实、准确、及时的责任。</w:t>
      </w:r>
    </w:p>
    <w:p w14:paraId="236BAA59">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（2）建立健全全区国民经济核算体系，组织实施全区国民经济核算制度，核算全区地区生产总值，整理提供国民经济核算资料，开展分析研究；建立和管理全区统计报表，全面完成国家、省、市的各项任务。</w:t>
      </w:r>
    </w:p>
    <w:p w14:paraId="0D8276BC">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组织实施国民经济行业以及人口、城乡收入、价格、科技、社会发展、环境基本情况等领域的统计调查，建立全区经济社会发展监测评价制度及指标体系，对重点区域和重要领域实施监测评价，牵头综合整理和提供资源环境、旅游、教育卫生、邮电、交通运输、社会保障、公用事业、对外贸易等全区基本统计资料。</w:t>
      </w:r>
    </w:p>
    <w:p w14:paraId="2CC63F94">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（4）组织实施人口、经济、农业等普查和重大国情国力专项调查，组织实施全区投入产出调查、组织实施粮食、生猪等农产品监测专项调查和社情民意调查。</w:t>
      </w:r>
    </w:p>
    <w:p w14:paraId="1F938AAE">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（5）对国民经济、社会发展、科技进步和资源环境等情况进行统计分析和预测，定期发布全区经济社会发展情况的统计信息，向区委、区政府及有关部门提供统计咨询建议，向社会公众提供统计信息服务。</w:t>
      </w:r>
    </w:p>
    <w:p w14:paraId="6631890E">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（6）建立健全和管理全区统计信息自动化系统和统计数据库体系；负责全区统计信息网络的信息提供和协调管理。</w:t>
      </w:r>
    </w:p>
    <w:p w14:paraId="330EA8B2">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（7）负责职责范围内的安全生产和职业健康、生态环境保护、审批服务便民化、市场监管、依法治理等工作。</w:t>
      </w:r>
    </w:p>
    <w:p w14:paraId="43834E6D">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2022年统计局共有在编人员16人，其中：行政编制12人，事业编制0人，工勤编制4人。</w:t>
      </w:r>
    </w:p>
    <w:p w14:paraId="4C7DE9B9">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leftChars="0" w:firstLine="643" w:firstLineChars="200"/>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14:paraId="11057D2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rPr>
          <w:rFonts w:hint="eastAsia" w:ascii="Times New Roman" w:hAnsi="Times New Roman" w:eastAsia="仿宋" w:cs="仿宋"/>
          <w:bCs/>
          <w:kern w:val="0"/>
          <w:sz w:val="32"/>
          <w:szCs w:val="32"/>
          <w:lang w:val="en-US" w:eastAsia="zh-CN"/>
        </w:rPr>
      </w:pPr>
      <w:r>
        <w:rPr>
          <w:rFonts w:hint="eastAsia" w:eastAsia="楷体" w:cs="楷体"/>
          <w:b/>
          <w:bCs w:val="0"/>
          <w:kern w:val="0"/>
          <w:sz w:val="32"/>
          <w:szCs w:val="32"/>
          <w:lang w:val="en-US" w:eastAsia="zh-CN"/>
        </w:rPr>
        <w:t>（1）</w:t>
      </w:r>
      <w:r>
        <w:rPr>
          <w:rFonts w:hint="eastAsia" w:ascii="Times New Roman" w:hAnsi="Times New Roman" w:eastAsia="楷体" w:cs="楷体"/>
          <w:b/>
          <w:bCs w:val="0"/>
          <w:kern w:val="0"/>
          <w:sz w:val="32"/>
          <w:szCs w:val="32"/>
          <w:lang w:val="en-US" w:eastAsia="zh-CN"/>
        </w:rPr>
        <w:t>履职尽责，提供优质统计服务。</w:t>
      </w:r>
      <w:r>
        <w:rPr>
          <w:rFonts w:hint="eastAsia" w:ascii="Times New Roman" w:hAnsi="Times New Roman" w:eastAsia="仿宋" w:cs="仿宋"/>
          <w:b/>
          <w:bCs w:val="0"/>
          <w:kern w:val="0"/>
          <w:sz w:val="32"/>
          <w:szCs w:val="32"/>
          <w:lang w:val="en-US" w:eastAsia="zh-CN"/>
        </w:rPr>
        <w:t>一是</w:t>
      </w:r>
      <w:r>
        <w:rPr>
          <w:rFonts w:hint="eastAsia" w:ascii="Times New Roman" w:hAnsi="Times New Roman" w:eastAsia="仿宋" w:cs="仿宋"/>
          <w:bCs/>
          <w:kern w:val="0"/>
          <w:sz w:val="32"/>
          <w:szCs w:val="32"/>
          <w:lang w:val="en-US" w:eastAsia="zh-CN"/>
        </w:rPr>
        <w:t>加强统计监测分析预警。对照区委、区政府年度预期目标，按期发布GDP、规上工业、固定资产投资等主要统计数据，深度分析现状和存在问题，提出有效对策建议，不断完善经济运行监测预警体系，做到“月度数据有分析、经济走势有研判、重大问题有预警”。组织编印《安居统计年鉴》《安居统计月报》等统计产品上千册，及时准确向区委、区政府及社会公众发布最新经济数据。准确研判经济形势，深度挖掘各项统计资料，及时撰写统计分析、统计信息等资料，第一时间为区委、区政府提供信息参考。截至目前，完成统计常规分析10期，完成统计简讯20余篇，撰写统计动态信息60余篇，为保持经济平稳发展，精准施策提供了扎实可靠的判断依据。</w:t>
      </w:r>
      <w:r>
        <w:rPr>
          <w:rFonts w:hint="eastAsia" w:ascii="Times New Roman" w:hAnsi="Times New Roman" w:eastAsia="仿宋" w:cs="仿宋"/>
          <w:b/>
          <w:bCs w:val="0"/>
          <w:kern w:val="0"/>
          <w:sz w:val="32"/>
          <w:szCs w:val="32"/>
          <w:lang w:val="en-US" w:eastAsia="zh-CN"/>
        </w:rPr>
        <w:t>二是</w:t>
      </w:r>
      <w:r>
        <w:rPr>
          <w:rFonts w:hint="eastAsia" w:ascii="Times New Roman" w:hAnsi="Times New Roman" w:eastAsia="仿宋" w:cs="仿宋"/>
          <w:bCs/>
          <w:kern w:val="0"/>
          <w:sz w:val="32"/>
          <w:szCs w:val="32"/>
          <w:lang w:val="en-US" w:eastAsia="zh-CN"/>
        </w:rPr>
        <w:t>认真开展统计监测调查。严格执行报表制度，严把数据质量关，高效完成“四上”“四下”各专业月、季报表任务；联合部门完成妇儿两纲统计监测、人口变动抽样调查、2022年遂宁市基层医疗卫生服务情况调查等工作；会同行业主管部门，扎实开展“转企升规”专项攻坚行动，培育企业成长、壮大企业规模、提升企业能级。</w:t>
      </w:r>
      <w:r>
        <w:rPr>
          <w:rFonts w:hint="eastAsia" w:ascii="Times New Roman" w:hAnsi="Times New Roman" w:eastAsia="仿宋" w:cs="仿宋"/>
          <w:b/>
          <w:bCs w:val="0"/>
          <w:kern w:val="0"/>
          <w:sz w:val="32"/>
          <w:szCs w:val="32"/>
          <w:lang w:val="en-US" w:eastAsia="zh-CN"/>
        </w:rPr>
        <w:t>三是</w:t>
      </w:r>
      <w:r>
        <w:rPr>
          <w:rFonts w:hint="eastAsia" w:ascii="Times New Roman" w:hAnsi="Times New Roman" w:eastAsia="仿宋" w:cs="仿宋"/>
          <w:bCs/>
          <w:kern w:val="0"/>
          <w:sz w:val="32"/>
          <w:szCs w:val="32"/>
          <w:lang w:val="en-US" w:eastAsia="zh-CN"/>
        </w:rPr>
        <w:t>积极开展样本轮换工作。积极对接市调查队开展住户调查大样本轮换、农作物对地抽样调查样本轮换工作，精准反映我区城乡居民收支、农业生产发展现状。前三季度，安居区GDP、第一产业增加值、规上工业增加值、全社会固定资产投资多项指标增速排位全市第一，经济增速继续领跑全市。</w:t>
      </w:r>
    </w:p>
    <w:p w14:paraId="3E688EC1">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eastAsia" w:ascii="Times New Roman" w:hAnsi="Times New Roman" w:eastAsia="仿宋" w:cs="仿宋"/>
          <w:bCs/>
          <w:kern w:val="0"/>
          <w:sz w:val="32"/>
          <w:szCs w:val="32"/>
          <w:lang w:val="en-US" w:eastAsia="zh-CN"/>
        </w:rPr>
      </w:pPr>
      <w:r>
        <w:rPr>
          <w:rFonts w:hint="eastAsia" w:ascii="Times New Roman" w:hAnsi="Times New Roman" w:eastAsia="仿宋" w:cs="仿宋"/>
          <w:bCs/>
          <w:kern w:val="0"/>
          <w:sz w:val="32"/>
          <w:szCs w:val="32"/>
          <w:lang w:val="en-US" w:eastAsia="zh-CN"/>
        </w:rPr>
        <w:t>2022年1月，安居区被国家统计局四川调查总队评为2021年住户监测调查工作先进县、2021年产粮大县监测调查工作先进县、2021年畜牧业统计调查数据归口管理工作先进县、2021年全省劳动力调查工作先进县；2022年2月，安居区统计局被国家统计局遂宁调查队评为居民收入调查和劳动力调查优秀单位、被区委区政府评为2021年度遂宁市安居区乡村振兴优秀单位；局机关2名干部被区委区政府表彰为“重实干、强执行、抓落实”先进个人，1名干部被区委农村工作领导小组表扬为2021年度全区“三农”工作先进个人。2022年6月局机关1名干部被四川省统计局、四川省人力资源和社会保障厅表彰为四川省第七次全国人口普查先进个人。</w:t>
      </w:r>
    </w:p>
    <w:p w14:paraId="4FFDA640">
      <w:pPr>
        <w:keepNext w:val="0"/>
        <w:keepLines w:val="0"/>
        <w:pageBreakBefore w:val="0"/>
        <w:widowControl w:val="0"/>
        <w:kinsoku/>
        <w:wordWrap/>
        <w:overflowPunct/>
        <w:topLinePunct w:val="0"/>
        <w:autoSpaceDE/>
        <w:autoSpaceDN/>
        <w:bidi w:val="0"/>
        <w:adjustRightInd/>
        <w:snapToGrid/>
        <w:spacing w:line="576" w:lineRule="exact"/>
        <w:ind w:firstLine="643" w:firstLineChars="200"/>
        <w:rPr>
          <w:rFonts w:hint="eastAsia" w:ascii="Times New Roman" w:hAnsi="Times New Roman" w:eastAsia="仿宋" w:cs="仿宋"/>
          <w:bCs/>
          <w:kern w:val="0"/>
          <w:sz w:val="32"/>
          <w:szCs w:val="32"/>
          <w:lang w:val="en-US" w:eastAsia="zh-CN"/>
        </w:rPr>
      </w:pPr>
      <w:r>
        <w:rPr>
          <w:rFonts w:hint="eastAsia" w:ascii="Times New Roman" w:hAnsi="Times New Roman" w:eastAsia="楷体" w:cs="楷体"/>
          <w:b/>
          <w:bCs w:val="0"/>
          <w:kern w:val="0"/>
          <w:sz w:val="32"/>
          <w:szCs w:val="32"/>
          <w:lang w:val="en-US" w:eastAsia="zh-CN"/>
        </w:rPr>
        <w:t>（</w:t>
      </w:r>
      <w:r>
        <w:rPr>
          <w:rFonts w:hint="eastAsia" w:eastAsia="楷体" w:cs="楷体"/>
          <w:b/>
          <w:bCs w:val="0"/>
          <w:kern w:val="0"/>
          <w:sz w:val="32"/>
          <w:szCs w:val="32"/>
          <w:lang w:val="en-US" w:eastAsia="zh-CN"/>
        </w:rPr>
        <w:t>2</w:t>
      </w:r>
      <w:r>
        <w:rPr>
          <w:rFonts w:hint="eastAsia" w:ascii="Times New Roman" w:hAnsi="Times New Roman" w:eastAsia="楷体" w:cs="楷体"/>
          <w:b/>
          <w:bCs w:val="0"/>
          <w:kern w:val="0"/>
          <w:sz w:val="32"/>
          <w:szCs w:val="32"/>
          <w:lang w:val="en-US" w:eastAsia="zh-CN"/>
        </w:rPr>
        <w:t>）筑牢基础，加快统计规范化建设。</w:t>
      </w:r>
      <w:r>
        <w:rPr>
          <w:rFonts w:hint="eastAsia" w:ascii="Times New Roman" w:hAnsi="Times New Roman" w:eastAsia="仿宋" w:cs="仿宋"/>
          <w:b/>
          <w:bCs w:val="0"/>
          <w:kern w:val="0"/>
          <w:sz w:val="32"/>
          <w:szCs w:val="32"/>
          <w:lang w:val="en-US" w:eastAsia="zh-CN"/>
        </w:rPr>
        <w:t>一是</w:t>
      </w:r>
      <w:r>
        <w:rPr>
          <w:rFonts w:hint="eastAsia" w:ascii="Times New Roman" w:hAnsi="Times New Roman" w:eastAsia="仿宋" w:cs="仿宋"/>
          <w:bCs/>
          <w:kern w:val="0"/>
          <w:sz w:val="32"/>
          <w:szCs w:val="32"/>
          <w:lang w:val="en-US" w:eastAsia="zh-CN"/>
        </w:rPr>
        <w:t>联合行业主管部门，加大基层统计业务培训力度，扎实推进“四上”和限下抽样单位统计规范化建设工作。结合日常开展的工业、投资、服务业、贸经等专业培训会议，对基层统计人员进行了基层基础规范化建设培训指导，使镇（街道）和企业在统计工作中有更加统一的、规范的操作标准，确保了基层统计数据质量；</w:t>
      </w:r>
      <w:r>
        <w:rPr>
          <w:rFonts w:hint="eastAsia" w:ascii="Times New Roman" w:hAnsi="Times New Roman" w:eastAsia="仿宋" w:cs="仿宋"/>
          <w:b/>
          <w:bCs w:val="0"/>
          <w:kern w:val="0"/>
          <w:sz w:val="32"/>
          <w:szCs w:val="32"/>
          <w:lang w:val="en-US" w:eastAsia="zh-CN"/>
        </w:rPr>
        <w:t>二是</w:t>
      </w:r>
      <w:r>
        <w:rPr>
          <w:rFonts w:hint="eastAsia" w:ascii="Times New Roman" w:hAnsi="Times New Roman" w:eastAsia="仿宋" w:cs="仿宋"/>
          <w:bCs/>
          <w:kern w:val="0"/>
          <w:sz w:val="32"/>
          <w:szCs w:val="32"/>
          <w:lang w:val="en-US" w:eastAsia="zh-CN"/>
        </w:rPr>
        <w:t>各专业人员到镇（街道）和企业督导检查时，把基层基础建设各项制度的落实情况作为一项主要内容来抓，实地查看基层的制度建设和网上直报平台，现场查阅其台账、过录表等基础资料，对资料不齐全、填写不完整、保管不规范的，指导统计人员严格按照制度查漏补缺。</w:t>
      </w:r>
      <w:r>
        <w:rPr>
          <w:rFonts w:hint="eastAsia" w:ascii="Times New Roman" w:hAnsi="Times New Roman" w:eastAsia="仿宋" w:cs="仿宋"/>
          <w:b/>
          <w:bCs w:val="0"/>
          <w:kern w:val="0"/>
          <w:sz w:val="32"/>
          <w:szCs w:val="32"/>
          <w:lang w:val="en-US" w:eastAsia="zh-CN"/>
        </w:rPr>
        <w:t>三是</w:t>
      </w:r>
      <w:r>
        <w:rPr>
          <w:rFonts w:hint="eastAsia" w:ascii="Times New Roman" w:hAnsi="Times New Roman" w:eastAsia="仿宋" w:cs="仿宋"/>
          <w:bCs/>
          <w:kern w:val="0"/>
          <w:sz w:val="32"/>
          <w:szCs w:val="32"/>
          <w:lang w:val="en-US" w:eastAsia="zh-CN"/>
        </w:rPr>
        <w:t>由局综合统计与国民经济核算股牵头，组织各专业编制《遂宁市安居区统计数据质量管理体系》，共计制定、修改、完善17项工作标准和质量管理办法，进一步加强了统计数据质量过程管理，提高统计数据真实性。</w:t>
      </w:r>
      <w:r>
        <w:rPr>
          <w:rFonts w:hint="eastAsia" w:ascii="Times New Roman" w:hAnsi="Times New Roman" w:eastAsia="仿宋" w:cs="仿宋"/>
          <w:b/>
          <w:bCs w:val="0"/>
          <w:kern w:val="0"/>
          <w:sz w:val="32"/>
          <w:szCs w:val="32"/>
          <w:lang w:val="en-US" w:eastAsia="zh-CN"/>
        </w:rPr>
        <w:t>四是</w:t>
      </w:r>
      <w:r>
        <w:rPr>
          <w:rFonts w:hint="eastAsia" w:ascii="Times New Roman" w:hAnsi="Times New Roman" w:eastAsia="仿宋" w:cs="仿宋"/>
          <w:bCs/>
          <w:kern w:val="0"/>
          <w:sz w:val="32"/>
          <w:szCs w:val="32"/>
          <w:lang w:val="en-US" w:eastAsia="zh-CN"/>
        </w:rPr>
        <w:t>加强人才队伍建设。2022年以公招、调动形式充实4名有统计工作经验干部到局机关，上派1名干部到市调查队参加“师徒制”学习，有效稳定了统计工作力量。</w:t>
      </w:r>
    </w:p>
    <w:p w14:paraId="18C83BA8">
      <w:pPr>
        <w:keepNext w:val="0"/>
        <w:keepLines w:val="0"/>
        <w:pageBreakBefore w:val="0"/>
        <w:widowControl w:val="0"/>
        <w:kinsoku/>
        <w:wordWrap/>
        <w:overflowPunct/>
        <w:topLinePunct w:val="0"/>
        <w:autoSpaceDE/>
        <w:autoSpaceDN/>
        <w:bidi w:val="0"/>
        <w:adjustRightInd/>
        <w:snapToGrid/>
        <w:spacing w:line="576" w:lineRule="exact"/>
        <w:ind w:firstLine="643" w:firstLineChars="200"/>
        <w:rPr>
          <w:rFonts w:hint="eastAsia" w:ascii="Times New Roman" w:hAnsi="Times New Roman" w:eastAsia="仿宋" w:cs="仿宋"/>
          <w:bCs/>
          <w:kern w:val="0"/>
          <w:sz w:val="32"/>
          <w:szCs w:val="32"/>
          <w:lang w:val="en-US" w:eastAsia="zh-CN"/>
        </w:rPr>
      </w:pPr>
      <w:r>
        <w:rPr>
          <w:rFonts w:hint="eastAsia" w:ascii="Times New Roman" w:hAnsi="Times New Roman" w:eastAsia="楷体" w:cs="楷体"/>
          <w:b/>
          <w:bCs w:val="0"/>
          <w:kern w:val="0"/>
          <w:sz w:val="32"/>
          <w:szCs w:val="32"/>
          <w:lang w:val="en-US" w:eastAsia="zh-CN"/>
        </w:rPr>
        <w:t>（</w:t>
      </w:r>
      <w:r>
        <w:rPr>
          <w:rFonts w:hint="eastAsia" w:eastAsia="楷体" w:cs="楷体"/>
          <w:b/>
          <w:bCs w:val="0"/>
          <w:kern w:val="0"/>
          <w:sz w:val="32"/>
          <w:szCs w:val="32"/>
          <w:lang w:val="en-US" w:eastAsia="zh-CN"/>
        </w:rPr>
        <w:t>3</w:t>
      </w:r>
      <w:r>
        <w:rPr>
          <w:rFonts w:hint="eastAsia" w:ascii="Times New Roman" w:hAnsi="Times New Roman" w:eastAsia="楷体" w:cs="楷体"/>
          <w:b/>
          <w:bCs w:val="0"/>
          <w:kern w:val="0"/>
          <w:sz w:val="32"/>
          <w:szCs w:val="32"/>
          <w:lang w:val="en-US" w:eastAsia="zh-CN"/>
        </w:rPr>
        <w:t>）依法治统，全面落实数据质量管控。</w:t>
      </w:r>
      <w:r>
        <w:rPr>
          <w:rFonts w:hint="eastAsia" w:ascii="Times New Roman" w:hAnsi="Times New Roman" w:eastAsia="仿宋" w:cs="仿宋"/>
          <w:b/>
          <w:bCs w:val="0"/>
          <w:kern w:val="0"/>
          <w:sz w:val="32"/>
          <w:szCs w:val="32"/>
          <w:lang w:val="en-US" w:eastAsia="zh-CN"/>
        </w:rPr>
        <w:t>一是</w:t>
      </w:r>
      <w:r>
        <w:rPr>
          <w:rFonts w:hint="eastAsia" w:ascii="Times New Roman" w:hAnsi="Times New Roman" w:eastAsia="仿宋" w:cs="仿宋"/>
          <w:bCs/>
          <w:kern w:val="0"/>
          <w:sz w:val="32"/>
          <w:szCs w:val="32"/>
          <w:lang w:val="en-US" w:eastAsia="zh-CN"/>
        </w:rPr>
        <w:t>扎实推进统计法治学习宣传。及时在区委常委会和区政府常务会上传达学习了《关于更加有效发挥统计监督职能作用的意见》和中省市关于“统计造假不收手不收敛问题专项纠治”工作部署精神；在区委组织部组织的2022年安居区新时代递进培养年轻干部“铸魂工程”培训班上对《统计法》进行了学习；通过年报会、业务培训会等对统计对象开展统计法律知识培训10余次，培训人数500余人次，做到“四上”企业全覆盖。</w:t>
      </w:r>
      <w:r>
        <w:rPr>
          <w:rFonts w:hint="eastAsia" w:ascii="Times New Roman" w:hAnsi="Times New Roman" w:eastAsia="仿宋" w:cs="仿宋"/>
          <w:b/>
          <w:bCs w:val="0"/>
          <w:kern w:val="0"/>
          <w:sz w:val="32"/>
          <w:szCs w:val="32"/>
          <w:lang w:val="en-US" w:eastAsia="zh-CN"/>
        </w:rPr>
        <w:t>二是</w:t>
      </w:r>
      <w:r>
        <w:rPr>
          <w:rFonts w:hint="eastAsia" w:ascii="Times New Roman" w:hAnsi="Times New Roman" w:eastAsia="仿宋" w:cs="仿宋"/>
          <w:bCs/>
          <w:kern w:val="0"/>
          <w:sz w:val="32"/>
          <w:szCs w:val="32"/>
          <w:lang w:val="en-US" w:eastAsia="zh-CN"/>
        </w:rPr>
        <w:t>大力开展统计法治宣传活动。通过区人民政府网、统计内网和微信公众号等媒介平台，发布统计法律法规相关信息20余条。发放统计法律法规宣传读本200余册，法治宣传资料300余份到镇（街道）、企业，大力宣传统计法律法规相关知识，加大社会和群众对统计法律法规的知晓度。</w:t>
      </w:r>
      <w:r>
        <w:rPr>
          <w:rFonts w:hint="eastAsia" w:ascii="Times New Roman" w:hAnsi="Times New Roman" w:eastAsia="仿宋" w:cs="仿宋"/>
          <w:b/>
          <w:bCs w:val="0"/>
          <w:kern w:val="0"/>
          <w:sz w:val="32"/>
          <w:szCs w:val="32"/>
          <w:lang w:val="en-US" w:eastAsia="zh-CN"/>
        </w:rPr>
        <w:t>三是</w:t>
      </w:r>
      <w:r>
        <w:rPr>
          <w:rFonts w:hint="eastAsia" w:ascii="Times New Roman" w:hAnsi="Times New Roman" w:eastAsia="仿宋" w:cs="仿宋"/>
          <w:bCs/>
          <w:kern w:val="0"/>
          <w:sz w:val="32"/>
          <w:szCs w:val="32"/>
          <w:lang w:val="en-US" w:eastAsia="zh-CN"/>
        </w:rPr>
        <w:t>积极开展统计执法监督检查。制定了《2022年度安居区统计执法检查方案》，7月配合市统计局开展了入库退库专项执法检查工作，9月全面完成了27个单位的执法检查任务，进一步提高了源头统计数据质量，统计法律意识明显增强。</w:t>
      </w:r>
      <w:r>
        <w:rPr>
          <w:rFonts w:hint="eastAsia" w:ascii="Times New Roman" w:hAnsi="Times New Roman" w:eastAsia="仿宋" w:cs="仿宋"/>
          <w:b/>
          <w:bCs w:val="0"/>
          <w:kern w:val="0"/>
          <w:sz w:val="32"/>
          <w:szCs w:val="32"/>
          <w:lang w:val="en-US" w:eastAsia="zh-CN"/>
        </w:rPr>
        <w:t>四是</w:t>
      </w:r>
      <w:r>
        <w:rPr>
          <w:rFonts w:hint="eastAsia" w:ascii="Times New Roman" w:hAnsi="Times New Roman" w:eastAsia="仿宋" w:cs="仿宋"/>
          <w:bCs/>
          <w:kern w:val="0"/>
          <w:sz w:val="32"/>
          <w:szCs w:val="32"/>
          <w:lang w:val="en-US" w:eastAsia="zh-CN"/>
        </w:rPr>
        <w:t>着力加强统计执法队伍建设。今年10月因干部工作调动，现我局仅有2人持有统计行政执法证件。为推进依法行政和法治政府建设，增强统计执法力量，进一步提高统计执法人员的执法水平，本年度组织2名干部参加四川省统计局执法资格培训，均已通过省级统计执法考试。</w:t>
      </w:r>
    </w:p>
    <w:p w14:paraId="659D5BE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yellow"/>
          <w:shd w:val="clear" w:color="auto" w:fill="FFFFFF"/>
          <w:lang w:val="zh-CN"/>
        </w:rPr>
      </w:pPr>
      <w:r>
        <w:rPr>
          <w:rFonts w:hint="eastAsia" w:ascii="Times New Roman" w:hAnsi="Times New Roman" w:eastAsia="楷体" w:cs="楷体"/>
          <w:b/>
          <w:bCs w:val="0"/>
          <w:kern w:val="0"/>
          <w:sz w:val="32"/>
          <w:szCs w:val="32"/>
          <w:lang w:val="en-US" w:eastAsia="zh-CN"/>
        </w:rPr>
        <w:t>（</w:t>
      </w:r>
      <w:r>
        <w:rPr>
          <w:rFonts w:hint="eastAsia" w:eastAsia="楷体" w:cs="楷体"/>
          <w:b/>
          <w:bCs w:val="0"/>
          <w:kern w:val="0"/>
          <w:sz w:val="32"/>
          <w:szCs w:val="32"/>
          <w:lang w:val="en-US" w:eastAsia="zh-CN"/>
        </w:rPr>
        <w:t>4</w:t>
      </w:r>
      <w:r>
        <w:rPr>
          <w:rFonts w:hint="eastAsia" w:ascii="Times New Roman" w:hAnsi="Times New Roman" w:eastAsia="楷体" w:cs="楷体"/>
          <w:b/>
          <w:bCs w:val="0"/>
          <w:kern w:val="0"/>
          <w:sz w:val="32"/>
          <w:szCs w:val="32"/>
          <w:lang w:val="en-US" w:eastAsia="zh-CN"/>
        </w:rPr>
        <w:t>）紧扣中心，扎实推进机关党建工作。</w:t>
      </w:r>
      <w:r>
        <w:rPr>
          <w:rFonts w:hint="eastAsia" w:ascii="Times New Roman" w:hAnsi="Times New Roman" w:eastAsia="仿宋" w:cs="仿宋"/>
          <w:b/>
          <w:bCs w:val="0"/>
          <w:kern w:val="0"/>
          <w:sz w:val="32"/>
          <w:szCs w:val="32"/>
          <w:lang w:val="en-US" w:eastAsia="zh-CN"/>
        </w:rPr>
        <w:t>一是</w:t>
      </w:r>
      <w:r>
        <w:rPr>
          <w:rFonts w:hint="eastAsia" w:ascii="Times New Roman" w:hAnsi="Times New Roman" w:eastAsia="仿宋" w:cs="仿宋"/>
          <w:bCs/>
          <w:kern w:val="0"/>
          <w:sz w:val="32"/>
          <w:szCs w:val="32"/>
          <w:lang w:val="en-US" w:eastAsia="zh-CN"/>
        </w:rPr>
        <w:t>严格落实党建工作责任制。班子成员带头严格遵守各项廉政规定，落实好党组书记第一责任和班子成员“一岗双责”，制定并下发《2022年区统计局党建工作要点》和《2022年度履行党风廉政建设主体责任清单》，分工细化了领导班子成员责任。</w:t>
      </w:r>
      <w:r>
        <w:rPr>
          <w:rFonts w:hint="eastAsia" w:ascii="Times New Roman" w:hAnsi="Times New Roman" w:eastAsia="仿宋" w:cs="仿宋"/>
          <w:b/>
          <w:bCs w:val="0"/>
          <w:kern w:val="0"/>
          <w:sz w:val="32"/>
          <w:szCs w:val="32"/>
          <w:lang w:val="en-US" w:eastAsia="zh-CN"/>
        </w:rPr>
        <w:t>二是</w:t>
      </w:r>
      <w:r>
        <w:rPr>
          <w:rFonts w:hint="eastAsia" w:ascii="Times New Roman" w:hAnsi="Times New Roman" w:eastAsia="仿宋" w:cs="仿宋"/>
          <w:bCs/>
          <w:kern w:val="0"/>
          <w:sz w:val="32"/>
          <w:szCs w:val="32"/>
          <w:lang w:val="en-US" w:eastAsia="zh-CN"/>
        </w:rPr>
        <w:t>认真抓好思想政治理论学习。通过党组（中心组）学习会、专题组织生活会、“三会一课”、民主生活会等方式，组织全局干部职工深入学习党的二十大精神、习近平新时代中国特色社会主义思想、习近平总书记考察四川重要讲话指示精神以及省、市、区统计工作会议精神，抓好全局上下思想政治建设。组织全局党员干部到海龙凯歌文旅园区多样化开展主题党日活动，激励全体干部职工切实把思想和行动统一到党的二十大精神上来。充分运用批评教育、谈心谈话和警示教育，管好干部职工，切实做到机关风清气正。</w:t>
      </w:r>
      <w:r>
        <w:rPr>
          <w:rFonts w:hint="eastAsia" w:ascii="Times New Roman" w:hAnsi="Times New Roman" w:eastAsia="仿宋" w:cs="仿宋"/>
          <w:b/>
          <w:bCs w:val="0"/>
          <w:kern w:val="0"/>
          <w:sz w:val="32"/>
          <w:szCs w:val="32"/>
          <w:lang w:val="en-US" w:eastAsia="zh-CN"/>
        </w:rPr>
        <w:t>三是</w:t>
      </w:r>
      <w:r>
        <w:rPr>
          <w:rFonts w:hint="eastAsia" w:ascii="Times New Roman" w:hAnsi="Times New Roman" w:eastAsia="仿宋" w:cs="仿宋"/>
          <w:bCs/>
          <w:kern w:val="0"/>
          <w:sz w:val="32"/>
          <w:szCs w:val="32"/>
          <w:lang w:val="en-US" w:eastAsia="zh-CN"/>
        </w:rPr>
        <w:t>在疫情防控和乡村振兴等中心工作方面，按照党员干部分组带队，积极参与核酸样本转运和社区卡点值守，充分发挥了党员先锋模范作用。深入分析乡村振兴实施情况，配合市级完成《安居区乡村振兴战略投资情况调研报告》，全面反映了安居乡村振兴战略投资情况的现状、问题并提出了有效建议。</w:t>
      </w:r>
      <w:r>
        <w:rPr>
          <w:rFonts w:hint="eastAsia" w:ascii="Times New Roman" w:hAnsi="Times New Roman" w:eastAsia="仿宋" w:cs="仿宋"/>
          <w:b/>
          <w:bCs w:val="0"/>
          <w:kern w:val="0"/>
          <w:sz w:val="32"/>
          <w:szCs w:val="32"/>
          <w:lang w:val="en-US" w:eastAsia="zh-CN"/>
        </w:rPr>
        <w:t>四是</w:t>
      </w:r>
      <w:r>
        <w:rPr>
          <w:rFonts w:hint="eastAsia" w:ascii="Times New Roman" w:hAnsi="Times New Roman" w:eastAsia="仿宋" w:cs="仿宋"/>
          <w:bCs/>
          <w:kern w:val="0"/>
          <w:sz w:val="32"/>
          <w:szCs w:val="32"/>
          <w:lang w:val="en-US" w:eastAsia="zh-CN"/>
        </w:rPr>
        <w:t>强化意识形态阵地管控，守住守好统计产品、内网和微信公众号等意识形态阵地。打造西眉金乐村住户调查点和三家镇五里村粮食监测点“党建引领”示范阵地。</w:t>
      </w:r>
    </w:p>
    <w:p w14:paraId="6FD361A4">
      <w:pPr>
        <w:spacing w:line="600" w:lineRule="exact"/>
        <w:ind w:firstLine="640"/>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p>
    <w:p w14:paraId="22AEDF77">
      <w:pPr>
        <w:spacing w:line="600" w:lineRule="exact"/>
        <w:ind w:firstLine="640"/>
        <w:rPr>
          <w:rFonts w:hint="eastAsia"/>
          <w:lang w:val="zh-CN"/>
        </w:rPr>
      </w:pPr>
      <w:r>
        <w:rPr>
          <w:rFonts w:ascii="仿宋" w:hAnsi="仿宋" w:eastAsia="仿宋" w:cs="仿宋"/>
          <w:color w:val="000000"/>
          <w:kern w:val="0"/>
          <w:sz w:val="31"/>
          <w:szCs w:val="31"/>
          <w:lang w:val="en-US" w:eastAsia="zh-CN" w:bidi="ar"/>
        </w:rPr>
        <w:t xml:space="preserve">按照预算绩效管理要求，本部门对 </w:t>
      </w:r>
      <w:r>
        <w:rPr>
          <w:rFonts w:hint="default" w:ascii="Times New Roman" w:hAnsi="Times New Roman" w:eastAsia="宋体" w:cs="Times New Roman"/>
          <w:color w:val="000000"/>
          <w:kern w:val="0"/>
          <w:sz w:val="31"/>
          <w:szCs w:val="31"/>
          <w:lang w:val="en-US" w:eastAsia="zh-CN" w:bidi="ar"/>
        </w:rPr>
        <w:t xml:space="preserve">2022 </w:t>
      </w:r>
      <w:r>
        <w:rPr>
          <w:rFonts w:hint="eastAsia" w:ascii="仿宋" w:hAnsi="仿宋" w:eastAsia="仿宋" w:cs="仿宋"/>
          <w:color w:val="000000"/>
          <w:kern w:val="0"/>
          <w:sz w:val="31"/>
          <w:szCs w:val="31"/>
          <w:lang w:val="en-US" w:eastAsia="zh-CN" w:bidi="ar"/>
        </w:rPr>
        <w:t xml:space="preserve">年整体支出开展绩效自评，自评得分 </w:t>
      </w:r>
      <w:r>
        <w:rPr>
          <w:rFonts w:hint="default" w:ascii="Times New Roman" w:hAnsi="Times New Roman" w:eastAsia="宋体" w:cs="Times New Roman"/>
          <w:color w:val="000000"/>
          <w:kern w:val="0"/>
          <w:sz w:val="31"/>
          <w:szCs w:val="31"/>
          <w:lang w:val="en-US" w:eastAsia="zh-CN" w:bidi="ar"/>
        </w:rPr>
        <w:t xml:space="preserve">83 </w:t>
      </w:r>
      <w:r>
        <w:rPr>
          <w:rFonts w:hint="eastAsia" w:ascii="仿宋" w:hAnsi="仿宋" w:eastAsia="仿宋" w:cs="仿宋"/>
          <w:color w:val="000000"/>
          <w:kern w:val="0"/>
          <w:sz w:val="31"/>
          <w:szCs w:val="31"/>
          <w:lang w:val="en-US" w:eastAsia="zh-CN" w:bidi="ar"/>
        </w:rPr>
        <w:t>分。</w:t>
      </w:r>
    </w:p>
    <w:p w14:paraId="49E344F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14:paraId="42D0DE02">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14:paraId="4E36B45F">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2022年本年收入合计468.1万元，其中：一般公共预算财政拨款468.1万元。</w:t>
      </w:r>
    </w:p>
    <w:p w14:paraId="665470C1">
      <w:pPr>
        <w:spacing w:line="600" w:lineRule="exact"/>
        <w:ind w:firstLine="640" w:firstLineChars="200"/>
        <w:outlineLvl w:val="9"/>
        <w:rPr>
          <w:rFonts w:hint="eastAsia"/>
          <w:lang w:val="en-US" w:eastAsia="zh-CN"/>
        </w:rPr>
      </w:pPr>
      <w:r>
        <w:rPr>
          <w:rFonts w:hint="eastAsia" w:ascii="仿宋" w:hAnsi="仿宋" w:eastAsia="仿宋"/>
          <w:color w:val="auto"/>
          <w:sz w:val="32"/>
          <w:szCs w:val="32"/>
          <w:highlight w:val="none"/>
          <w:lang w:val="en-US" w:eastAsia="zh-CN"/>
        </w:rPr>
        <w:t>2022年本年支出合计468.1万元，其中：基本支出265.66万元，占56.75%；项目支出202.44万元，占43.25%。</w:t>
      </w:r>
    </w:p>
    <w:p w14:paraId="5FCB127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14:paraId="5A511861">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2022年财政拨款收入合计468.1万元。</w:t>
      </w:r>
    </w:p>
    <w:p w14:paraId="2D83181B">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2022年财政拨款支出合计468.1万元，其中基本支出265.65万元，占总支出56.75%；项目支出202.45万元，占总支出43.25%。</w:t>
      </w:r>
    </w:p>
    <w:p w14:paraId="11129EB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r>
        <w:rPr>
          <w:rFonts w:hint="eastAsia" w:ascii="黑体" w:hAnsi="宋体" w:eastAsia="黑体" w:cs="宋体"/>
          <w:color w:val="auto"/>
          <w:kern w:val="0"/>
          <w:sz w:val="32"/>
          <w:szCs w:val="32"/>
          <w:highlight w:val="none"/>
          <w:shd w:val="clear" w:color="auto" w:fill="FFFFFF"/>
        </w:rPr>
        <w:t>（根据适用指标体系进行调整</w:t>
      </w:r>
      <w:r>
        <w:rPr>
          <w:rFonts w:hint="eastAsia" w:ascii="黑体" w:hAnsi="宋体" w:eastAsia="黑体" w:cs="宋体"/>
          <w:color w:val="auto"/>
          <w:kern w:val="0"/>
          <w:sz w:val="32"/>
          <w:szCs w:val="32"/>
          <w:highlight w:val="none"/>
          <w:shd w:val="clear" w:color="auto" w:fill="FFFFFF"/>
          <w:lang w:eastAsia="zh-CN"/>
        </w:rPr>
        <w:t>，涉及有专项资金预算项目的部门，专项资金预算项目自评报告作为本报告附件一并公开</w:t>
      </w:r>
      <w:r>
        <w:rPr>
          <w:rFonts w:hint="eastAsia" w:ascii="黑体" w:hAnsi="宋体" w:eastAsia="黑体" w:cs="宋体"/>
          <w:color w:val="auto"/>
          <w:kern w:val="0"/>
          <w:sz w:val="32"/>
          <w:szCs w:val="32"/>
          <w:highlight w:val="none"/>
          <w:shd w:val="clear" w:color="auto" w:fill="FFFFFF"/>
        </w:rPr>
        <w:t>）</w:t>
      </w:r>
    </w:p>
    <w:p w14:paraId="33DAD92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14:paraId="30D8B3F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14:paraId="7F7D1F8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预算编制严格按照区预算编制方案科学合理编制本部门预算，提前做好情况摸底、数据收集、填报绩效目标、细化项目预算，根据定员和人员经费标准定额计算确定经费预算，从严控制相关经费，按照“零增长”的原则编制“三公经费”预算，压缩接待费用。</w:t>
      </w:r>
    </w:p>
    <w:p w14:paraId="30B80AB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14:paraId="02FA9E7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编制严格按照区预算编制方案科学合理编制本部门预算，提前做好情况摸底、数据收集、填报绩效目标、细化项目预算，根据日常公用经费定额计算确定经费预算，从严控制相关经费，按照“零增长”的原则编制“三公经费”预算，压缩接待费用。</w:t>
      </w:r>
    </w:p>
    <w:p w14:paraId="36AEF02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14:paraId="187A2A1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sz w:val="32"/>
          <w:szCs w:val="32"/>
          <w:lang w:val="en-US" w:eastAsia="zh-CN"/>
        </w:rPr>
        <w:t>科学编制项目支出，按照“谁申请资金，谁编制目标”的要求，编制部门预算项目绩效目标。按时完成预算编制报送工作。</w:t>
      </w:r>
    </w:p>
    <w:p w14:paraId="1AE5367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14:paraId="61E2AD5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部门整体绩效目标预算数与执行数一致。</w:t>
      </w:r>
    </w:p>
    <w:p w14:paraId="4EC66EAF">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14:paraId="33F22D2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 w:hAnsi="仿宋" w:eastAsia="仿宋"/>
          <w:color w:val="000000"/>
          <w:sz w:val="32"/>
          <w:szCs w:val="32"/>
          <w:lang w:val="en-US" w:eastAsia="zh-CN"/>
        </w:rPr>
        <w:t>按时将部门的预算、决算、绩效评价情况相关信息在安居区政务网公开上进行了公开。2022年严格按照支出绩效评价指标体系内容开展绩效管理工作，财务状况更加公开、透明。</w:t>
      </w:r>
    </w:p>
    <w:p w14:paraId="486DD1B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14:paraId="74D0B3C1">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14:paraId="15A6E637">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hint="eastAsia"/>
          <w:lang w:val="zh-CN"/>
        </w:rPr>
      </w:pPr>
      <w:r>
        <w:rPr>
          <w:rFonts w:hint="eastAsia" w:ascii="仿宋" w:hAnsi="仿宋" w:eastAsia="仿宋" w:cs="仿宋_GB2312"/>
          <w:color w:val="000000"/>
          <w:sz w:val="32"/>
          <w:szCs w:val="32"/>
        </w:rPr>
        <w:t>按照预算绩效管理要求，本部门对</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s="仿宋_GB2312"/>
          <w:color w:val="000000"/>
          <w:sz w:val="32"/>
          <w:szCs w:val="32"/>
        </w:rPr>
        <w:t>年整体支出开展绩效自评</w:t>
      </w:r>
      <w:r>
        <w:rPr>
          <w:rFonts w:hint="eastAsia" w:ascii="仿宋" w:hAnsi="仿宋" w:eastAsia="仿宋" w:cs="仿宋_GB2312"/>
          <w:sz w:val="32"/>
          <w:szCs w:val="32"/>
        </w:rPr>
        <w:t>，自评得分</w:t>
      </w:r>
      <w:r>
        <w:rPr>
          <w:rFonts w:hint="eastAsia" w:ascii="仿宋" w:hAnsi="仿宋" w:eastAsia="仿宋" w:cs="仿宋_GB2312"/>
          <w:sz w:val="32"/>
          <w:szCs w:val="32"/>
          <w:lang w:val="en-US" w:eastAsia="zh-CN"/>
        </w:rPr>
        <w:t>89</w:t>
      </w:r>
      <w:r>
        <w:rPr>
          <w:rFonts w:hint="eastAsia" w:ascii="仿宋" w:hAnsi="仿宋" w:eastAsia="仿宋" w:cs="仿宋_GB2312"/>
          <w:sz w:val="32"/>
          <w:szCs w:val="32"/>
        </w:rPr>
        <w:t>分。</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详见附表</w:t>
      </w:r>
      <w:r>
        <w:rPr>
          <w:rFonts w:hint="eastAsia" w:ascii="仿宋" w:hAnsi="仿宋" w:eastAsia="仿宋" w:cs="仿宋_GB2312"/>
          <w:sz w:val="32"/>
          <w:szCs w:val="32"/>
          <w:lang w:eastAsia="zh-CN"/>
        </w:rPr>
        <w:t>）</w:t>
      </w:r>
    </w:p>
    <w:p w14:paraId="466650C2">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p>
    <w:p w14:paraId="19E41214">
      <w:pPr>
        <w:pStyle w:val="6"/>
        <w:ind w:firstLine="640" w:firstLineChars="200"/>
        <w:rPr>
          <w:rFonts w:hint="eastAsia"/>
          <w:lang w:val="zh-CN"/>
        </w:rPr>
      </w:pPr>
      <w:r>
        <w:rPr>
          <w:rFonts w:hint="eastAsia" w:ascii="仿宋" w:hAnsi="仿宋" w:eastAsia="仿宋" w:cs="仿宋_GB2312"/>
          <w:color w:val="000000"/>
          <w:sz w:val="32"/>
          <w:szCs w:val="32"/>
        </w:rPr>
        <w:t>一是资金使用效益有待进一步提高。二是个别会计核算科目不精准</w:t>
      </w:r>
    </w:p>
    <w:p w14:paraId="556D1FB3">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p>
    <w:p w14:paraId="046B0D92">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ascii="仿宋" w:hAnsi="仿宋" w:eastAsia="仿宋" w:cs="仿宋_GB2312"/>
          <w:color w:val="000000"/>
          <w:sz w:val="32"/>
          <w:szCs w:val="32"/>
        </w:rPr>
      </w:pPr>
      <w:r>
        <w:rPr>
          <w:rFonts w:ascii="仿宋" w:hAnsi="仿宋" w:eastAsia="仿宋" w:cs="仿宋_GB2312"/>
          <w:color w:val="000000"/>
          <w:sz w:val="32"/>
          <w:szCs w:val="32"/>
        </w:rPr>
        <w:t>1</w:t>
      </w:r>
      <w:r>
        <w:rPr>
          <w:rFonts w:hint="eastAsia" w:ascii="仿宋" w:hAnsi="仿宋" w:eastAsia="仿宋" w:cs="仿宋_GB2312"/>
          <w:color w:val="000000"/>
          <w:sz w:val="32"/>
          <w:szCs w:val="32"/>
        </w:rPr>
        <w:t>、细化预算编制工作，认真做好预算的编制。进一步加强单位的预算管理意识，严格按照预算编制的相关制度和要求，进一步提高预算编制的科学性、合理性、严谨性和可控性。单位内部要深挖潜力，强化责任意识，细化工作措施，夯实管理基础，加强统筹协调，不断提高管理水平和能力，切实抓好部门预算和执行等管理工作，促进财政资金使用绩效的不断提高。</w:t>
      </w:r>
    </w:p>
    <w:p w14:paraId="6975D639">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ascii="仿宋" w:hAnsi="仿宋" w:eastAsia="仿宋" w:cs="仿宋_GB2312"/>
          <w:color w:val="000000"/>
          <w:sz w:val="32"/>
          <w:szCs w:val="32"/>
        </w:rPr>
      </w:pPr>
      <w:r>
        <w:rPr>
          <w:rFonts w:ascii="仿宋" w:hAnsi="仿宋" w:eastAsia="仿宋" w:cs="仿宋_GB2312"/>
          <w:color w:val="000000"/>
          <w:sz w:val="32"/>
          <w:szCs w:val="32"/>
        </w:rPr>
        <w:t>2</w:t>
      </w:r>
      <w:r>
        <w:rPr>
          <w:rFonts w:hint="eastAsia" w:ascii="仿宋" w:hAnsi="仿宋" w:eastAsia="仿宋" w:cs="仿宋_GB2312"/>
          <w:color w:val="000000"/>
          <w:sz w:val="32"/>
          <w:szCs w:val="32"/>
        </w:rPr>
        <w:t>、进一步强化责任意识、细化工作措施。单位要夯实管理基础、加强统筹协调、提升管理水平，切实抓好预算执行管理工作，加快预算支出进度，提高预算执行质量，确保全年的预算执行工作顺利完成。</w:t>
      </w:r>
    </w:p>
    <w:p w14:paraId="2BC246DD">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hint="eastAsia" w:hAnsi="宋体" w:cs="宋体"/>
          <w:color w:val="auto"/>
          <w:kern w:val="0"/>
          <w:sz w:val="32"/>
          <w:szCs w:val="32"/>
          <w:highlight w:val="none"/>
          <w:shd w:val="clear" w:color="auto" w:fill="FFFFFF"/>
          <w:lang w:val="zh-CN"/>
        </w:rPr>
      </w:pPr>
      <w:r>
        <w:rPr>
          <w:rFonts w:ascii="仿宋" w:hAnsi="仿宋" w:eastAsia="仿宋" w:cs="仿宋_GB2312"/>
          <w:color w:val="000000"/>
          <w:sz w:val="32"/>
          <w:szCs w:val="32"/>
        </w:rPr>
        <w:t>3</w:t>
      </w:r>
      <w:r>
        <w:rPr>
          <w:rFonts w:hint="eastAsia" w:ascii="仿宋" w:hAnsi="仿宋" w:eastAsia="仿宋" w:cs="仿宋_GB2312"/>
          <w:color w:val="000000"/>
          <w:sz w:val="32"/>
          <w:szCs w:val="32"/>
        </w:rPr>
        <w:t>、严格按照财务会计制度的要求，进一步完善单位内部的会计控制体系，特别是在资金使用的规范方面，加强内控管理；进一步加强项目成本和资金的分析和控制，强化资金和资产管理，加强对项目的管控能力，强化审计监察和绩效考核工作。</w:t>
      </w:r>
    </w:p>
    <w:p w14:paraId="177F7C1F">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p w14:paraId="02A55D79">
      <w:pPr>
        <w:pStyle w:val="6"/>
        <w:rPr>
          <w:rFonts w:hint="eastAsia" w:hAnsi="宋体" w:cs="宋体"/>
          <w:color w:val="auto"/>
          <w:kern w:val="0"/>
          <w:sz w:val="32"/>
          <w:szCs w:val="32"/>
          <w:highlight w:val="none"/>
          <w:shd w:val="clear" w:color="auto" w:fill="FFFFFF"/>
          <w:lang w:val="zh-CN"/>
        </w:rPr>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748"/>
        <w:gridCol w:w="1208"/>
        <w:gridCol w:w="785"/>
        <w:gridCol w:w="3646"/>
        <w:gridCol w:w="3887"/>
        <w:gridCol w:w="1375"/>
        <w:gridCol w:w="1777"/>
      </w:tblGrid>
      <w:tr w14:paraId="1DE3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000" w:type="pct"/>
            <w:gridSpan w:val="8"/>
            <w:tcBorders>
              <w:top w:val="nil"/>
              <w:left w:val="nil"/>
              <w:bottom w:val="single" w:color="000000" w:sz="4" w:space="0"/>
              <w:right w:val="nil"/>
            </w:tcBorders>
            <w:shd w:val="clear" w:color="auto" w:fill="auto"/>
            <w:vAlign w:val="center"/>
          </w:tcPr>
          <w:p w14:paraId="45DCAFA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2022年区级部门整体支出绩效评价指标体系</w:t>
            </w:r>
          </w:p>
        </w:tc>
      </w:tr>
      <w:tr w14:paraId="6AF9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7DA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4B5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1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187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1371" w:type="pct"/>
            <w:vMerge w:val="restart"/>
            <w:tcBorders>
              <w:top w:val="single" w:color="000000" w:sz="4" w:space="0"/>
              <w:left w:val="nil"/>
              <w:bottom w:val="single" w:color="000000" w:sz="4" w:space="0"/>
              <w:right w:val="single" w:color="000000" w:sz="4" w:space="0"/>
            </w:tcBorders>
            <w:shd w:val="clear" w:color="auto" w:fill="auto"/>
            <w:vAlign w:val="center"/>
          </w:tcPr>
          <w:p w14:paraId="69B2D1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485" w:type="pct"/>
            <w:vMerge w:val="restart"/>
            <w:tcBorders>
              <w:top w:val="single" w:color="000000" w:sz="4" w:space="0"/>
              <w:left w:val="nil"/>
              <w:bottom w:val="single" w:color="000000" w:sz="4" w:space="0"/>
              <w:right w:val="single" w:color="000000" w:sz="4" w:space="0"/>
            </w:tcBorders>
            <w:shd w:val="clear" w:color="auto" w:fill="auto"/>
            <w:vAlign w:val="center"/>
          </w:tcPr>
          <w:p w14:paraId="6150F9B1">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自评得分</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F22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F8A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63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AB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FE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83680">
            <w:pPr>
              <w:jc w:val="center"/>
              <w:rPr>
                <w:rFonts w:hint="eastAsia" w:ascii="宋体" w:hAnsi="宋体" w:eastAsia="宋体" w:cs="宋体"/>
                <w:b/>
                <w:bCs/>
                <w:i w:val="0"/>
                <w:iCs w:val="0"/>
                <w:color w:val="000000"/>
                <w:sz w:val="24"/>
                <w:szCs w:val="24"/>
                <w:u w:val="none"/>
              </w:rPr>
            </w:pPr>
          </w:p>
        </w:tc>
        <w:tc>
          <w:tcPr>
            <w:tcW w:w="1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F39E5">
            <w:pPr>
              <w:jc w:val="center"/>
              <w:rPr>
                <w:rFonts w:hint="eastAsia" w:ascii="宋体" w:hAnsi="宋体" w:eastAsia="宋体" w:cs="宋体"/>
                <w:b/>
                <w:bCs/>
                <w:i w:val="0"/>
                <w:iCs w:val="0"/>
                <w:color w:val="000000"/>
                <w:sz w:val="24"/>
                <w:szCs w:val="24"/>
                <w:u w:val="none"/>
              </w:rPr>
            </w:pPr>
          </w:p>
        </w:tc>
        <w:tc>
          <w:tcPr>
            <w:tcW w:w="1371" w:type="pct"/>
            <w:vMerge w:val="continue"/>
            <w:tcBorders>
              <w:top w:val="single" w:color="000000" w:sz="4" w:space="0"/>
              <w:left w:val="nil"/>
              <w:bottom w:val="single" w:color="000000" w:sz="4" w:space="0"/>
              <w:right w:val="single" w:color="000000" w:sz="4" w:space="0"/>
            </w:tcBorders>
            <w:shd w:val="clear" w:color="auto" w:fill="auto"/>
            <w:vAlign w:val="center"/>
          </w:tcPr>
          <w:p w14:paraId="092A8FB8">
            <w:pPr>
              <w:jc w:val="center"/>
              <w:rPr>
                <w:rFonts w:hint="eastAsia" w:ascii="宋体" w:hAnsi="宋体" w:eastAsia="宋体" w:cs="宋体"/>
                <w:b/>
                <w:bCs/>
                <w:i w:val="0"/>
                <w:iCs w:val="0"/>
                <w:color w:val="000000"/>
                <w:sz w:val="24"/>
                <w:szCs w:val="24"/>
                <w:u w:val="none"/>
              </w:rPr>
            </w:pPr>
          </w:p>
        </w:tc>
        <w:tc>
          <w:tcPr>
            <w:tcW w:w="485" w:type="pct"/>
            <w:vMerge w:val="continue"/>
            <w:tcBorders>
              <w:top w:val="single" w:color="000000" w:sz="4" w:space="0"/>
              <w:left w:val="nil"/>
              <w:bottom w:val="single" w:color="000000" w:sz="4" w:space="0"/>
              <w:right w:val="single" w:color="000000" w:sz="4" w:space="0"/>
            </w:tcBorders>
            <w:shd w:val="clear" w:color="auto" w:fill="auto"/>
            <w:vAlign w:val="center"/>
          </w:tcPr>
          <w:p w14:paraId="35AE1F45">
            <w:pPr>
              <w:jc w:val="right"/>
              <w:rPr>
                <w:rFonts w:hint="eastAsia" w:ascii="宋体" w:hAnsi="宋体" w:eastAsia="宋体" w:cs="宋体"/>
                <w:b/>
                <w:bCs/>
                <w:i w:val="0"/>
                <w:iCs w:val="0"/>
                <w:color w:val="000000"/>
                <w:sz w:val="24"/>
                <w:szCs w:val="24"/>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A197D">
            <w:pPr>
              <w:jc w:val="center"/>
              <w:rPr>
                <w:rFonts w:hint="eastAsia" w:ascii="宋体" w:hAnsi="宋体" w:eastAsia="宋体" w:cs="宋体"/>
                <w:b/>
                <w:bCs/>
                <w:i w:val="0"/>
                <w:iCs w:val="0"/>
                <w:color w:val="000000"/>
                <w:sz w:val="24"/>
                <w:szCs w:val="24"/>
                <w:u w:val="none"/>
              </w:rPr>
            </w:pPr>
          </w:p>
        </w:tc>
      </w:tr>
      <w:tr w14:paraId="2040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4B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部门预算管理（80分）</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2C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预算编制（30分）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6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6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CA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评价部门绩效目标是否要素完整、细化量化。</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9A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968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ACFE">
            <w:pPr>
              <w:rPr>
                <w:rFonts w:hint="eastAsia" w:ascii="宋体" w:hAnsi="宋体" w:eastAsia="宋体" w:cs="宋体"/>
                <w:i w:val="0"/>
                <w:iCs w:val="0"/>
                <w:color w:val="000000"/>
                <w:sz w:val="24"/>
                <w:szCs w:val="24"/>
                <w:u w:val="none"/>
              </w:rPr>
            </w:pPr>
          </w:p>
        </w:tc>
      </w:tr>
      <w:tr w14:paraId="1D98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EE787">
            <w:pPr>
              <w:jc w:val="center"/>
              <w:rPr>
                <w:rFonts w:hint="eastAsia" w:ascii="宋体" w:hAnsi="宋体" w:eastAsia="宋体" w:cs="宋体"/>
                <w:i w:val="0"/>
                <w:iCs w:val="0"/>
                <w:color w:val="000000"/>
                <w:sz w:val="24"/>
                <w:szCs w:val="24"/>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41619">
            <w:pPr>
              <w:jc w:val="center"/>
              <w:rPr>
                <w:rFonts w:hint="eastAsia" w:ascii="宋体" w:hAnsi="宋体" w:eastAsia="宋体" w:cs="宋体"/>
                <w:i w:val="0"/>
                <w:iCs w:val="0"/>
                <w:color w:val="000000"/>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C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目标实现</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3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8C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评价部门绩效目标实际实现程度与预期目标的偏离度。</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56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8D2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B3E9">
            <w:pPr>
              <w:rPr>
                <w:rFonts w:hint="eastAsia" w:ascii="宋体" w:hAnsi="宋体" w:eastAsia="宋体" w:cs="宋体"/>
                <w:i w:val="0"/>
                <w:iCs w:val="0"/>
                <w:color w:val="000000"/>
                <w:sz w:val="24"/>
                <w:szCs w:val="24"/>
                <w:u w:val="none"/>
              </w:rPr>
            </w:pPr>
          </w:p>
        </w:tc>
      </w:tr>
      <w:tr w14:paraId="21185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10F79">
            <w:pPr>
              <w:jc w:val="center"/>
              <w:rPr>
                <w:rFonts w:hint="eastAsia" w:ascii="宋体" w:hAnsi="宋体" w:eastAsia="宋体" w:cs="宋体"/>
                <w:i w:val="0"/>
                <w:iCs w:val="0"/>
                <w:color w:val="000000"/>
                <w:sz w:val="24"/>
                <w:szCs w:val="24"/>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88366">
            <w:pPr>
              <w:jc w:val="center"/>
              <w:rPr>
                <w:rFonts w:hint="eastAsia" w:ascii="宋体" w:hAnsi="宋体" w:eastAsia="宋体" w:cs="宋体"/>
                <w:i w:val="0"/>
                <w:iCs w:val="0"/>
                <w:color w:val="000000"/>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3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编制准确</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B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33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评价部门年初预算编制是否科学准确。</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AA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指标得分=（1-（10×部门全年预算调剂金额/年初部门预算数））*指标分值。其中：若部门全年预算调剂金额/年初部门预算数&gt;0.1，此项得0分。</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AF6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881B">
            <w:pPr>
              <w:rPr>
                <w:rFonts w:hint="eastAsia" w:ascii="宋体" w:hAnsi="宋体" w:eastAsia="宋体" w:cs="宋体"/>
                <w:i w:val="0"/>
                <w:iCs w:val="0"/>
                <w:color w:val="000000"/>
                <w:sz w:val="24"/>
                <w:szCs w:val="24"/>
                <w:u w:val="none"/>
              </w:rPr>
            </w:pPr>
          </w:p>
        </w:tc>
      </w:tr>
      <w:tr w14:paraId="053A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9"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799D8">
            <w:pPr>
              <w:jc w:val="center"/>
              <w:rPr>
                <w:rFonts w:hint="eastAsia" w:ascii="宋体" w:hAnsi="宋体" w:eastAsia="宋体" w:cs="宋体"/>
                <w:i w:val="0"/>
                <w:iCs w:val="0"/>
                <w:color w:val="000000"/>
                <w:sz w:val="24"/>
                <w:szCs w:val="24"/>
                <w:u w:val="none"/>
              </w:rPr>
            </w:pP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CC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预算执行（30分）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C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4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2C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A8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A85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07F0">
            <w:pPr>
              <w:rPr>
                <w:rFonts w:hint="eastAsia" w:ascii="宋体" w:hAnsi="宋体" w:eastAsia="宋体" w:cs="宋体"/>
                <w:i w:val="0"/>
                <w:iCs w:val="0"/>
                <w:color w:val="000000"/>
                <w:sz w:val="24"/>
                <w:szCs w:val="24"/>
                <w:u w:val="none"/>
              </w:rPr>
            </w:pPr>
          </w:p>
        </w:tc>
      </w:tr>
      <w:tr w14:paraId="7B7B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0E063">
            <w:pPr>
              <w:jc w:val="center"/>
              <w:rPr>
                <w:rFonts w:hint="eastAsia" w:ascii="宋体" w:hAnsi="宋体" w:eastAsia="宋体" w:cs="宋体"/>
                <w:i w:val="0"/>
                <w:iCs w:val="0"/>
                <w:color w:val="000000"/>
                <w:sz w:val="24"/>
                <w:szCs w:val="24"/>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9821E">
            <w:pPr>
              <w:jc w:val="center"/>
              <w:rPr>
                <w:rFonts w:hint="eastAsia" w:ascii="宋体" w:hAnsi="宋体" w:eastAsia="宋体" w:cs="宋体"/>
                <w:i w:val="0"/>
                <w:iCs w:val="0"/>
                <w:color w:val="000000"/>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0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动态调整</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B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DC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评价部门开展绩效运行监控后，将绩效监控结果应用到预算调整的情况。</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40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464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D525">
            <w:pPr>
              <w:rPr>
                <w:rFonts w:hint="eastAsia" w:ascii="宋体" w:hAnsi="宋体" w:eastAsia="宋体" w:cs="宋体"/>
                <w:i w:val="0"/>
                <w:iCs w:val="0"/>
                <w:color w:val="000000"/>
                <w:sz w:val="24"/>
                <w:szCs w:val="24"/>
                <w:u w:val="none"/>
              </w:rPr>
            </w:pPr>
          </w:p>
        </w:tc>
      </w:tr>
      <w:tr w14:paraId="58CE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A14CF">
            <w:pPr>
              <w:jc w:val="center"/>
              <w:rPr>
                <w:rFonts w:hint="eastAsia" w:ascii="宋体" w:hAnsi="宋体" w:eastAsia="宋体" w:cs="宋体"/>
                <w:i w:val="0"/>
                <w:iCs w:val="0"/>
                <w:color w:val="000000"/>
                <w:sz w:val="24"/>
                <w:szCs w:val="24"/>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64452">
            <w:pPr>
              <w:jc w:val="center"/>
              <w:rPr>
                <w:rFonts w:hint="eastAsia" w:ascii="宋体" w:hAnsi="宋体" w:eastAsia="宋体" w:cs="宋体"/>
                <w:i w:val="0"/>
                <w:iCs w:val="0"/>
                <w:color w:val="000000"/>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A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A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32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56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EF5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9CFB">
            <w:pPr>
              <w:rPr>
                <w:rFonts w:hint="eastAsia" w:ascii="宋体" w:hAnsi="宋体" w:eastAsia="宋体" w:cs="宋体"/>
                <w:i w:val="0"/>
                <w:iCs w:val="0"/>
                <w:color w:val="000000"/>
                <w:sz w:val="24"/>
                <w:szCs w:val="24"/>
                <w:u w:val="none"/>
              </w:rPr>
            </w:pPr>
          </w:p>
        </w:tc>
      </w:tr>
      <w:tr w14:paraId="70C7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0DAB">
            <w:pPr>
              <w:jc w:val="center"/>
              <w:rPr>
                <w:rFonts w:hint="eastAsia" w:ascii="宋体" w:hAnsi="宋体" w:eastAsia="宋体" w:cs="宋体"/>
                <w:i w:val="0"/>
                <w:iCs w:val="0"/>
                <w:color w:val="000000"/>
                <w:sz w:val="24"/>
                <w:szCs w:val="24"/>
                <w:u w:val="none"/>
              </w:rPr>
            </w:pP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A9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完成结果（20分）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A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预算完成</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E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7E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评价部门预算项目年终预算执行情况。</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AA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部门预算项目12月预算执行进度达到100%的，得10分，未达100%的，按照实际进度量化计算得分。</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306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207F">
            <w:pPr>
              <w:rPr>
                <w:rFonts w:hint="eastAsia" w:ascii="宋体" w:hAnsi="宋体" w:eastAsia="宋体" w:cs="宋体"/>
                <w:i w:val="0"/>
                <w:iCs w:val="0"/>
                <w:color w:val="000000"/>
                <w:sz w:val="24"/>
                <w:szCs w:val="24"/>
                <w:u w:val="none"/>
              </w:rPr>
            </w:pPr>
          </w:p>
        </w:tc>
      </w:tr>
      <w:tr w14:paraId="135F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FE890">
            <w:pPr>
              <w:jc w:val="center"/>
              <w:rPr>
                <w:rFonts w:hint="eastAsia" w:ascii="宋体" w:hAnsi="宋体" w:eastAsia="宋体" w:cs="宋体"/>
                <w:i w:val="0"/>
                <w:iCs w:val="0"/>
                <w:color w:val="000000"/>
                <w:sz w:val="24"/>
                <w:szCs w:val="24"/>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E191D">
            <w:pPr>
              <w:jc w:val="center"/>
              <w:rPr>
                <w:rFonts w:hint="eastAsia" w:ascii="宋体" w:hAnsi="宋体" w:eastAsia="宋体" w:cs="宋体"/>
                <w:i w:val="0"/>
                <w:iCs w:val="0"/>
                <w:color w:val="000000"/>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6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8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F0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根据审计监督、财政检查结果反映部门上一年度部门预算管理是否合规。</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D2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依据评价年度审计监督、财政检查结果，出现部门预算管理方面违纪违规问题的，每个问题扣0.5分，直至扣完。</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3C7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1FE2">
            <w:pPr>
              <w:rPr>
                <w:rFonts w:hint="eastAsia" w:ascii="宋体" w:hAnsi="宋体" w:eastAsia="宋体" w:cs="宋体"/>
                <w:i w:val="0"/>
                <w:iCs w:val="0"/>
                <w:color w:val="000000"/>
                <w:sz w:val="24"/>
                <w:szCs w:val="24"/>
                <w:u w:val="none"/>
              </w:rPr>
            </w:pPr>
          </w:p>
        </w:tc>
      </w:tr>
      <w:tr w14:paraId="6A45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E7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绩效结果应用（10分）</w:t>
            </w:r>
          </w:p>
        </w:tc>
        <w:tc>
          <w:tcPr>
            <w:tcW w:w="264" w:type="pct"/>
            <w:tcBorders>
              <w:top w:val="nil"/>
              <w:left w:val="single" w:color="000000" w:sz="4" w:space="0"/>
              <w:bottom w:val="single" w:color="000000" w:sz="4" w:space="0"/>
              <w:right w:val="single" w:color="000000" w:sz="4" w:space="0"/>
            </w:tcBorders>
            <w:shd w:val="clear" w:color="auto" w:fill="auto"/>
            <w:vAlign w:val="center"/>
          </w:tcPr>
          <w:p w14:paraId="524A4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信息公开（2分)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4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6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44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评价部门是否按要求将部门整体绩效自评情况和自行组织的评价情况向社会公开。</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28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按要求将相关绩效信息随同决算公开的，得2分，否则不得分。</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DD7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5C05">
            <w:pPr>
              <w:rPr>
                <w:rFonts w:hint="eastAsia" w:ascii="宋体" w:hAnsi="宋体" w:eastAsia="宋体" w:cs="宋体"/>
                <w:i w:val="0"/>
                <w:iCs w:val="0"/>
                <w:color w:val="000000"/>
                <w:sz w:val="24"/>
                <w:szCs w:val="24"/>
                <w:u w:val="none"/>
              </w:rPr>
            </w:pPr>
          </w:p>
        </w:tc>
      </w:tr>
      <w:tr w14:paraId="63C9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0073C">
            <w:pPr>
              <w:jc w:val="center"/>
              <w:rPr>
                <w:rFonts w:hint="eastAsia" w:ascii="宋体" w:hAnsi="宋体" w:eastAsia="宋体" w:cs="宋体"/>
                <w:i w:val="0"/>
                <w:iCs w:val="0"/>
                <w:color w:val="000000"/>
                <w:sz w:val="24"/>
                <w:szCs w:val="24"/>
                <w:u w:val="none"/>
              </w:rPr>
            </w:pP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E1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整改反馈（8分）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B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结果整改</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1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0C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E9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4D3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1B65">
            <w:pPr>
              <w:rPr>
                <w:rFonts w:hint="eastAsia" w:ascii="宋体" w:hAnsi="宋体" w:eastAsia="宋体" w:cs="宋体"/>
                <w:i w:val="0"/>
                <w:iCs w:val="0"/>
                <w:color w:val="000000"/>
                <w:sz w:val="24"/>
                <w:szCs w:val="24"/>
                <w:u w:val="none"/>
              </w:rPr>
            </w:pPr>
          </w:p>
        </w:tc>
      </w:tr>
      <w:tr w14:paraId="5785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185C4">
            <w:pPr>
              <w:jc w:val="center"/>
              <w:rPr>
                <w:rFonts w:hint="eastAsia" w:ascii="宋体" w:hAnsi="宋体" w:eastAsia="宋体" w:cs="宋体"/>
                <w:i w:val="0"/>
                <w:iCs w:val="0"/>
                <w:color w:val="000000"/>
                <w:sz w:val="24"/>
                <w:szCs w:val="24"/>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AFD57">
            <w:pPr>
              <w:jc w:val="center"/>
              <w:rPr>
                <w:rFonts w:hint="eastAsia" w:ascii="宋体" w:hAnsi="宋体" w:eastAsia="宋体" w:cs="宋体"/>
                <w:i w:val="0"/>
                <w:iCs w:val="0"/>
                <w:color w:val="000000"/>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2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4A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D4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02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部门在规定时间内向财政部门反馈应用绩效结果报告的，得满分，否则不得分。</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585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06F9">
            <w:pPr>
              <w:rPr>
                <w:rFonts w:hint="eastAsia" w:ascii="宋体" w:hAnsi="宋体" w:eastAsia="宋体" w:cs="宋体"/>
                <w:i w:val="0"/>
                <w:iCs w:val="0"/>
                <w:color w:val="000000"/>
                <w:sz w:val="24"/>
                <w:szCs w:val="24"/>
                <w:u w:val="none"/>
              </w:rPr>
            </w:pPr>
          </w:p>
        </w:tc>
      </w:tr>
      <w:tr w14:paraId="3C65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2C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自评质量（10分）</w:t>
            </w:r>
          </w:p>
        </w:tc>
        <w:tc>
          <w:tcPr>
            <w:tcW w:w="264" w:type="pct"/>
            <w:tcBorders>
              <w:top w:val="nil"/>
              <w:left w:val="single" w:color="000000" w:sz="4" w:space="0"/>
              <w:bottom w:val="single" w:color="000000" w:sz="4" w:space="0"/>
              <w:right w:val="single" w:color="000000" w:sz="4" w:space="0"/>
            </w:tcBorders>
            <w:shd w:val="clear" w:color="auto" w:fill="auto"/>
            <w:vAlign w:val="center"/>
          </w:tcPr>
          <w:p w14:paraId="56B69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自评质量（10分）</w:t>
            </w:r>
          </w:p>
        </w:tc>
        <w:tc>
          <w:tcPr>
            <w:tcW w:w="425" w:type="pct"/>
            <w:tcBorders>
              <w:top w:val="nil"/>
              <w:left w:val="single" w:color="000000" w:sz="4" w:space="0"/>
              <w:bottom w:val="single" w:color="000000" w:sz="4" w:space="0"/>
              <w:right w:val="single" w:color="000000" w:sz="4" w:space="0"/>
            </w:tcBorders>
            <w:shd w:val="clear" w:color="auto" w:fill="auto"/>
            <w:vAlign w:val="center"/>
          </w:tcPr>
          <w:p w14:paraId="4A837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自评准确</w:t>
            </w:r>
          </w:p>
        </w:tc>
        <w:tc>
          <w:tcPr>
            <w:tcW w:w="277" w:type="pct"/>
            <w:tcBorders>
              <w:top w:val="nil"/>
              <w:left w:val="single" w:color="000000" w:sz="4" w:space="0"/>
              <w:bottom w:val="single" w:color="000000" w:sz="4" w:space="0"/>
              <w:right w:val="single" w:color="000000" w:sz="4" w:space="0"/>
            </w:tcBorders>
            <w:shd w:val="clear" w:color="auto" w:fill="auto"/>
            <w:vAlign w:val="center"/>
          </w:tcPr>
          <w:p w14:paraId="07019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86" w:type="pct"/>
            <w:tcBorders>
              <w:top w:val="nil"/>
              <w:left w:val="single" w:color="000000" w:sz="4" w:space="0"/>
              <w:bottom w:val="single" w:color="000000" w:sz="4" w:space="0"/>
              <w:right w:val="single" w:color="000000" w:sz="4" w:space="0"/>
            </w:tcBorders>
            <w:shd w:val="clear" w:color="auto" w:fill="auto"/>
            <w:vAlign w:val="center"/>
          </w:tcPr>
          <w:p w14:paraId="227A81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评价部门整体支出自评准确率。</w:t>
            </w:r>
          </w:p>
        </w:tc>
        <w:tc>
          <w:tcPr>
            <w:tcW w:w="1371" w:type="pct"/>
            <w:tcBorders>
              <w:top w:val="nil"/>
              <w:left w:val="single" w:color="000000" w:sz="4" w:space="0"/>
              <w:bottom w:val="single" w:color="000000" w:sz="4" w:space="0"/>
              <w:right w:val="single" w:color="000000" w:sz="4" w:space="0"/>
            </w:tcBorders>
            <w:shd w:val="clear" w:color="auto" w:fill="auto"/>
            <w:vAlign w:val="center"/>
          </w:tcPr>
          <w:p w14:paraId="254D00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485" w:type="pct"/>
            <w:tcBorders>
              <w:top w:val="nil"/>
              <w:left w:val="single" w:color="000000" w:sz="4" w:space="0"/>
              <w:bottom w:val="single" w:color="000000" w:sz="4" w:space="0"/>
              <w:right w:val="single" w:color="000000" w:sz="4" w:space="0"/>
            </w:tcBorders>
            <w:shd w:val="clear" w:color="auto" w:fill="auto"/>
            <w:vAlign w:val="center"/>
          </w:tcPr>
          <w:p w14:paraId="7FD26AD4">
            <w:pPr>
              <w:jc w:val="right"/>
              <w:rPr>
                <w:rFonts w:hint="eastAsia" w:ascii="宋体" w:hAnsi="宋体" w:eastAsia="宋体" w:cs="宋体"/>
                <w:i w:val="0"/>
                <w:iCs w:val="0"/>
                <w:color w:val="000000"/>
                <w:sz w:val="24"/>
                <w:szCs w:val="24"/>
                <w:u w:val="none"/>
              </w:rPr>
            </w:pPr>
          </w:p>
        </w:tc>
        <w:tc>
          <w:tcPr>
            <w:tcW w:w="624" w:type="pct"/>
            <w:tcBorders>
              <w:top w:val="nil"/>
              <w:left w:val="single" w:color="000000" w:sz="4" w:space="0"/>
              <w:bottom w:val="single" w:color="000000" w:sz="4" w:space="0"/>
              <w:right w:val="single" w:color="000000" w:sz="4" w:space="0"/>
            </w:tcBorders>
            <w:shd w:val="clear" w:color="auto" w:fill="auto"/>
            <w:vAlign w:val="center"/>
          </w:tcPr>
          <w:p w14:paraId="37832DBF">
            <w:pPr>
              <w:rPr>
                <w:rFonts w:hint="eastAsia" w:ascii="宋体" w:hAnsi="宋体" w:eastAsia="宋体" w:cs="宋体"/>
                <w:i w:val="0"/>
                <w:iCs w:val="0"/>
                <w:color w:val="000000"/>
                <w:sz w:val="24"/>
                <w:szCs w:val="24"/>
                <w:u w:val="none"/>
              </w:rPr>
            </w:pPr>
          </w:p>
        </w:tc>
      </w:tr>
    </w:tbl>
    <w:p w14:paraId="7B55922E">
      <w:pPr>
        <w:pStyle w:val="6"/>
        <w:rPr>
          <w:rFonts w:hint="eastAsia" w:hAnsi="宋体" w:cs="宋体"/>
          <w:color w:val="auto"/>
          <w:kern w:val="0"/>
          <w:sz w:val="32"/>
          <w:szCs w:val="32"/>
          <w:highlight w:val="none"/>
          <w:shd w:val="clear" w:color="auto" w:fill="FFFFFF"/>
          <w:lang w:val="zh-CN"/>
        </w:rPr>
        <w:sectPr>
          <w:pgSz w:w="16838" w:h="11906" w:orient="landscape"/>
          <w:pgMar w:top="1800" w:right="1440" w:bottom="1800" w:left="1440" w:header="851" w:footer="992" w:gutter="0"/>
          <w:pgNumType w:fmt="decimal"/>
          <w:cols w:space="425" w:num="1"/>
          <w:titlePg/>
          <w:docGrid w:type="lines" w:linePitch="312" w:charSpace="0"/>
        </w:sectPr>
      </w:pPr>
    </w:p>
    <w:p w14:paraId="0AB6859F">
      <w:pPr>
        <w:keepNext w:val="0"/>
        <w:keepLines w:val="0"/>
        <w:pageBreakBefore w:val="0"/>
        <w:kinsoku/>
        <w:wordWrap/>
        <w:overflowPunct/>
        <w:topLinePunct w:val="0"/>
        <w:autoSpaceDE/>
        <w:autoSpaceDN/>
        <w:bidi w:val="0"/>
        <w:spacing w:line="572" w:lineRule="exact"/>
        <w:jc w:val="left"/>
        <w:textAlignment w:val="auto"/>
        <w:outlineLvl w:val="9"/>
        <w:rPr>
          <w:rFonts w:hint="default" w:ascii="Times New Roman" w:hAnsi="Times New Roman" w:eastAsia="黑体" w:cs="Times New Roman"/>
          <w:b w:val="0"/>
          <w:bCs w:val="0"/>
          <w:sz w:val="44"/>
          <w:szCs w:val="44"/>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2-1</w:t>
      </w:r>
    </w:p>
    <w:p w14:paraId="46D3D118">
      <w:pPr>
        <w:snapToGrid w:val="0"/>
        <w:spacing w:line="60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部门预算项目支出绩效自评报告</w:t>
      </w:r>
    </w:p>
    <w:p w14:paraId="790AE6C0">
      <w:pPr>
        <w:tabs>
          <w:tab w:val="left" w:pos="3885"/>
        </w:tabs>
        <w:snapToGrid w:val="0"/>
        <w:spacing w:line="600" w:lineRule="exact"/>
        <w:jc w:val="center"/>
        <w:rPr>
          <w:rFonts w:hint="default" w:ascii="Times New Roman" w:hAnsi="Times New Roman" w:eastAsia="仿宋_GB2312" w:cs="Times New Roman"/>
          <w:b w:val="0"/>
          <w:bCs w:val="0"/>
          <w:sz w:val="32"/>
        </w:rPr>
      </w:pPr>
      <w:r>
        <w:rPr>
          <w:rFonts w:hint="default" w:ascii="Times New Roman" w:hAnsi="Times New Roman" w:eastAsia="仿宋_GB2312" w:cs="Times New Roman"/>
          <w:b w:val="0"/>
          <w:bCs w:val="0"/>
          <w:sz w:val="32"/>
        </w:rPr>
        <w:t>（劳动力调查项目）</w:t>
      </w:r>
    </w:p>
    <w:p w14:paraId="16979EE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黑体" w:hAnsi="宋体" w:eastAsia="黑体" w:cs="宋体"/>
          <w:color w:val="auto"/>
          <w:kern w:val="0"/>
          <w:sz w:val="32"/>
          <w:szCs w:val="32"/>
          <w:highlight w:val="none"/>
          <w:u w:val="none"/>
          <w:shd w:val="clear" w:color="auto" w:fill="FFFFFF"/>
        </w:rPr>
      </w:pPr>
      <w:r>
        <w:rPr>
          <w:rFonts w:hint="eastAsia" w:ascii="黑体" w:hAnsi="宋体" w:eastAsia="黑体" w:cs="宋体"/>
          <w:color w:val="auto"/>
          <w:kern w:val="0"/>
          <w:sz w:val="32"/>
          <w:szCs w:val="32"/>
          <w:highlight w:val="none"/>
          <w:u w:val="none"/>
          <w:shd w:val="clear" w:color="auto" w:fill="FFFFFF"/>
          <w:lang w:eastAsia="zh-CN"/>
        </w:rPr>
        <w:t>一、</w:t>
      </w:r>
      <w:r>
        <w:rPr>
          <w:rFonts w:hint="default" w:ascii="黑体" w:hAnsi="宋体" w:eastAsia="黑体" w:cs="宋体"/>
          <w:color w:val="auto"/>
          <w:kern w:val="0"/>
          <w:sz w:val="32"/>
          <w:szCs w:val="32"/>
          <w:highlight w:val="none"/>
          <w:u w:val="none"/>
          <w:shd w:val="clear" w:color="auto" w:fill="FFFFFF"/>
        </w:rPr>
        <w:t>基本情况</w:t>
      </w:r>
    </w:p>
    <w:p w14:paraId="0ECA01AB">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hint="eastAsia" w:ascii="仿宋" w:hAnsi="仿宋" w:eastAsia="仿宋" w:cs="仿宋_GB2312"/>
          <w:color w:val="000000"/>
          <w:sz w:val="32"/>
          <w:szCs w:val="32"/>
          <w:lang w:eastAsia="zh-CN"/>
        </w:rPr>
      </w:pPr>
      <w:r>
        <w:rPr>
          <w:rFonts w:hint="default" w:ascii="仿宋" w:hAnsi="仿宋" w:eastAsia="仿宋" w:cs="仿宋_GB2312"/>
          <w:color w:val="000000"/>
          <w:sz w:val="32"/>
          <w:szCs w:val="32"/>
          <w:lang w:eastAsia="zh-CN"/>
        </w:rPr>
        <w:t>通过开展劳动力调查计算的调查失业率是反映就业形势的核心指标，与经济增长率、通货膨胀率和国际收支状况一起构成衡量经济运行态势的四大宏观指标，有利于更好的加强就业统计监测，有利于更好发挥就业统计数据在宏观调控中的风向标作用,推动市县(市、区)两级党政科学制定和落实就业优先政策，实现县域经</w:t>
      </w:r>
      <w:r>
        <w:rPr>
          <w:rFonts w:hint="eastAsia" w:ascii="仿宋" w:hAnsi="仿宋" w:eastAsia="仿宋" w:cs="仿宋_GB2312"/>
          <w:color w:val="000000"/>
          <w:sz w:val="32"/>
          <w:szCs w:val="32"/>
          <w:lang w:eastAsia="zh-CN"/>
        </w:rPr>
        <w:t>济持续健康发展</w:t>
      </w:r>
    </w:p>
    <w:p w14:paraId="77E2F08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黑体" w:hAnsi="宋体" w:eastAsia="黑体" w:cs="宋体"/>
          <w:color w:val="auto"/>
          <w:kern w:val="0"/>
          <w:sz w:val="32"/>
          <w:szCs w:val="32"/>
          <w:highlight w:val="none"/>
          <w:u w:val="none"/>
          <w:shd w:val="clear" w:color="auto" w:fill="FFFFFF"/>
        </w:rPr>
      </w:pPr>
      <w:r>
        <w:rPr>
          <w:rFonts w:hint="default" w:ascii="黑体" w:hAnsi="宋体" w:eastAsia="黑体" w:cs="宋体"/>
          <w:color w:val="auto"/>
          <w:kern w:val="0"/>
          <w:sz w:val="32"/>
          <w:szCs w:val="32"/>
          <w:highlight w:val="none"/>
          <w:u w:val="none"/>
          <w:shd w:val="clear" w:color="auto" w:fill="FFFFFF"/>
        </w:rPr>
        <w:t>二、评价工作开展情况</w:t>
      </w:r>
    </w:p>
    <w:p w14:paraId="12B9771E">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eastAsia="zh-CN"/>
        </w:rPr>
        <w:t>（一）绩效评价目的、对象和范围。</w:t>
      </w:r>
    </w:p>
    <w:p w14:paraId="66C06B6E">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14:paraId="25CABFBD">
      <w:pPr>
        <w:numPr>
          <w:ilvl w:val="0"/>
          <w:numId w:val="0"/>
        </w:numPr>
        <w:snapToGrid w:val="0"/>
        <w:spacing w:line="600" w:lineRule="exact"/>
        <w:rPr>
          <w:rFonts w:hint="eastAsia" w:ascii="方正楷体简体" w:hAnsi="方正楷体简体" w:eastAsia="方正楷体简体" w:cs="方正楷体简体"/>
          <w:szCs w:val="21"/>
          <w:lang w:val="en-US" w:eastAsia="zh-CN"/>
        </w:rPr>
      </w:pPr>
      <w:r>
        <w:rPr>
          <w:rFonts w:hint="eastAsia" w:ascii="仿宋_GB2312" w:hAnsi="仿宋_GB2312" w:cs="仿宋_GB2312"/>
          <w:szCs w:val="21"/>
        </w:rPr>
        <w:t xml:space="preserve">    </w:t>
      </w:r>
      <w:r>
        <w:rPr>
          <w:rFonts w:hint="eastAsia" w:ascii="仿宋_GB2312" w:hAnsi="仿宋_GB2312" w:cs="仿宋_GB2312"/>
          <w:szCs w:val="21"/>
          <w:lang w:val="en-US" w:eastAsia="zh-CN"/>
        </w:rPr>
        <w:t xml:space="preserve">  </w:t>
      </w:r>
      <w:r>
        <w:rPr>
          <w:rFonts w:hint="eastAsia" w:ascii="楷体_GB2312" w:hAnsi="楷体_GB2312" w:eastAsia="楷体_GB2312" w:cs="楷体_GB2312"/>
          <w:b/>
          <w:bCs/>
          <w:color w:val="auto"/>
          <w:kern w:val="0"/>
          <w:sz w:val="32"/>
          <w:szCs w:val="32"/>
          <w:highlight w:val="none"/>
          <w:shd w:val="clear" w:color="auto" w:fill="FFFFFF"/>
          <w:lang w:val="zh-CN" w:eastAsia="zh-CN"/>
        </w:rPr>
        <w:t>（二）绩效评价原则、评价指标体系、评价方法、评价标准。</w:t>
      </w:r>
      <w:r>
        <w:rPr>
          <w:rFonts w:hint="eastAsia" w:ascii="楷体_GB2312" w:hAnsi="楷体_GB2312" w:eastAsia="楷体_GB2312" w:cs="楷体_GB2312"/>
          <w:b/>
          <w:bCs/>
          <w:color w:val="auto"/>
          <w:kern w:val="0"/>
          <w:sz w:val="32"/>
          <w:szCs w:val="32"/>
          <w:highlight w:val="none"/>
          <w:shd w:val="clear" w:color="auto" w:fill="FFFFFF"/>
          <w:lang w:val="en-US" w:eastAsia="zh-CN"/>
        </w:rPr>
        <w:t xml:space="preserve"> </w:t>
      </w:r>
    </w:p>
    <w:p w14:paraId="307D6C2D">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通过采用科学、规范的方法，依据既定的评价技术体系，基本预期目标实现程度，评价</w:t>
      </w:r>
      <w:r>
        <w:rPr>
          <w:rFonts w:hint="eastAsia" w:ascii="仿宋" w:hAnsi="仿宋" w:eastAsia="仿宋" w:cs="仿宋_GB2312"/>
          <w:color w:val="000000"/>
          <w:sz w:val="32"/>
          <w:szCs w:val="32"/>
          <w:lang w:val="en-US" w:eastAsia="zh-CN"/>
        </w:rPr>
        <w:t>2022</w:t>
      </w:r>
      <w:r>
        <w:rPr>
          <w:rFonts w:hint="eastAsia" w:ascii="仿宋" w:hAnsi="仿宋" w:eastAsia="仿宋" w:cs="仿宋_GB2312"/>
          <w:color w:val="000000"/>
          <w:sz w:val="32"/>
          <w:szCs w:val="32"/>
          <w:lang w:eastAsia="zh-CN"/>
        </w:rPr>
        <w:t>年度预算绩效目标的完成情况。评价从产出、效益、满意度三个方面展开，其主要内容有：数量、质量、时效、成本、经济效益、社会效益、生态环境、可持续影响。 </w:t>
      </w:r>
    </w:p>
    <w:p w14:paraId="5754018B">
      <w:pPr>
        <w:numPr>
          <w:ilvl w:val="0"/>
          <w:numId w:val="0"/>
        </w:numPr>
        <w:snapToGrid w:val="0"/>
        <w:spacing w:line="600" w:lineRule="exact"/>
        <w:ind w:firstLine="643" w:firstLineChars="200"/>
        <w:rPr>
          <w:rFonts w:hint="eastAsia" w:ascii="楷体_GB2312" w:hAnsi="楷体_GB2312" w:eastAsia="楷体_GB2312" w:cs="楷体_GB2312"/>
          <w:b/>
          <w:bCs/>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eastAsia="zh-CN"/>
        </w:rPr>
        <w:t>（三））绩效评价工作过程。</w:t>
      </w:r>
    </w:p>
    <w:p w14:paraId="6AC4EB4C">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由承担项目绩效股室对绩效完成情况进行自评并编制绩效报告；财务室对该绩效目标完成情况进行初步审核，按照有关规定组织绩效评价，编写绩效评价报告。</w:t>
      </w:r>
    </w:p>
    <w:p w14:paraId="60399C2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黑体" w:hAnsi="宋体" w:eastAsia="黑体" w:cs="宋体"/>
          <w:color w:val="auto"/>
          <w:kern w:val="0"/>
          <w:sz w:val="32"/>
          <w:szCs w:val="32"/>
          <w:highlight w:val="none"/>
          <w:u w:val="none"/>
          <w:shd w:val="clear" w:color="auto" w:fill="FFFFFF"/>
        </w:rPr>
      </w:pPr>
      <w:r>
        <w:rPr>
          <w:rFonts w:hint="default" w:ascii="黑体" w:hAnsi="宋体" w:eastAsia="黑体" w:cs="宋体"/>
          <w:color w:val="auto"/>
          <w:kern w:val="0"/>
          <w:sz w:val="32"/>
          <w:szCs w:val="32"/>
          <w:highlight w:val="none"/>
          <w:u w:val="none"/>
          <w:shd w:val="clear" w:color="auto" w:fill="FFFFFF"/>
        </w:rPr>
        <w:t>三、综合评价结论（附评分表）</w:t>
      </w:r>
    </w:p>
    <w:p w14:paraId="724EC84F">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hint="default"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全面客观了解我局</w:t>
      </w:r>
      <w:r>
        <w:rPr>
          <w:rFonts w:hint="default" w:ascii="仿宋" w:hAnsi="仿宋" w:eastAsia="仿宋" w:cs="仿宋_GB2312"/>
          <w:color w:val="000000"/>
          <w:sz w:val="32"/>
          <w:szCs w:val="32"/>
          <w:lang w:eastAsia="zh-CN"/>
        </w:rPr>
        <w:t>劳动力调查</w:t>
      </w:r>
      <w:r>
        <w:rPr>
          <w:rFonts w:hint="eastAsia" w:ascii="仿宋" w:hAnsi="仿宋" w:eastAsia="仿宋" w:cs="仿宋_GB2312"/>
          <w:color w:val="000000"/>
          <w:sz w:val="32"/>
          <w:szCs w:val="32"/>
          <w:lang w:eastAsia="zh-CN"/>
        </w:rPr>
        <w:t>的使用情况，从产出、效益、满意度几方面都得到较高评价。</w:t>
      </w:r>
    </w:p>
    <w:tbl>
      <w:tblPr>
        <w:tblStyle w:val="15"/>
        <w:tblpPr w:leftFromText="180" w:rightFromText="180" w:vertAnchor="text" w:horzAnchor="page" w:tblpX="813" w:tblpY="1174"/>
        <w:tblOverlap w:val="never"/>
        <w:tblW w:w="10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66"/>
        <w:gridCol w:w="1384"/>
        <w:gridCol w:w="1498"/>
        <w:gridCol w:w="1671"/>
        <w:gridCol w:w="1670"/>
        <w:gridCol w:w="1671"/>
      </w:tblGrid>
      <w:tr w14:paraId="24FA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560" w:type="dxa"/>
            <w:gridSpan w:val="6"/>
            <w:tcBorders>
              <w:top w:val="single" w:color="000000" w:sz="4" w:space="0"/>
              <w:left w:val="single" w:color="000000" w:sz="4" w:space="0"/>
              <w:bottom w:val="single" w:color="000000" w:sz="4" w:space="0"/>
              <w:right w:val="single" w:color="000000" w:sz="4" w:space="0"/>
            </w:tcBorders>
            <w:noWrap w:val="0"/>
            <w:vAlign w:val="center"/>
          </w:tcPr>
          <w:p w14:paraId="67AA4FA7">
            <w:pPr>
              <w:keepNext w:val="0"/>
              <w:keepLines w:val="0"/>
              <w:widowControl/>
              <w:suppressLineNumbers w:val="0"/>
              <w:jc w:val="center"/>
              <w:textAlignment w:val="center"/>
              <w:rPr>
                <w:rFonts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项目支出绩效目标完成情况表</w:t>
            </w:r>
          </w:p>
        </w:tc>
      </w:tr>
      <w:tr w14:paraId="0F51A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560" w:type="dxa"/>
            <w:gridSpan w:val="6"/>
            <w:tcBorders>
              <w:top w:val="single" w:color="000000" w:sz="4" w:space="0"/>
              <w:left w:val="single" w:color="000000" w:sz="4" w:space="0"/>
              <w:bottom w:val="single" w:color="000000" w:sz="4" w:space="0"/>
              <w:right w:val="single" w:color="000000" w:sz="4" w:space="0"/>
            </w:tcBorders>
            <w:noWrap w:val="0"/>
            <w:vAlign w:val="center"/>
          </w:tcPr>
          <w:p w14:paraId="294B51C7">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(2022年度)</w:t>
            </w:r>
          </w:p>
        </w:tc>
      </w:tr>
      <w:tr w14:paraId="52A1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48" w:type="dxa"/>
            <w:gridSpan w:val="3"/>
            <w:tcBorders>
              <w:top w:val="single" w:color="000000" w:sz="4" w:space="0"/>
              <w:left w:val="single" w:color="000000" w:sz="4" w:space="0"/>
              <w:bottom w:val="single" w:color="000000" w:sz="4" w:space="0"/>
              <w:right w:val="single" w:color="000000" w:sz="4" w:space="0"/>
            </w:tcBorders>
            <w:noWrap w:val="0"/>
            <w:vAlign w:val="center"/>
          </w:tcPr>
          <w:p w14:paraId="6DE2CB31">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项目名称</w:t>
            </w:r>
          </w:p>
        </w:tc>
        <w:tc>
          <w:tcPr>
            <w:tcW w:w="5012" w:type="dxa"/>
            <w:gridSpan w:val="3"/>
            <w:tcBorders>
              <w:top w:val="single" w:color="000000" w:sz="4" w:space="0"/>
              <w:left w:val="single" w:color="000000" w:sz="4" w:space="0"/>
              <w:bottom w:val="single" w:color="000000" w:sz="4" w:space="0"/>
              <w:right w:val="single" w:color="000000" w:sz="4" w:space="0"/>
            </w:tcBorders>
            <w:noWrap w:val="0"/>
            <w:vAlign w:val="center"/>
          </w:tcPr>
          <w:p w14:paraId="7ED28FFB">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劳动力调查</w:t>
            </w:r>
          </w:p>
        </w:tc>
      </w:tr>
      <w:tr w14:paraId="597E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48" w:type="dxa"/>
            <w:gridSpan w:val="3"/>
            <w:tcBorders>
              <w:top w:val="single" w:color="000000" w:sz="4" w:space="0"/>
              <w:left w:val="single" w:color="000000" w:sz="4" w:space="0"/>
              <w:bottom w:val="single" w:color="000000" w:sz="4" w:space="0"/>
              <w:right w:val="single" w:color="000000" w:sz="4" w:space="0"/>
            </w:tcBorders>
            <w:noWrap w:val="0"/>
            <w:vAlign w:val="center"/>
          </w:tcPr>
          <w:p w14:paraId="7F0984DB">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预算单位</w:t>
            </w:r>
          </w:p>
        </w:tc>
        <w:tc>
          <w:tcPr>
            <w:tcW w:w="5012" w:type="dxa"/>
            <w:gridSpan w:val="3"/>
            <w:tcBorders>
              <w:top w:val="single" w:color="000000" w:sz="4" w:space="0"/>
              <w:left w:val="single" w:color="000000" w:sz="4" w:space="0"/>
              <w:bottom w:val="single" w:color="000000" w:sz="4" w:space="0"/>
              <w:right w:val="single" w:color="000000" w:sz="4" w:space="0"/>
            </w:tcBorders>
            <w:noWrap w:val="0"/>
            <w:vAlign w:val="center"/>
          </w:tcPr>
          <w:p w14:paraId="1FE0A31D">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遂宁市安居区统计局</w:t>
            </w:r>
          </w:p>
        </w:tc>
      </w:tr>
      <w:tr w14:paraId="7CAB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66" w:type="dxa"/>
            <w:vMerge w:val="restart"/>
            <w:tcBorders>
              <w:top w:val="single" w:color="000000" w:sz="4" w:space="0"/>
              <w:left w:val="single" w:color="000000" w:sz="4" w:space="0"/>
              <w:bottom w:val="single" w:color="000000" w:sz="4" w:space="0"/>
              <w:right w:val="single" w:color="000000" w:sz="4" w:space="0"/>
            </w:tcBorders>
            <w:noWrap w:val="0"/>
            <w:vAlign w:val="center"/>
          </w:tcPr>
          <w:p w14:paraId="721F3FD3">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预算执行情况(万元)</w:t>
            </w:r>
          </w:p>
        </w:tc>
        <w:tc>
          <w:tcPr>
            <w:tcW w:w="2882" w:type="dxa"/>
            <w:gridSpan w:val="2"/>
            <w:tcBorders>
              <w:top w:val="single" w:color="000000" w:sz="4" w:space="0"/>
              <w:left w:val="single" w:color="000000" w:sz="4" w:space="0"/>
              <w:bottom w:val="single" w:color="000000" w:sz="4" w:space="0"/>
              <w:right w:val="single" w:color="000000" w:sz="4" w:space="0"/>
            </w:tcBorders>
            <w:noWrap w:val="0"/>
            <w:vAlign w:val="center"/>
          </w:tcPr>
          <w:p w14:paraId="22A43FD9">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预算数:</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520845AF">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15.96282万元</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14:paraId="1F93BCCF">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执行数:</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0966116C">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15.96282万元</w:t>
            </w:r>
          </w:p>
        </w:tc>
      </w:tr>
      <w:tr w14:paraId="57EF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48584">
            <w:pPr>
              <w:jc w:val="center"/>
              <w:rPr>
                <w:rFonts w:hint="default" w:ascii="仿宋_GB2312" w:hAnsi="宋体" w:eastAsia="仿宋_GB2312" w:cs="仿宋_GB2312"/>
                <w:i w:val="0"/>
                <w:iCs w:val="0"/>
                <w:color w:val="000000"/>
                <w:sz w:val="32"/>
                <w:szCs w:val="32"/>
                <w:u w:val="none"/>
              </w:rPr>
            </w:pPr>
          </w:p>
        </w:tc>
        <w:tc>
          <w:tcPr>
            <w:tcW w:w="2882" w:type="dxa"/>
            <w:gridSpan w:val="2"/>
            <w:tcBorders>
              <w:top w:val="single" w:color="000000" w:sz="4" w:space="0"/>
              <w:left w:val="single" w:color="000000" w:sz="4" w:space="0"/>
              <w:bottom w:val="single" w:color="000000" w:sz="4" w:space="0"/>
              <w:right w:val="single" w:color="000000" w:sz="4" w:space="0"/>
            </w:tcBorders>
            <w:noWrap w:val="0"/>
            <w:vAlign w:val="center"/>
          </w:tcPr>
          <w:p w14:paraId="498C9163">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其中-财政拨款:</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60A9AF2F">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15.96282万元</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14:paraId="7FC0A495">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其中-财政拨款:</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34F7B829">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15.96282万元</w:t>
            </w:r>
          </w:p>
        </w:tc>
      </w:tr>
      <w:tr w14:paraId="10FA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CA7B4">
            <w:pPr>
              <w:jc w:val="center"/>
              <w:rPr>
                <w:rFonts w:hint="default" w:ascii="仿宋_GB2312" w:hAnsi="宋体" w:eastAsia="仿宋_GB2312" w:cs="仿宋_GB2312"/>
                <w:i w:val="0"/>
                <w:iCs w:val="0"/>
                <w:color w:val="000000"/>
                <w:sz w:val="32"/>
                <w:szCs w:val="32"/>
                <w:u w:val="none"/>
              </w:rPr>
            </w:pPr>
          </w:p>
        </w:tc>
        <w:tc>
          <w:tcPr>
            <w:tcW w:w="2882" w:type="dxa"/>
            <w:gridSpan w:val="2"/>
            <w:tcBorders>
              <w:top w:val="single" w:color="000000" w:sz="4" w:space="0"/>
              <w:left w:val="single" w:color="000000" w:sz="4" w:space="0"/>
              <w:bottom w:val="single" w:color="000000" w:sz="4" w:space="0"/>
              <w:right w:val="single" w:color="000000" w:sz="4" w:space="0"/>
            </w:tcBorders>
            <w:noWrap w:val="0"/>
            <w:vAlign w:val="center"/>
          </w:tcPr>
          <w:p w14:paraId="362F86BB">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其它资金:</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3E0FEBD1">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0</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14:paraId="3074A202">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其它资金:</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417A1256">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0</w:t>
            </w:r>
          </w:p>
        </w:tc>
      </w:tr>
      <w:tr w14:paraId="67CA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66" w:type="dxa"/>
            <w:vMerge w:val="restart"/>
            <w:tcBorders>
              <w:top w:val="single" w:color="000000" w:sz="4" w:space="0"/>
              <w:left w:val="single" w:color="000000" w:sz="4" w:space="0"/>
              <w:bottom w:val="single" w:color="000000" w:sz="4" w:space="0"/>
              <w:right w:val="single" w:color="000000" w:sz="4" w:space="0"/>
            </w:tcBorders>
            <w:noWrap w:val="0"/>
            <w:vAlign w:val="center"/>
          </w:tcPr>
          <w:p w14:paraId="6DEFBF62">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年度目标完成情况</w:t>
            </w:r>
          </w:p>
        </w:tc>
        <w:tc>
          <w:tcPr>
            <w:tcW w:w="4553" w:type="dxa"/>
            <w:gridSpan w:val="3"/>
            <w:tcBorders>
              <w:top w:val="single" w:color="000000" w:sz="4" w:space="0"/>
              <w:left w:val="single" w:color="000000" w:sz="4" w:space="0"/>
              <w:bottom w:val="single" w:color="000000" w:sz="4" w:space="0"/>
              <w:right w:val="single" w:color="000000" w:sz="4" w:space="0"/>
            </w:tcBorders>
            <w:noWrap w:val="0"/>
            <w:vAlign w:val="center"/>
          </w:tcPr>
          <w:p w14:paraId="1D4FE37C">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预期目标</w:t>
            </w:r>
          </w:p>
        </w:tc>
        <w:tc>
          <w:tcPr>
            <w:tcW w:w="3341" w:type="dxa"/>
            <w:gridSpan w:val="2"/>
            <w:tcBorders>
              <w:top w:val="single" w:color="000000" w:sz="4" w:space="0"/>
              <w:left w:val="single" w:color="000000" w:sz="4" w:space="0"/>
              <w:bottom w:val="single" w:color="000000" w:sz="4" w:space="0"/>
              <w:right w:val="single" w:color="000000" w:sz="4" w:space="0"/>
            </w:tcBorders>
            <w:noWrap w:val="0"/>
            <w:vAlign w:val="center"/>
          </w:tcPr>
          <w:p w14:paraId="4170F26E">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实际完成目标</w:t>
            </w:r>
          </w:p>
        </w:tc>
      </w:tr>
      <w:tr w14:paraId="3B18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26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992F1">
            <w:pPr>
              <w:jc w:val="center"/>
              <w:rPr>
                <w:rFonts w:hint="default" w:ascii="仿宋_GB2312" w:hAnsi="宋体" w:eastAsia="仿宋_GB2312" w:cs="仿宋_GB2312"/>
                <w:i w:val="0"/>
                <w:iCs w:val="0"/>
                <w:color w:val="000000"/>
                <w:sz w:val="32"/>
                <w:szCs w:val="32"/>
                <w:u w:val="none"/>
              </w:rPr>
            </w:pPr>
          </w:p>
        </w:tc>
        <w:tc>
          <w:tcPr>
            <w:tcW w:w="4553" w:type="dxa"/>
            <w:gridSpan w:val="3"/>
            <w:tcBorders>
              <w:top w:val="single" w:color="000000" w:sz="4" w:space="0"/>
              <w:left w:val="single" w:color="000000" w:sz="4" w:space="0"/>
              <w:bottom w:val="single" w:color="000000" w:sz="4" w:space="0"/>
              <w:right w:val="single" w:color="000000" w:sz="4" w:space="0"/>
            </w:tcBorders>
            <w:noWrap w:val="0"/>
            <w:vAlign w:val="center"/>
          </w:tcPr>
          <w:p w14:paraId="5BE7A33D">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按时高效完成全年13个劳动力调查点，208户调查户的调查工作，准确、及时的分析我区失业率、劳动力结构。</w:t>
            </w:r>
          </w:p>
        </w:tc>
        <w:tc>
          <w:tcPr>
            <w:tcW w:w="3341" w:type="dxa"/>
            <w:gridSpan w:val="2"/>
            <w:tcBorders>
              <w:top w:val="single" w:color="000000" w:sz="4" w:space="0"/>
              <w:left w:val="single" w:color="000000" w:sz="4" w:space="0"/>
              <w:bottom w:val="single" w:color="000000" w:sz="4" w:space="0"/>
              <w:right w:val="single" w:color="000000" w:sz="4" w:space="0"/>
            </w:tcBorders>
            <w:noWrap w:val="0"/>
            <w:vAlign w:val="center"/>
          </w:tcPr>
          <w:p w14:paraId="201B0AF6">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按时高效完成全年13个劳动力调查点，208户调查户的调查工作，准确、及时的分析我区失业率、劳动力结构。</w:t>
            </w:r>
          </w:p>
        </w:tc>
      </w:tr>
      <w:tr w14:paraId="1FE4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666" w:type="dxa"/>
            <w:vMerge w:val="restart"/>
            <w:tcBorders>
              <w:top w:val="single" w:color="000000" w:sz="4" w:space="0"/>
              <w:left w:val="single" w:color="000000" w:sz="4" w:space="0"/>
              <w:bottom w:val="single" w:color="000000" w:sz="4" w:space="0"/>
              <w:right w:val="single" w:color="000000" w:sz="4" w:space="0"/>
            </w:tcBorders>
            <w:noWrap w:val="0"/>
            <w:vAlign w:val="center"/>
          </w:tcPr>
          <w:p w14:paraId="187A3092">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绩效指标完成情况</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647557C8">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一级指标</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6093CE21">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二级指标</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13A9482A">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三级指标</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14:paraId="1DBF4FE4">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预期指标值(包含数字及文字描述)</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2162E86F">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实际完成指标值(包含数字及文字描述)</w:t>
            </w:r>
          </w:p>
        </w:tc>
      </w:tr>
      <w:tr w14:paraId="0987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6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68573">
            <w:pPr>
              <w:jc w:val="center"/>
              <w:rPr>
                <w:rFonts w:hint="default" w:ascii="仿宋_GB2312" w:hAnsi="宋体" w:eastAsia="仿宋_GB2312" w:cs="仿宋_GB2312"/>
                <w:i w:val="0"/>
                <w:iCs w:val="0"/>
                <w:color w:val="000000"/>
                <w:sz w:val="32"/>
                <w:szCs w:val="32"/>
                <w:u w:val="none"/>
              </w:rPr>
            </w:pP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436AA268">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产出指标</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4F3AC3D7">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数量指标</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3D828AED">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全区13个劳动力调查点、208户调查户</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14:paraId="46B3DF89">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≥208户（套）</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2ABD1534">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≥208户（套）</w:t>
            </w:r>
          </w:p>
        </w:tc>
      </w:tr>
      <w:tr w14:paraId="5B44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6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FFCDC">
            <w:pPr>
              <w:jc w:val="center"/>
              <w:rPr>
                <w:rFonts w:hint="default" w:ascii="仿宋_GB2312" w:hAnsi="宋体" w:eastAsia="仿宋_GB2312" w:cs="仿宋_GB2312"/>
                <w:i w:val="0"/>
                <w:iCs w:val="0"/>
                <w:color w:val="000000"/>
                <w:sz w:val="32"/>
                <w:szCs w:val="32"/>
                <w:u w:val="none"/>
              </w:rPr>
            </w:pP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5EBC3624">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效益指标</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299F39B2">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社会效益指标</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230C5EEA">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对我区社会促进作用</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14:paraId="0FE5DF8D">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3515E0B0">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定性</w:t>
            </w:r>
          </w:p>
        </w:tc>
      </w:tr>
      <w:tr w14:paraId="7339D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6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92E5B">
            <w:pPr>
              <w:jc w:val="center"/>
              <w:rPr>
                <w:rFonts w:hint="default" w:ascii="仿宋_GB2312" w:hAnsi="宋体" w:eastAsia="仿宋_GB2312" w:cs="仿宋_GB2312"/>
                <w:i w:val="0"/>
                <w:iCs w:val="0"/>
                <w:color w:val="000000"/>
                <w:sz w:val="32"/>
                <w:szCs w:val="32"/>
                <w:u w:val="none"/>
              </w:rPr>
            </w:pP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64725FA4">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满意度指标</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232397CA">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服务对象满意度指标</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32FD69D8">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调查户满意度</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14:paraId="2AC70BA7">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≥90户（套）</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3C260AD6">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≥90户（套）</w:t>
            </w:r>
          </w:p>
        </w:tc>
      </w:tr>
    </w:tbl>
    <w:p w14:paraId="18863B9C">
      <w:pPr>
        <w:numPr>
          <w:ilvl w:val="0"/>
          <w:numId w:val="0"/>
        </w:numPr>
        <w:snapToGrid w:val="0"/>
        <w:spacing w:line="600" w:lineRule="exact"/>
        <w:ind w:firstLine="420" w:firstLineChars="200"/>
        <w:rPr>
          <w:rFonts w:hint="default" w:ascii="Times New Roman" w:hAnsi="Times New Roman" w:eastAsia="黑体" w:cs="Times New Roman"/>
          <w:b w:val="0"/>
          <w:bCs w:val="0"/>
          <w:szCs w:val="21"/>
        </w:rPr>
      </w:pPr>
    </w:p>
    <w:p w14:paraId="18488EC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黑体" w:hAnsi="宋体" w:eastAsia="黑体" w:cs="宋体"/>
          <w:color w:val="auto"/>
          <w:kern w:val="0"/>
          <w:sz w:val="32"/>
          <w:szCs w:val="32"/>
          <w:highlight w:val="none"/>
          <w:u w:val="none"/>
          <w:shd w:val="clear" w:color="auto" w:fill="FFFFFF"/>
        </w:rPr>
      </w:pPr>
      <w:r>
        <w:rPr>
          <w:rFonts w:hint="default" w:ascii="黑体" w:hAnsi="宋体" w:eastAsia="黑体" w:cs="宋体"/>
          <w:color w:val="auto"/>
          <w:kern w:val="0"/>
          <w:sz w:val="32"/>
          <w:szCs w:val="32"/>
          <w:highlight w:val="none"/>
          <w:u w:val="none"/>
          <w:shd w:val="clear" w:color="auto" w:fill="FFFFFF"/>
        </w:rPr>
        <w:t>四、绩效评价分析</w:t>
      </w:r>
    </w:p>
    <w:p w14:paraId="57C83AC4">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楷体_GB2312" w:hAnsi="楷体_GB2312" w:eastAsia="楷体_GB2312" w:cs="楷体_GB2312"/>
          <w:b/>
          <w:bCs/>
          <w:color w:val="auto"/>
          <w:kern w:val="0"/>
          <w:sz w:val="32"/>
          <w:szCs w:val="32"/>
          <w:highlight w:val="none"/>
          <w:shd w:val="clear" w:color="auto" w:fill="FFFFFF"/>
          <w:lang w:val="zh-CN" w:eastAsia="zh-CN"/>
        </w:rPr>
      </w:pPr>
      <w:r>
        <w:rPr>
          <w:rFonts w:hint="default" w:ascii="楷体_GB2312" w:hAnsi="楷体_GB2312" w:eastAsia="楷体_GB2312" w:cs="楷体_GB2312"/>
          <w:b/>
          <w:bCs/>
          <w:color w:val="auto"/>
          <w:kern w:val="0"/>
          <w:sz w:val="32"/>
          <w:szCs w:val="32"/>
          <w:highlight w:val="none"/>
          <w:shd w:val="clear" w:color="auto" w:fill="FFFFFF"/>
          <w:lang w:val="zh-CN" w:eastAsia="zh-CN"/>
        </w:rPr>
        <w:t>（一）项目决策情况</w:t>
      </w:r>
    </w:p>
    <w:p w14:paraId="42199168">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项目支出按财务规定流程，重大事项需经会议通过。</w:t>
      </w:r>
    </w:p>
    <w:p w14:paraId="740111B0">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eastAsia="zh-CN"/>
        </w:rPr>
        <w:t>（二）项目管理情况</w:t>
      </w:r>
    </w:p>
    <w:p w14:paraId="6D151511">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项目目标设定依据充分、合理；项目建设符合区委、区政府及上级部门相关规定；实现项目与过程管理有机结合。</w:t>
      </w:r>
    </w:p>
    <w:p w14:paraId="0B47D30A">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楷体_GB2312" w:hAnsi="楷体_GB2312" w:eastAsia="楷体_GB2312" w:cs="楷体_GB2312"/>
          <w:b/>
          <w:bCs/>
          <w:color w:val="auto"/>
          <w:kern w:val="0"/>
          <w:sz w:val="32"/>
          <w:szCs w:val="32"/>
          <w:highlight w:val="none"/>
          <w:shd w:val="clear" w:color="auto" w:fill="FFFFFF"/>
          <w:lang w:val="zh-CN"/>
        </w:rPr>
      </w:pPr>
      <w:r>
        <w:rPr>
          <w:rFonts w:hint="default" w:ascii="楷体_GB2312" w:hAnsi="楷体_GB2312" w:eastAsia="楷体_GB2312" w:cs="楷体_GB2312"/>
          <w:b/>
          <w:bCs/>
          <w:color w:val="auto"/>
          <w:kern w:val="0"/>
          <w:sz w:val="32"/>
          <w:szCs w:val="32"/>
          <w:highlight w:val="none"/>
          <w:shd w:val="clear" w:color="auto" w:fill="FFFFFF"/>
          <w:lang w:val="zh-CN"/>
        </w:rPr>
        <w:t>（三）项目产出情况</w:t>
      </w:r>
    </w:p>
    <w:p w14:paraId="2906B57C">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hint="eastAsia" w:ascii="仿宋" w:hAnsi="仿宋" w:eastAsia="仿宋" w:cs="仿宋_GB2312"/>
          <w:color w:val="000000"/>
          <w:sz w:val="32"/>
          <w:szCs w:val="32"/>
          <w:lang w:eastAsia="zh-CN"/>
        </w:rPr>
      </w:pPr>
      <w:r>
        <w:rPr>
          <w:rFonts w:hint="default" w:ascii="仿宋" w:hAnsi="仿宋" w:eastAsia="仿宋" w:cs="仿宋_GB2312"/>
          <w:color w:val="000000"/>
          <w:sz w:val="32"/>
          <w:szCs w:val="32"/>
          <w:lang w:eastAsia="zh-CN"/>
        </w:rPr>
        <w:t>各县级调查队、未设调查队的县(区、市直园区)统计机构负责本辖区内的调查任务，统一接受遂宁调查队的业务领导，市直园区统计机构按属地原则同时接受所属区统计局的业务指导。县级统计调查机构要确定分管领导，配备劳动力调查专职人员。按照国务院要求，调查所需经费由中央和地方政府共同负担，并列入相应年度的财政预算。中央财政负责PAD的配备，各县级财政(含园区)负责业务培训费、入户礼品、宣传、调查员补贴等日常工作费用</w:t>
      </w:r>
      <w:r>
        <w:rPr>
          <w:rFonts w:hint="eastAsia" w:ascii="仿宋" w:hAnsi="仿宋" w:eastAsia="仿宋" w:cs="仿宋_GB2312"/>
          <w:color w:val="000000"/>
          <w:sz w:val="32"/>
          <w:szCs w:val="32"/>
          <w:lang w:eastAsia="zh-CN"/>
        </w:rPr>
        <w:t>。</w:t>
      </w:r>
    </w:p>
    <w:p w14:paraId="67E98D9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楷体_GB2312" w:hAnsi="楷体_GB2312" w:eastAsia="楷体_GB2312" w:cs="楷体_GB2312"/>
          <w:b/>
          <w:bCs/>
          <w:color w:val="auto"/>
          <w:kern w:val="0"/>
          <w:sz w:val="32"/>
          <w:szCs w:val="32"/>
          <w:highlight w:val="none"/>
          <w:shd w:val="clear" w:color="auto" w:fill="FFFFFF"/>
          <w:lang w:val="zh-CN"/>
        </w:rPr>
      </w:pPr>
      <w:r>
        <w:rPr>
          <w:rFonts w:hint="default" w:ascii="楷体_GB2312" w:hAnsi="楷体_GB2312" w:eastAsia="楷体_GB2312" w:cs="楷体_GB2312"/>
          <w:b/>
          <w:bCs/>
          <w:color w:val="auto"/>
          <w:kern w:val="0"/>
          <w:sz w:val="32"/>
          <w:szCs w:val="32"/>
          <w:highlight w:val="none"/>
          <w:shd w:val="clear" w:color="auto" w:fill="FFFFFF"/>
          <w:lang w:val="zh-CN"/>
        </w:rPr>
        <w:t>（四）项目效益情况。</w:t>
      </w:r>
    </w:p>
    <w:p w14:paraId="1F559A75">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hint="default" w:ascii="仿宋" w:hAnsi="仿宋" w:eastAsia="仿宋" w:cs="仿宋_GB2312"/>
          <w:color w:val="000000"/>
          <w:sz w:val="32"/>
          <w:szCs w:val="32"/>
          <w:lang w:eastAsia="zh-CN"/>
        </w:rPr>
      </w:pPr>
      <w:r>
        <w:rPr>
          <w:rFonts w:hint="default" w:ascii="仿宋" w:hAnsi="仿宋" w:eastAsia="仿宋" w:cs="仿宋_GB2312"/>
          <w:color w:val="000000"/>
          <w:sz w:val="32"/>
          <w:szCs w:val="32"/>
          <w:lang w:val="en-US" w:eastAsia="zh-CN"/>
        </w:rPr>
        <w:t>按时高效完成劳动力</w:t>
      </w:r>
      <w:r>
        <w:rPr>
          <w:rFonts w:hint="eastAsia" w:ascii="仿宋" w:hAnsi="仿宋" w:eastAsia="仿宋" w:cs="仿宋_GB2312"/>
          <w:color w:val="000000"/>
          <w:sz w:val="32"/>
          <w:szCs w:val="32"/>
          <w:lang w:val="en-US" w:eastAsia="zh-CN"/>
        </w:rPr>
        <w:t>和失业率</w:t>
      </w:r>
      <w:r>
        <w:rPr>
          <w:rFonts w:hint="default" w:ascii="仿宋" w:hAnsi="仿宋" w:eastAsia="仿宋" w:cs="仿宋_GB2312"/>
          <w:color w:val="000000"/>
          <w:sz w:val="32"/>
          <w:szCs w:val="32"/>
          <w:lang w:val="en-US" w:eastAsia="zh-CN"/>
        </w:rPr>
        <w:t>的调查工作，准确、及时的分析我区失业率、劳动力结构。</w:t>
      </w:r>
    </w:p>
    <w:p w14:paraId="37499CF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u w:val="none"/>
          <w:shd w:val="clear" w:color="auto" w:fill="FFFFFF"/>
        </w:rPr>
      </w:pPr>
      <w:r>
        <w:rPr>
          <w:rFonts w:hint="eastAsia" w:ascii="黑体" w:hAnsi="宋体" w:eastAsia="黑体" w:cs="宋体"/>
          <w:color w:val="auto"/>
          <w:kern w:val="0"/>
          <w:sz w:val="32"/>
          <w:szCs w:val="32"/>
          <w:highlight w:val="none"/>
          <w:u w:val="none"/>
          <w:shd w:val="clear" w:color="auto" w:fill="FFFFFF"/>
          <w:lang w:eastAsia="zh-CN"/>
        </w:rPr>
        <w:t>五、</w:t>
      </w:r>
      <w:r>
        <w:rPr>
          <w:rFonts w:hint="eastAsia" w:ascii="黑体" w:hAnsi="宋体" w:eastAsia="黑体" w:cs="宋体"/>
          <w:color w:val="auto"/>
          <w:kern w:val="0"/>
          <w:sz w:val="32"/>
          <w:szCs w:val="32"/>
          <w:highlight w:val="none"/>
          <w:u w:val="none"/>
          <w:shd w:val="clear" w:color="auto" w:fill="FFFFFF"/>
        </w:rPr>
        <w:t>存在主要问题</w:t>
      </w:r>
    </w:p>
    <w:p w14:paraId="2787E6DE">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绩效评价工作业务有待加强，评价指标体系有待细化。</w:t>
      </w:r>
    </w:p>
    <w:p w14:paraId="778B0BE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u w:val="none"/>
          <w:shd w:val="clear" w:color="auto" w:fill="FFFFFF"/>
        </w:rPr>
      </w:pPr>
      <w:r>
        <w:rPr>
          <w:rFonts w:hint="eastAsia" w:ascii="黑体" w:hAnsi="宋体" w:eastAsia="黑体" w:cs="宋体"/>
          <w:color w:val="auto"/>
          <w:kern w:val="0"/>
          <w:sz w:val="32"/>
          <w:szCs w:val="32"/>
          <w:highlight w:val="none"/>
          <w:u w:val="none"/>
          <w:shd w:val="clear" w:color="auto" w:fill="FFFFFF"/>
          <w:lang w:eastAsia="zh-CN"/>
        </w:rPr>
        <w:t>六、</w:t>
      </w:r>
      <w:r>
        <w:rPr>
          <w:rFonts w:hint="eastAsia" w:ascii="黑体" w:hAnsi="宋体" w:eastAsia="黑体" w:cs="宋体"/>
          <w:color w:val="auto"/>
          <w:kern w:val="0"/>
          <w:sz w:val="32"/>
          <w:szCs w:val="32"/>
          <w:highlight w:val="none"/>
          <w:u w:val="none"/>
          <w:shd w:val="clear" w:color="auto" w:fill="FFFFFF"/>
        </w:rPr>
        <w:t>相关措施建议</w:t>
      </w:r>
    </w:p>
    <w:p w14:paraId="746D4029">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left"/>
        <w:textAlignment w:val="auto"/>
        <w:rPr>
          <w:rFonts w:hint="eastAsia" w:hAnsi="宋体" w:cs="宋体"/>
          <w:color w:val="auto"/>
          <w:kern w:val="0"/>
          <w:sz w:val="32"/>
          <w:szCs w:val="32"/>
          <w:highlight w:val="none"/>
          <w:shd w:val="clear" w:color="auto" w:fill="FFFFFF"/>
          <w:lang w:val="zh-CN"/>
        </w:rPr>
      </w:pPr>
      <w:r>
        <w:rPr>
          <w:rFonts w:hint="eastAsia" w:ascii="仿宋" w:hAnsi="仿宋" w:eastAsia="仿宋" w:cs="仿宋_GB2312"/>
          <w:color w:val="000000"/>
          <w:sz w:val="32"/>
          <w:szCs w:val="32"/>
          <w:lang w:eastAsia="zh-CN"/>
        </w:rPr>
        <w:t>加强业务培训，提高评价水平。绩效评价工作是一项长期性的工作，专业性强，工作量大，建议财政部门进一步加强开展部门领导及经办人员相关的政策、业务工作培训和指导，优化相关指标，切实推进绩效评价工作的开展。</w:t>
      </w:r>
    </w:p>
    <w:p w14:paraId="759F8E57">
      <w:pPr>
        <w:rPr>
          <w:rFonts w:hint="default" w:ascii="Times New Roman" w:hAnsi="Times New Roman" w:eastAsia="方正小标宋简体" w:cs="Times New Roman"/>
          <w:b w:val="0"/>
          <w:bCs w:val="0"/>
          <w:sz w:val="44"/>
          <w:szCs w:val="44"/>
        </w:rPr>
      </w:pPr>
      <w:bookmarkStart w:id="69" w:name="_Toc15396618"/>
      <w:r>
        <w:rPr>
          <w:rFonts w:hint="default" w:ascii="Times New Roman" w:hAnsi="Times New Roman" w:eastAsia="方正小标宋简体" w:cs="Times New Roman"/>
          <w:b w:val="0"/>
          <w:bCs w:val="0"/>
          <w:sz w:val="44"/>
          <w:szCs w:val="44"/>
        </w:rPr>
        <w:br w:type="page"/>
      </w:r>
    </w:p>
    <w:p w14:paraId="030B5367">
      <w:pPr>
        <w:keepNext w:val="0"/>
        <w:keepLines w:val="0"/>
        <w:pageBreakBefore w:val="0"/>
        <w:kinsoku/>
        <w:wordWrap/>
        <w:overflowPunct/>
        <w:topLinePunct w:val="0"/>
        <w:autoSpaceDE/>
        <w:autoSpaceDN/>
        <w:bidi w:val="0"/>
        <w:spacing w:line="572" w:lineRule="exact"/>
        <w:jc w:val="left"/>
        <w:textAlignment w:val="auto"/>
        <w:outlineLvl w:val="9"/>
        <w:rPr>
          <w:rFonts w:hint="default" w:ascii="Times New Roman" w:hAnsi="Times New Roman" w:eastAsia="黑体" w:cs="Times New Roman"/>
          <w:b w:val="0"/>
          <w:bCs w:val="0"/>
          <w:sz w:val="44"/>
          <w:szCs w:val="44"/>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2-1</w:t>
      </w:r>
    </w:p>
    <w:p w14:paraId="55E58F15">
      <w:pPr>
        <w:snapToGrid w:val="0"/>
        <w:spacing w:line="60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部门预算项目支出绩效自评报告</w:t>
      </w:r>
    </w:p>
    <w:p w14:paraId="1F258786">
      <w:pPr>
        <w:tabs>
          <w:tab w:val="left" w:pos="3885"/>
        </w:tabs>
        <w:snapToGrid w:val="0"/>
        <w:spacing w:line="600" w:lineRule="exact"/>
        <w:jc w:val="center"/>
        <w:rPr>
          <w:rFonts w:hint="default" w:ascii="Times New Roman" w:hAnsi="Times New Roman" w:eastAsia="仿宋_GB2312" w:cs="Times New Roman"/>
          <w:b w:val="0"/>
          <w:bCs w:val="0"/>
          <w:sz w:val="32"/>
          <w:szCs w:val="21"/>
        </w:rPr>
      </w:pPr>
      <w:r>
        <w:rPr>
          <w:rFonts w:hint="default" w:ascii="Times New Roman" w:hAnsi="Times New Roman" w:eastAsia="仿宋_GB2312" w:cs="Times New Roman"/>
          <w:b w:val="0"/>
          <w:bCs w:val="0"/>
          <w:sz w:val="32"/>
        </w:rPr>
        <w:t>（专项统计、统计抽样调查活动项目）</w:t>
      </w:r>
    </w:p>
    <w:p w14:paraId="733AB815">
      <w:pPr>
        <w:numPr>
          <w:ilvl w:val="0"/>
          <w:numId w:val="7"/>
        </w:numPr>
        <w:tabs>
          <w:tab w:val="left" w:pos="3885"/>
        </w:tabs>
        <w:snapToGrid w:val="0"/>
        <w:spacing w:line="600" w:lineRule="exact"/>
        <w:ind w:firstLine="640" w:firstLineChars="200"/>
        <w:jc w:val="left"/>
        <w:rPr>
          <w:rFonts w:hint="default" w:ascii="Times New Roman" w:hAnsi="Times New Roman" w:eastAsia="黑体" w:cs="Times New Roman"/>
          <w:b w:val="0"/>
          <w:bCs w:val="0"/>
          <w:sz w:val="32"/>
          <w:szCs w:val="21"/>
        </w:rPr>
      </w:pPr>
      <w:r>
        <w:rPr>
          <w:rFonts w:hint="default" w:ascii="Times New Roman" w:hAnsi="Times New Roman" w:eastAsia="黑体" w:cs="Times New Roman"/>
          <w:b w:val="0"/>
          <w:bCs w:val="0"/>
          <w:sz w:val="32"/>
          <w:szCs w:val="21"/>
        </w:rPr>
        <w:t>基本情况</w:t>
      </w:r>
    </w:p>
    <w:p w14:paraId="2237C27F">
      <w:pPr>
        <w:snapToGrid w:val="0"/>
        <w:spacing w:line="600" w:lineRule="exact"/>
        <w:ind w:firstLine="640" w:firstLineChars="200"/>
        <w:rPr>
          <w:rFonts w:hint="default" w:ascii="Times New Roman" w:hAnsi="Times New Roman" w:eastAsia="仿宋_GB2312" w:cs="Times New Roman"/>
          <w:b w:val="0"/>
          <w:bCs w:val="0"/>
          <w:sz w:val="32"/>
          <w:szCs w:val="21"/>
        </w:rPr>
      </w:pPr>
      <w:r>
        <w:rPr>
          <w:rFonts w:hint="default" w:ascii="Times New Roman" w:hAnsi="Times New Roman" w:eastAsia="仿宋_GB2312" w:cs="Times New Roman"/>
          <w:b w:val="0"/>
          <w:bCs w:val="0"/>
          <w:sz w:val="32"/>
        </w:rPr>
        <w:t>专项统计、统计抽样调查活动</w:t>
      </w:r>
      <w:r>
        <w:rPr>
          <w:rFonts w:hint="eastAsia" w:ascii="Times New Roman" w:hAnsi="Times New Roman" w:eastAsia="仿宋_GB2312" w:cs="Times New Roman"/>
          <w:b w:val="0"/>
          <w:bCs w:val="0"/>
          <w:sz w:val="32"/>
          <w:lang w:eastAsia="zh-CN"/>
        </w:rPr>
        <w:t>项目要求统计局，</w:t>
      </w:r>
      <w:r>
        <w:rPr>
          <w:rFonts w:hint="default" w:ascii="Times New Roman" w:hAnsi="Times New Roman" w:eastAsia="仿宋_GB2312" w:cs="Times New Roman"/>
          <w:b w:val="0"/>
          <w:bCs w:val="0"/>
          <w:sz w:val="32"/>
          <w:szCs w:val="21"/>
        </w:rPr>
        <w:t>一是全力做好2022年工业、投资、商贸、农业、综合等领域的专业统计业务工作</w:t>
      </w:r>
      <w:r>
        <w:rPr>
          <w:rFonts w:hint="eastAsia" w:ascii="Times New Roman" w:hAnsi="Times New Roman" w:eastAsia="仿宋_GB2312" w:cs="Times New Roman"/>
          <w:b w:val="0"/>
          <w:bCs w:val="0"/>
          <w:sz w:val="32"/>
          <w:szCs w:val="21"/>
          <w:lang w:eastAsia="zh-CN"/>
        </w:rPr>
        <w:t>；</w:t>
      </w:r>
      <w:r>
        <w:rPr>
          <w:rFonts w:hint="default" w:ascii="Times New Roman" w:hAnsi="Times New Roman" w:eastAsia="仿宋_GB2312" w:cs="Times New Roman"/>
          <w:b w:val="0"/>
          <w:bCs w:val="0"/>
          <w:sz w:val="32"/>
          <w:szCs w:val="21"/>
        </w:rPr>
        <w:t>二是完成城乡居民收入调查、粮食监测对</w:t>
      </w:r>
      <w:r>
        <w:rPr>
          <w:rFonts w:hint="eastAsia" w:ascii="Times New Roman" w:hAnsi="Times New Roman" w:eastAsia="仿宋_GB2312" w:cs="Times New Roman"/>
          <w:b w:val="0"/>
          <w:bCs w:val="0"/>
          <w:sz w:val="32"/>
          <w:szCs w:val="21"/>
          <w:lang w:eastAsia="zh-CN"/>
        </w:rPr>
        <w:t>的</w:t>
      </w:r>
      <w:r>
        <w:rPr>
          <w:rFonts w:hint="default" w:ascii="Times New Roman" w:hAnsi="Times New Roman" w:eastAsia="仿宋_GB2312" w:cs="Times New Roman"/>
          <w:b w:val="0"/>
          <w:bCs w:val="0"/>
          <w:sz w:val="32"/>
          <w:szCs w:val="21"/>
        </w:rPr>
        <w:t>遥感测量、畜禽监测等统计抽样调查工作。</w:t>
      </w:r>
      <w:r>
        <w:rPr>
          <w:rFonts w:hint="eastAsia" w:ascii="Times New Roman" w:hAnsi="Times New Roman" w:eastAsia="仿宋_GB2312" w:cs="Times New Roman"/>
          <w:b w:val="0"/>
          <w:bCs w:val="0"/>
          <w:sz w:val="32"/>
          <w:szCs w:val="21"/>
          <w:lang w:eastAsia="zh-CN"/>
        </w:rPr>
        <w:t>相关经费</w:t>
      </w:r>
      <w:r>
        <w:rPr>
          <w:rFonts w:hint="default" w:ascii="Times New Roman" w:hAnsi="Times New Roman" w:eastAsia="仿宋_GB2312" w:cs="Times New Roman"/>
          <w:b w:val="0"/>
          <w:bCs w:val="0"/>
          <w:sz w:val="32"/>
          <w:szCs w:val="21"/>
        </w:rPr>
        <w:t>主要用于五大专业统计和统计抽样调查工作开展产生的业务培训、报表印制、报表补贴、外出开展工作等相关费用支出。</w:t>
      </w:r>
    </w:p>
    <w:p w14:paraId="60E7235E">
      <w:pPr>
        <w:snapToGrid w:val="0"/>
        <w:spacing w:line="600" w:lineRule="exact"/>
        <w:ind w:firstLine="640" w:firstLineChars="200"/>
        <w:rPr>
          <w:rFonts w:hint="default" w:ascii="Times New Roman" w:hAnsi="Times New Roman" w:eastAsia="仿宋_GB2312" w:cs="Times New Roman"/>
          <w:b w:val="0"/>
          <w:bCs w:val="0"/>
          <w:sz w:val="32"/>
          <w:szCs w:val="21"/>
        </w:rPr>
      </w:pPr>
      <w:r>
        <w:rPr>
          <w:rFonts w:hint="default" w:ascii="Times New Roman" w:hAnsi="Times New Roman" w:eastAsia="黑体" w:cs="Times New Roman"/>
          <w:b w:val="0"/>
          <w:bCs w:val="0"/>
          <w:sz w:val="32"/>
          <w:szCs w:val="21"/>
        </w:rPr>
        <w:t>二、评价工作开展情况</w:t>
      </w:r>
    </w:p>
    <w:p w14:paraId="2327F61F">
      <w:pPr>
        <w:tabs>
          <w:tab w:val="left" w:pos="3885"/>
        </w:tabs>
        <w:snapToGrid w:val="0"/>
        <w:spacing w:line="600" w:lineRule="exact"/>
        <w:ind w:firstLine="640" w:firstLineChars="200"/>
        <w:jc w:val="left"/>
        <w:rPr>
          <w:rFonts w:hint="eastAsia" w:ascii="Times New Roman" w:hAnsi="Times New Roman" w:eastAsia="仿宋_GB2312" w:cs="Times New Roman"/>
          <w:b w:val="0"/>
          <w:bCs w:val="0"/>
          <w:sz w:val="32"/>
          <w:szCs w:val="21"/>
          <w:lang w:eastAsia="zh-CN"/>
        </w:rPr>
      </w:pPr>
      <w:r>
        <w:rPr>
          <w:rFonts w:hint="eastAsia" w:ascii="Times New Roman" w:hAnsi="Times New Roman" w:eastAsia="仿宋_GB2312" w:cs="Times New Roman"/>
          <w:b w:val="0"/>
          <w:bCs w:val="0"/>
          <w:sz w:val="32"/>
          <w:szCs w:val="21"/>
          <w:lang w:eastAsia="zh-CN"/>
        </w:rPr>
        <w:t>参照统一的项目绩效评价体系，我单位组织开展了项目绩效评价，评价体系涵盖了项目实施、项目决策、项目完成情况三大方面，评价方法分别采用分级评分法、错项扣分法、比率分值法，此次项目绩效评价由分管领导、项目实施人员、财务核算人员共同参与。</w:t>
      </w:r>
    </w:p>
    <w:p w14:paraId="08007776">
      <w:pPr>
        <w:snapToGrid w:val="0"/>
        <w:spacing w:line="600" w:lineRule="exact"/>
        <w:ind w:firstLine="640" w:firstLineChars="200"/>
        <w:rPr>
          <w:rFonts w:hint="default" w:ascii="Times New Roman" w:hAnsi="Times New Roman" w:eastAsia="黑体" w:cs="Times New Roman"/>
          <w:b w:val="0"/>
          <w:bCs w:val="0"/>
          <w:sz w:val="32"/>
          <w:szCs w:val="21"/>
        </w:rPr>
      </w:pPr>
      <w:r>
        <w:rPr>
          <w:rFonts w:hint="default" w:ascii="Times New Roman" w:hAnsi="Times New Roman" w:eastAsia="黑体" w:cs="Times New Roman"/>
          <w:b w:val="0"/>
          <w:bCs w:val="0"/>
          <w:sz w:val="32"/>
          <w:szCs w:val="21"/>
        </w:rPr>
        <w:t>三、综合评价结论（附评分表）</w:t>
      </w:r>
    </w:p>
    <w:p w14:paraId="0AEC7180">
      <w:pPr>
        <w:tabs>
          <w:tab w:val="left" w:pos="3885"/>
        </w:tabs>
        <w:snapToGrid w:val="0"/>
        <w:spacing w:line="600" w:lineRule="exact"/>
        <w:ind w:firstLine="640" w:firstLineChars="200"/>
        <w:jc w:val="left"/>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全面客观了解我</w:t>
      </w:r>
      <w:r>
        <w:rPr>
          <w:rFonts w:hint="eastAsia" w:ascii="仿宋_GB2312" w:hAnsi="仿宋_GB2312" w:eastAsia="仿宋_GB2312" w:cs="仿宋_GB2312"/>
          <w:sz w:val="32"/>
          <w:szCs w:val="21"/>
          <w:lang w:eastAsia="zh-CN"/>
        </w:rPr>
        <w:t>局</w:t>
      </w:r>
      <w:r>
        <w:rPr>
          <w:rFonts w:hint="default" w:ascii="Times New Roman" w:hAnsi="Times New Roman" w:eastAsia="仿宋_GB2312" w:cs="Times New Roman"/>
          <w:b w:val="0"/>
          <w:bCs w:val="0"/>
          <w:sz w:val="32"/>
        </w:rPr>
        <w:t>专项统计、统计抽样调查活动</w:t>
      </w:r>
      <w:r>
        <w:rPr>
          <w:rFonts w:hint="eastAsia" w:ascii="仿宋_GB2312" w:hAnsi="仿宋_GB2312" w:eastAsia="仿宋_GB2312" w:cs="仿宋_GB2312"/>
          <w:sz w:val="32"/>
          <w:szCs w:val="21"/>
        </w:rPr>
        <w:t>的</w:t>
      </w:r>
      <w:r>
        <w:rPr>
          <w:rFonts w:hint="eastAsia" w:ascii="仿宋_GB2312" w:hAnsi="仿宋_GB2312" w:eastAsia="仿宋_GB2312" w:cs="仿宋_GB2312"/>
          <w:sz w:val="32"/>
          <w:szCs w:val="21"/>
          <w:lang w:eastAsia="zh-CN"/>
        </w:rPr>
        <w:t>资金</w:t>
      </w:r>
      <w:r>
        <w:rPr>
          <w:rFonts w:hint="eastAsia" w:ascii="仿宋_GB2312" w:hAnsi="仿宋_GB2312" w:eastAsia="仿宋_GB2312" w:cs="仿宋_GB2312"/>
          <w:sz w:val="32"/>
          <w:szCs w:val="21"/>
        </w:rPr>
        <w:t>使用情况，</w:t>
      </w:r>
      <w:r>
        <w:rPr>
          <w:rFonts w:hint="eastAsia" w:ascii="仿宋_GB2312" w:hAnsi="仿宋_GB2312" w:eastAsia="仿宋_GB2312" w:cs="仿宋_GB2312"/>
          <w:sz w:val="32"/>
          <w:szCs w:val="21"/>
          <w:lang w:eastAsia="zh-CN"/>
        </w:rPr>
        <w:t>从</w:t>
      </w:r>
      <w:r>
        <w:rPr>
          <w:rFonts w:hint="eastAsia" w:ascii="仿宋_GB2312" w:hAnsi="仿宋_GB2312" w:eastAsia="仿宋_GB2312" w:cs="仿宋_GB2312"/>
          <w:sz w:val="32"/>
          <w:szCs w:val="21"/>
        </w:rPr>
        <w:t>产出、效益、满意度</w:t>
      </w:r>
      <w:r>
        <w:rPr>
          <w:rFonts w:hint="eastAsia" w:ascii="仿宋_GB2312" w:hAnsi="仿宋_GB2312" w:eastAsia="仿宋_GB2312" w:cs="仿宋_GB2312"/>
          <w:sz w:val="32"/>
          <w:szCs w:val="21"/>
          <w:lang w:eastAsia="zh-CN"/>
        </w:rPr>
        <w:t>几方面都得到较高评价</w:t>
      </w:r>
      <w:r>
        <w:rPr>
          <w:rFonts w:hint="eastAsia" w:ascii="仿宋_GB2312" w:hAnsi="仿宋_GB2312" w:eastAsia="仿宋_GB2312" w:cs="仿宋_GB2312"/>
          <w:sz w:val="32"/>
          <w:szCs w:val="21"/>
        </w:rPr>
        <w:t>。</w:t>
      </w:r>
    </w:p>
    <w:p w14:paraId="7C77796B">
      <w:pPr>
        <w:rPr>
          <w:rFonts w:hint="eastAsia"/>
        </w:rPr>
      </w:pPr>
      <w:r>
        <w:rPr>
          <w:rFonts w:hint="eastAsia" w:ascii="仿宋_GB2312" w:hAnsi="仿宋_GB2312" w:eastAsia="仿宋_GB2312" w:cs="仿宋_GB2312"/>
          <w:sz w:val="32"/>
          <w:szCs w:val="21"/>
        </w:rPr>
        <w:br w:type="page"/>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9"/>
        <w:gridCol w:w="1338"/>
        <w:gridCol w:w="1340"/>
        <w:gridCol w:w="1553"/>
        <w:gridCol w:w="1384"/>
        <w:gridCol w:w="1558"/>
      </w:tblGrid>
      <w:tr w14:paraId="6E56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7E20A282">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项目支出绩效目标完成情况表</w:t>
            </w:r>
          </w:p>
        </w:tc>
      </w:tr>
      <w:tr w14:paraId="56BB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476A7AB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(2022年度)</w:t>
            </w:r>
          </w:p>
        </w:tc>
      </w:tr>
      <w:tr w14:paraId="0DB3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363" w:type="pct"/>
            <w:gridSpan w:val="3"/>
            <w:tcBorders>
              <w:top w:val="single" w:color="000000" w:sz="4" w:space="0"/>
              <w:left w:val="single" w:color="000000" w:sz="4" w:space="0"/>
              <w:bottom w:val="single" w:color="000000" w:sz="4" w:space="0"/>
              <w:right w:val="single" w:color="000000" w:sz="4" w:space="0"/>
            </w:tcBorders>
            <w:noWrap w:val="0"/>
            <w:vAlign w:val="center"/>
          </w:tcPr>
          <w:p w14:paraId="12EB417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项目名称</w:t>
            </w:r>
          </w:p>
        </w:tc>
        <w:tc>
          <w:tcPr>
            <w:tcW w:w="2636" w:type="pct"/>
            <w:gridSpan w:val="3"/>
            <w:tcBorders>
              <w:top w:val="single" w:color="000000" w:sz="4" w:space="0"/>
              <w:left w:val="single" w:color="000000" w:sz="4" w:space="0"/>
              <w:bottom w:val="single" w:color="000000" w:sz="4" w:space="0"/>
              <w:right w:val="single" w:color="000000" w:sz="4" w:space="0"/>
            </w:tcBorders>
            <w:noWrap w:val="0"/>
            <w:vAlign w:val="center"/>
          </w:tcPr>
          <w:p w14:paraId="7AA9EAC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遂财农【2021】99号-2022年中央财政衔接推进乡村振兴补助资金（以工代赈）</w:t>
            </w:r>
          </w:p>
        </w:tc>
      </w:tr>
      <w:tr w14:paraId="196F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63" w:type="pct"/>
            <w:gridSpan w:val="3"/>
            <w:tcBorders>
              <w:top w:val="single" w:color="000000" w:sz="4" w:space="0"/>
              <w:left w:val="single" w:color="000000" w:sz="4" w:space="0"/>
              <w:bottom w:val="single" w:color="000000" w:sz="4" w:space="0"/>
              <w:right w:val="single" w:color="000000" w:sz="4" w:space="0"/>
            </w:tcBorders>
            <w:noWrap w:val="0"/>
            <w:vAlign w:val="center"/>
          </w:tcPr>
          <w:p w14:paraId="5B97D93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预算单位</w:t>
            </w:r>
          </w:p>
        </w:tc>
        <w:tc>
          <w:tcPr>
            <w:tcW w:w="2636" w:type="pct"/>
            <w:gridSpan w:val="3"/>
            <w:tcBorders>
              <w:top w:val="single" w:color="000000" w:sz="4" w:space="0"/>
              <w:left w:val="single" w:color="000000" w:sz="4" w:space="0"/>
              <w:bottom w:val="single" w:color="000000" w:sz="4" w:space="0"/>
              <w:right w:val="single" w:color="000000" w:sz="4" w:space="0"/>
            </w:tcBorders>
            <w:noWrap w:val="0"/>
            <w:vAlign w:val="center"/>
          </w:tcPr>
          <w:p w14:paraId="729B546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遂宁市安居区统计局</w:t>
            </w:r>
          </w:p>
        </w:tc>
      </w:tr>
      <w:tr w14:paraId="473D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92" w:type="pct"/>
            <w:vMerge w:val="restart"/>
            <w:tcBorders>
              <w:top w:val="single" w:color="000000" w:sz="4" w:space="0"/>
              <w:left w:val="single" w:color="000000" w:sz="4" w:space="0"/>
              <w:bottom w:val="single" w:color="000000" w:sz="4" w:space="0"/>
              <w:right w:val="single" w:color="000000" w:sz="4" w:space="0"/>
            </w:tcBorders>
            <w:noWrap w:val="0"/>
            <w:vAlign w:val="center"/>
          </w:tcPr>
          <w:p w14:paraId="7966082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预算执行情况(万元)</w:t>
            </w:r>
          </w:p>
        </w:tc>
        <w:tc>
          <w:tcPr>
            <w:tcW w:w="1571" w:type="pct"/>
            <w:gridSpan w:val="2"/>
            <w:tcBorders>
              <w:top w:val="single" w:color="000000" w:sz="4" w:space="0"/>
              <w:left w:val="single" w:color="000000" w:sz="4" w:space="0"/>
              <w:bottom w:val="single" w:color="000000" w:sz="4" w:space="0"/>
              <w:right w:val="single" w:color="000000" w:sz="4" w:space="0"/>
            </w:tcBorders>
            <w:noWrap w:val="0"/>
            <w:vAlign w:val="center"/>
          </w:tcPr>
          <w:p w14:paraId="590F2C2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预算数:</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139B490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186.484782</w:t>
            </w:r>
            <w:r>
              <w:rPr>
                <w:rFonts w:hint="default" w:ascii="仿宋_GB2312" w:hAnsi="宋体" w:eastAsia="仿宋_GB2312" w:cs="仿宋_GB2312"/>
                <w:i w:val="0"/>
                <w:iCs w:val="0"/>
                <w:color w:val="000000"/>
                <w:kern w:val="0"/>
                <w:sz w:val="24"/>
                <w:szCs w:val="24"/>
                <w:u w:val="none"/>
                <w:lang w:val="en-US" w:eastAsia="zh-CN" w:bidi="ar"/>
              </w:rPr>
              <w:t>万元</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14:paraId="6659240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执行数:</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233BF6C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186.484782</w:t>
            </w:r>
            <w:r>
              <w:rPr>
                <w:rFonts w:hint="default" w:ascii="仿宋_GB2312" w:hAnsi="宋体" w:eastAsia="仿宋_GB2312" w:cs="仿宋_GB2312"/>
                <w:i w:val="0"/>
                <w:iCs w:val="0"/>
                <w:color w:val="000000"/>
                <w:kern w:val="0"/>
                <w:sz w:val="24"/>
                <w:szCs w:val="24"/>
                <w:u w:val="none"/>
                <w:lang w:val="en-US" w:eastAsia="zh-CN" w:bidi="ar"/>
              </w:rPr>
              <w:t>万元</w:t>
            </w:r>
          </w:p>
        </w:tc>
      </w:tr>
      <w:tr w14:paraId="4B7E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C08E1F">
            <w:pPr>
              <w:jc w:val="center"/>
              <w:rPr>
                <w:rFonts w:hint="default" w:ascii="仿宋_GB2312" w:hAnsi="宋体" w:eastAsia="仿宋_GB2312" w:cs="仿宋_GB2312"/>
                <w:i w:val="0"/>
                <w:iCs w:val="0"/>
                <w:color w:val="000000"/>
                <w:sz w:val="24"/>
                <w:szCs w:val="24"/>
                <w:u w:val="none"/>
              </w:rPr>
            </w:pPr>
          </w:p>
        </w:tc>
        <w:tc>
          <w:tcPr>
            <w:tcW w:w="1571" w:type="pct"/>
            <w:gridSpan w:val="2"/>
            <w:tcBorders>
              <w:top w:val="single" w:color="000000" w:sz="4" w:space="0"/>
              <w:left w:val="single" w:color="000000" w:sz="4" w:space="0"/>
              <w:bottom w:val="single" w:color="000000" w:sz="4" w:space="0"/>
              <w:right w:val="single" w:color="000000" w:sz="4" w:space="0"/>
            </w:tcBorders>
            <w:noWrap w:val="0"/>
            <w:vAlign w:val="center"/>
          </w:tcPr>
          <w:p w14:paraId="7AEA607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其中-财政拨款:</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1611E4D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186.484782</w:t>
            </w:r>
            <w:r>
              <w:rPr>
                <w:rFonts w:hint="default" w:ascii="仿宋_GB2312" w:hAnsi="宋体" w:eastAsia="仿宋_GB2312" w:cs="仿宋_GB2312"/>
                <w:i w:val="0"/>
                <w:iCs w:val="0"/>
                <w:color w:val="000000"/>
                <w:kern w:val="0"/>
                <w:sz w:val="24"/>
                <w:szCs w:val="24"/>
                <w:u w:val="none"/>
                <w:lang w:val="en-US" w:eastAsia="zh-CN" w:bidi="ar"/>
              </w:rPr>
              <w:t>万元</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14:paraId="2BCBFCE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其中-财政拨款:</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3D2F41A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186.484782</w:t>
            </w:r>
            <w:r>
              <w:rPr>
                <w:rFonts w:hint="default" w:ascii="仿宋_GB2312" w:hAnsi="宋体" w:eastAsia="仿宋_GB2312" w:cs="仿宋_GB2312"/>
                <w:i w:val="0"/>
                <w:iCs w:val="0"/>
                <w:color w:val="000000"/>
                <w:kern w:val="0"/>
                <w:sz w:val="24"/>
                <w:szCs w:val="24"/>
                <w:u w:val="none"/>
                <w:lang w:val="en-US" w:eastAsia="zh-CN" w:bidi="ar"/>
              </w:rPr>
              <w:t>万元</w:t>
            </w:r>
          </w:p>
        </w:tc>
      </w:tr>
      <w:tr w14:paraId="752C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BC9343">
            <w:pPr>
              <w:jc w:val="center"/>
              <w:rPr>
                <w:rFonts w:hint="default" w:ascii="仿宋_GB2312" w:hAnsi="宋体" w:eastAsia="仿宋_GB2312" w:cs="仿宋_GB2312"/>
                <w:i w:val="0"/>
                <w:iCs w:val="0"/>
                <w:color w:val="000000"/>
                <w:sz w:val="24"/>
                <w:szCs w:val="24"/>
                <w:u w:val="none"/>
              </w:rPr>
            </w:pPr>
          </w:p>
        </w:tc>
        <w:tc>
          <w:tcPr>
            <w:tcW w:w="1571" w:type="pct"/>
            <w:gridSpan w:val="2"/>
            <w:tcBorders>
              <w:top w:val="single" w:color="000000" w:sz="4" w:space="0"/>
              <w:left w:val="single" w:color="000000" w:sz="4" w:space="0"/>
              <w:bottom w:val="single" w:color="000000" w:sz="4" w:space="0"/>
              <w:right w:val="single" w:color="000000" w:sz="4" w:space="0"/>
            </w:tcBorders>
            <w:noWrap w:val="0"/>
            <w:vAlign w:val="center"/>
          </w:tcPr>
          <w:p w14:paraId="6262D5F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其它资金:</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2B2ABFC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0</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14:paraId="5D28ADB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其它资金:</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61B0AB9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0</w:t>
            </w:r>
          </w:p>
        </w:tc>
      </w:tr>
      <w:tr w14:paraId="2D51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2" w:type="pct"/>
            <w:vMerge w:val="restart"/>
            <w:tcBorders>
              <w:top w:val="single" w:color="000000" w:sz="4" w:space="0"/>
              <w:left w:val="single" w:color="000000" w:sz="4" w:space="0"/>
              <w:bottom w:val="single" w:color="000000" w:sz="4" w:space="0"/>
              <w:right w:val="single" w:color="000000" w:sz="4" w:space="0"/>
            </w:tcBorders>
            <w:noWrap w:val="0"/>
            <w:vAlign w:val="center"/>
          </w:tcPr>
          <w:p w14:paraId="01469E7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年度目标完成情况</w:t>
            </w:r>
          </w:p>
        </w:tc>
        <w:tc>
          <w:tcPr>
            <w:tcW w:w="2482" w:type="pct"/>
            <w:gridSpan w:val="3"/>
            <w:tcBorders>
              <w:top w:val="single" w:color="000000" w:sz="4" w:space="0"/>
              <w:left w:val="single" w:color="000000" w:sz="4" w:space="0"/>
              <w:bottom w:val="single" w:color="000000" w:sz="4" w:space="0"/>
              <w:right w:val="single" w:color="000000" w:sz="4" w:space="0"/>
            </w:tcBorders>
            <w:noWrap w:val="0"/>
            <w:vAlign w:val="center"/>
          </w:tcPr>
          <w:p w14:paraId="515F586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预期目标</w:t>
            </w:r>
          </w:p>
        </w:tc>
        <w:tc>
          <w:tcPr>
            <w:tcW w:w="1724" w:type="pct"/>
            <w:gridSpan w:val="2"/>
            <w:tcBorders>
              <w:top w:val="single" w:color="000000" w:sz="4" w:space="0"/>
              <w:left w:val="single" w:color="000000" w:sz="4" w:space="0"/>
              <w:bottom w:val="single" w:color="000000" w:sz="4" w:space="0"/>
              <w:right w:val="single" w:color="000000" w:sz="4" w:space="0"/>
            </w:tcBorders>
            <w:noWrap w:val="0"/>
            <w:vAlign w:val="center"/>
          </w:tcPr>
          <w:p w14:paraId="1DEF3FB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实际完成目标</w:t>
            </w:r>
          </w:p>
        </w:tc>
      </w:tr>
      <w:tr w14:paraId="0771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0F27ED">
            <w:pPr>
              <w:jc w:val="center"/>
              <w:rPr>
                <w:rFonts w:hint="default" w:ascii="仿宋_GB2312" w:hAnsi="宋体" w:eastAsia="仿宋_GB2312" w:cs="仿宋_GB2312"/>
                <w:i w:val="0"/>
                <w:iCs w:val="0"/>
                <w:color w:val="000000"/>
                <w:sz w:val="24"/>
                <w:szCs w:val="24"/>
                <w:u w:val="none"/>
              </w:rPr>
            </w:pPr>
          </w:p>
        </w:tc>
        <w:tc>
          <w:tcPr>
            <w:tcW w:w="2482" w:type="pct"/>
            <w:gridSpan w:val="3"/>
            <w:tcBorders>
              <w:top w:val="single" w:color="000000" w:sz="4" w:space="0"/>
              <w:left w:val="single" w:color="000000" w:sz="4" w:space="0"/>
              <w:bottom w:val="single" w:color="000000" w:sz="4" w:space="0"/>
              <w:right w:val="single" w:color="000000" w:sz="4" w:space="0"/>
            </w:tcBorders>
            <w:noWrap w:val="0"/>
            <w:vAlign w:val="center"/>
          </w:tcPr>
          <w:p w14:paraId="0C3C3649">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完成城乡居民可支配收入调查、畜禽监测、等五大调查活动及综合、工业与投资等专项统计工作</w:t>
            </w:r>
          </w:p>
        </w:tc>
        <w:tc>
          <w:tcPr>
            <w:tcW w:w="1724" w:type="pct"/>
            <w:gridSpan w:val="2"/>
            <w:tcBorders>
              <w:top w:val="single" w:color="000000" w:sz="4" w:space="0"/>
              <w:left w:val="single" w:color="000000" w:sz="4" w:space="0"/>
              <w:bottom w:val="single" w:color="000000" w:sz="4" w:space="0"/>
              <w:right w:val="single" w:color="000000" w:sz="4" w:space="0"/>
            </w:tcBorders>
            <w:noWrap w:val="0"/>
            <w:vAlign w:val="center"/>
          </w:tcPr>
          <w:p w14:paraId="476AAA69">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完成城乡居民可支配收入调查、畜禽监测、等五大调查活动及综合、工业与投资等专项统计工作</w:t>
            </w:r>
          </w:p>
        </w:tc>
      </w:tr>
      <w:tr w14:paraId="2184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92" w:type="pct"/>
            <w:vMerge w:val="restart"/>
            <w:tcBorders>
              <w:top w:val="single" w:color="000000" w:sz="4" w:space="0"/>
              <w:left w:val="single" w:color="000000" w:sz="4" w:space="0"/>
              <w:bottom w:val="single" w:color="000000" w:sz="4" w:space="0"/>
              <w:right w:val="single" w:color="000000" w:sz="4" w:space="0"/>
            </w:tcBorders>
            <w:noWrap w:val="0"/>
            <w:vAlign w:val="center"/>
          </w:tcPr>
          <w:p w14:paraId="62BED95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绩效指标完成情况</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B6E716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一级指标</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99C06F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二级指标</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33DF171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三级指标</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14:paraId="179CE6C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预期指标值(包含数字及文字描述)</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615BD95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6"/>
                <w:rFonts w:hAnsi="宋体"/>
                <w:sz w:val="24"/>
                <w:szCs w:val="24"/>
                <w:lang w:val="en-US" w:eastAsia="zh-CN" w:bidi="ar"/>
              </w:rPr>
              <w:t>实际完成指标值(包含数字及文字描述)</w:t>
            </w:r>
          </w:p>
        </w:tc>
      </w:tr>
      <w:tr w14:paraId="4674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7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FDD313">
            <w:pPr>
              <w:jc w:val="center"/>
              <w:rPr>
                <w:rFonts w:hint="default" w:ascii="仿宋_GB2312" w:hAnsi="宋体" w:eastAsia="仿宋_GB2312" w:cs="仿宋_GB2312"/>
                <w:i w:val="0"/>
                <w:iCs w:val="0"/>
                <w:color w:val="000000"/>
                <w:sz w:val="24"/>
                <w:szCs w:val="24"/>
                <w:u w:val="none"/>
              </w:rPr>
            </w:pP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5BB4050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产出指标</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F319F8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数量指标</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5B4B2B2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140个住户监测点、70余个生猪、粮食监测点、140余户四上企业</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14:paraId="7257945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≥350户（套）</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0C84C17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≥350户（套）</w:t>
            </w:r>
          </w:p>
        </w:tc>
      </w:tr>
      <w:tr w14:paraId="682E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16A494">
            <w:pPr>
              <w:jc w:val="center"/>
              <w:rPr>
                <w:rFonts w:hint="default" w:ascii="仿宋_GB2312" w:hAnsi="宋体" w:eastAsia="仿宋_GB2312" w:cs="仿宋_GB2312"/>
                <w:i w:val="0"/>
                <w:iCs w:val="0"/>
                <w:color w:val="000000"/>
                <w:sz w:val="24"/>
                <w:szCs w:val="24"/>
                <w:u w:val="none"/>
              </w:rPr>
            </w:pP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507D62E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效益指标</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59722C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经济效益指标</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1322470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对我区经济促进作用</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14:paraId="51901B0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定性</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6293F51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定性</w:t>
            </w:r>
          </w:p>
        </w:tc>
      </w:tr>
      <w:tr w14:paraId="5373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CA037B">
            <w:pPr>
              <w:jc w:val="center"/>
              <w:rPr>
                <w:rFonts w:hint="default" w:ascii="仿宋_GB2312" w:hAnsi="宋体" w:eastAsia="仿宋_GB2312" w:cs="仿宋_GB2312"/>
                <w:i w:val="0"/>
                <w:iCs w:val="0"/>
                <w:color w:val="000000"/>
                <w:sz w:val="24"/>
                <w:szCs w:val="24"/>
                <w:u w:val="none"/>
              </w:rPr>
            </w:pP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6CD367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满意度指标</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898230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服务对象满意度指标</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1B205A6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调查对象满意度</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14:paraId="79B4D75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≥90人/户</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0721B6C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≥90人/户</w:t>
            </w:r>
          </w:p>
        </w:tc>
      </w:tr>
    </w:tbl>
    <w:p w14:paraId="71A3D39C">
      <w:pPr>
        <w:snapToGrid w:val="0"/>
        <w:spacing w:line="600" w:lineRule="exact"/>
        <w:rPr>
          <w:rFonts w:hint="default" w:ascii="Times New Roman" w:hAnsi="Times New Roman" w:eastAsia="黑体" w:cs="Times New Roman"/>
          <w:b w:val="0"/>
          <w:bCs w:val="0"/>
          <w:sz w:val="32"/>
          <w:szCs w:val="21"/>
        </w:rPr>
      </w:pPr>
    </w:p>
    <w:p w14:paraId="5CD2CB41">
      <w:pPr>
        <w:snapToGrid w:val="0"/>
        <w:spacing w:line="600" w:lineRule="exact"/>
        <w:ind w:firstLine="640" w:firstLineChars="200"/>
        <w:rPr>
          <w:rFonts w:hint="default" w:ascii="Times New Roman" w:hAnsi="Times New Roman" w:eastAsia="黑体" w:cs="Times New Roman"/>
          <w:b w:val="0"/>
          <w:bCs w:val="0"/>
          <w:sz w:val="32"/>
          <w:szCs w:val="21"/>
        </w:rPr>
      </w:pPr>
      <w:r>
        <w:rPr>
          <w:rFonts w:hint="default" w:ascii="Times New Roman" w:hAnsi="Times New Roman" w:eastAsia="黑体" w:cs="Times New Roman"/>
          <w:b w:val="0"/>
          <w:bCs w:val="0"/>
          <w:sz w:val="32"/>
          <w:szCs w:val="21"/>
        </w:rPr>
        <w:t>四、绩效评价分析</w:t>
      </w:r>
    </w:p>
    <w:p w14:paraId="468D7BA7">
      <w:pPr>
        <w:snapToGrid w:val="0"/>
        <w:spacing w:line="600" w:lineRule="exact"/>
        <w:ind w:firstLine="640" w:firstLineChars="200"/>
        <w:rPr>
          <w:rFonts w:hint="default" w:ascii="Times New Roman" w:hAnsi="Times New Roman" w:eastAsia="楷体_GB2312" w:cs="Times New Roman"/>
          <w:b w:val="0"/>
          <w:bCs w:val="0"/>
          <w:sz w:val="32"/>
          <w:szCs w:val="21"/>
          <w:lang w:eastAsia="zh-CN"/>
        </w:rPr>
      </w:pPr>
      <w:r>
        <w:rPr>
          <w:rFonts w:hint="default" w:ascii="Times New Roman" w:hAnsi="Times New Roman" w:eastAsia="楷体_GB2312" w:cs="Times New Roman"/>
          <w:b w:val="0"/>
          <w:bCs w:val="0"/>
          <w:sz w:val="32"/>
          <w:szCs w:val="21"/>
          <w:lang w:eastAsia="zh-CN"/>
        </w:rPr>
        <w:t>（一）项目决策情况</w:t>
      </w:r>
    </w:p>
    <w:p w14:paraId="04200263">
      <w:pPr>
        <w:widowControl w:val="0"/>
        <w:numPr>
          <w:ilvl w:val="0"/>
          <w:numId w:val="0"/>
        </w:numPr>
        <w:ind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仿宋_GB2312" w:hAnsi="仿宋_GB2312" w:eastAsia="仿宋_GB2312" w:cs="仿宋_GB2312"/>
          <w:kern w:val="2"/>
          <w:sz w:val="32"/>
          <w:szCs w:val="21"/>
          <w:lang w:val="en-US" w:eastAsia="zh-CN" w:bidi="ar-SA"/>
        </w:rPr>
        <w:t>专项统计、统计抽样调查活动项目程序严密，规划合理，根据项目情况开展了事前评估，且资金管理办法健全完善，项目实际需求与业务工作开展情况相结合，进行了细致的规划，将项目资金细化到每一个环节。</w:t>
      </w:r>
    </w:p>
    <w:p w14:paraId="218FC6BE">
      <w:pPr>
        <w:snapToGrid w:val="0"/>
        <w:spacing w:line="600" w:lineRule="exact"/>
        <w:ind w:firstLine="640" w:firstLineChars="200"/>
        <w:rPr>
          <w:rFonts w:hint="eastAsia" w:ascii="方正楷体简体" w:hAnsi="方正楷体简体" w:eastAsia="方正楷体简体" w:cs="方正楷体简体"/>
          <w:sz w:val="32"/>
          <w:szCs w:val="21"/>
          <w:lang w:eastAsia="zh-CN"/>
        </w:rPr>
      </w:pPr>
      <w:r>
        <w:rPr>
          <w:rFonts w:hint="eastAsia" w:ascii="Times New Roman" w:hAnsi="Times New Roman" w:eastAsia="楷体_GB2312" w:cs="Times New Roman"/>
          <w:b w:val="0"/>
          <w:bCs w:val="0"/>
          <w:sz w:val="32"/>
          <w:szCs w:val="21"/>
          <w:lang w:eastAsia="zh-CN"/>
        </w:rPr>
        <w:t>（二）项目管理情况</w:t>
      </w:r>
    </w:p>
    <w:p w14:paraId="4495E110">
      <w:pPr>
        <w:numPr>
          <w:ilvl w:val="0"/>
          <w:numId w:val="0"/>
        </w:numPr>
        <w:snapToGrid w:val="0"/>
        <w:spacing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项目目标设定依据充分、合理；项目建设符合</w:t>
      </w:r>
      <w:r>
        <w:rPr>
          <w:rFonts w:hint="eastAsia" w:ascii="仿宋_GB2312" w:hAnsi="仿宋_GB2312" w:eastAsia="仿宋_GB2312" w:cs="仿宋_GB2312"/>
          <w:sz w:val="32"/>
          <w:szCs w:val="21"/>
          <w:lang w:eastAsia="zh-CN"/>
        </w:rPr>
        <w:t>区</w:t>
      </w:r>
      <w:r>
        <w:rPr>
          <w:rFonts w:hint="eastAsia" w:ascii="仿宋_GB2312" w:hAnsi="仿宋_GB2312" w:eastAsia="仿宋_GB2312" w:cs="仿宋_GB2312"/>
          <w:sz w:val="32"/>
          <w:szCs w:val="21"/>
        </w:rPr>
        <w:t>委、</w:t>
      </w:r>
      <w:r>
        <w:rPr>
          <w:rFonts w:hint="eastAsia" w:ascii="仿宋_GB2312" w:hAnsi="仿宋_GB2312" w:eastAsia="仿宋_GB2312" w:cs="仿宋_GB2312"/>
          <w:sz w:val="32"/>
          <w:szCs w:val="21"/>
          <w:lang w:eastAsia="zh-CN"/>
        </w:rPr>
        <w:t>区</w:t>
      </w:r>
      <w:r>
        <w:rPr>
          <w:rFonts w:hint="eastAsia" w:ascii="仿宋_GB2312" w:hAnsi="仿宋_GB2312" w:eastAsia="仿宋_GB2312" w:cs="仿宋_GB2312"/>
          <w:sz w:val="32"/>
          <w:szCs w:val="21"/>
        </w:rPr>
        <w:t>政府及上级部门相关规定；实现项目与过程管理有机结合。</w:t>
      </w:r>
    </w:p>
    <w:p w14:paraId="0B798171">
      <w:pPr>
        <w:snapToGrid w:val="0"/>
        <w:spacing w:line="600" w:lineRule="exact"/>
        <w:ind w:firstLine="640" w:firstLineChars="200"/>
        <w:rPr>
          <w:rFonts w:hint="default" w:ascii="Times New Roman" w:hAnsi="Times New Roman" w:eastAsia="楷体_GB2312" w:cs="Times New Roman"/>
          <w:b w:val="0"/>
          <w:bCs w:val="0"/>
          <w:sz w:val="32"/>
          <w:szCs w:val="21"/>
        </w:rPr>
      </w:pPr>
      <w:r>
        <w:rPr>
          <w:rFonts w:hint="default" w:ascii="Times New Roman" w:hAnsi="Times New Roman" w:eastAsia="楷体_GB2312" w:cs="Times New Roman"/>
          <w:b w:val="0"/>
          <w:bCs w:val="0"/>
          <w:sz w:val="32"/>
          <w:szCs w:val="21"/>
        </w:rPr>
        <w:t>（三）项目产出情况</w:t>
      </w:r>
    </w:p>
    <w:p w14:paraId="62F8B377">
      <w:pPr>
        <w:numPr>
          <w:ilvl w:val="0"/>
          <w:numId w:val="0"/>
        </w:numPr>
        <w:snapToGrid w:val="0"/>
        <w:spacing w:line="600" w:lineRule="exact"/>
        <w:ind w:firstLine="640" w:firstLineChars="200"/>
        <w:rPr>
          <w:rFonts w:hint="default" w:ascii="仿宋_GB2312" w:hAnsi="仿宋_GB2312" w:eastAsia="仿宋_GB2312" w:cs="仿宋_GB2312"/>
          <w:sz w:val="32"/>
          <w:szCs w:val="21"/>
        </w:rPr>
      </w:pPr>
      <w:r>
        <w:rPr>
          <w:rFonts w:hint="default" w:ascii="仿宋_GB2312" w:hAnsi="仿宋_GB2312" w:eastAsia="仿宋_GB2312" w:cs="仿宋_GB2312"/>
          <w:sz w:val="32"/>
          <w:szCs w:val="21"/>
        </w:rPr>
        <w:t>专项统计、统计抽样调查活动项目分配合理，使用基本合规，执行有效，项目资金均根据年初计划进行分配，使用过程严格按照财经法规和财务管理制度有关规定进行申请、划拨、支付，不存在截留、挤占、挪用情况。</w:t>
      </w:r>
    </w:p>
    <w:p w14:paraId="63C95B48">
      <w:pPr>
        <w:numPr>
          <w:ilvl w:val="0"/>
          <w:numId w:val="0"/>
        </w:numPr>
        <w:snapToGrid w:val="0"/>
        <w:spacing w:line="600" w:lineRule="exact"/>
        <w:ind w:firstLine="640" w:firstLineChars="200"/>
        <w:rPr>
          <w:rFonts w:hint="default" w:ascii="Times New Roman" w:hAnsi="Times New Roman" w:eastAsia="楷体_GB2312" w:cs="Times New Roman"/>
          <w:b w:val="0"/>
          <w:bCs w:val="0"/>
          <w:sz w:val="32"/>
          <w:szCs w:val="21"/>
        </w:rPr>
      </w:pPr>
      <w:r>
        <w:rPr>
          <w:rFonts w:hint="default" w:ascii="Times New Roman" w:hAnsi="Times New Roman" w:eastAsia="楷体_GB2312" w:cs="Times New Roman"/>
          <w:b w:val="0"/>
          <w:bCs w:val="0"/>
          <w:sz w:val="32"/>
          <w:szCs w:val="21"/>
        </w:rPr>
        <w:t>（四）项目效益情况。</w:t>
      </w:r>
    </w:p>
    <w:p w14:paraId="675B5803">
      <w:pPr>
        <w:widowControl w:val="0"/>
        <w:numPr>
          <w:ilvl w:val="0"/>
          <w:numId w:val="0"/>
        </w:numPr>
        <w:ind w:firstLine="640" w:firstLineChars="200"/>
        <w:jc w:val="both"/>
        <w:rPr>
          <w:rFonts w:hint="default" w:ascii="仿宋_GB2312" w:hAnsi="仿宋_GB2312" w:eastAsia="仿宋_GB2312" w:cs="仿宋_GB2312"/>
          <w:kern w:val="2"/>
          <w:sz w:val="32"/>
          <w:szCs w:val="21"/>
          <w:lang w:val="en-US" w:eastAsia="zh-CN" w:bidi="ar-SA"/>
        </w:rPr>
      </w:pPr>
      <w:r>
        <w:rPr>
          <w:rFonts w:hint="default" w:ascii="仿宋_GB2312" w:hAnsi="仿宋_GB2312" w:eastAsia="仿宋_GB2312" w:cs="仿宋_GB2312"/>
          <w:kern w:val="2"/>
          <w:sz w:val="32"/>
          <w:szCs w:val="21"/>
          <w:lang w:val="en-US" w:eastAsia="zh-CN" w:bidi="ar-SA"/>
        </w:rPr>
        <w:t>专项统计、统计抽样调查活动项目完成年初预期目标，所有专业统计业务工作均圆满完成，根据财政检查不存在违规，项目管理合规。</w:t>
      </w:r>
    </w:p>
    <w:p w14:paraId="5BDB95EB">
      <w:pPr>
        <w:widowControl w:val="0"/>
        <w:numPr>
          <w:ilvl w:val="0"/>
          <w:numId w:val="0"/>
        </w:numPr>
        <w:ind w:firstLine="640" w:firstLineChars="200"/>
        <w:jc w:val="both"/>
        <w:rPr>
          <w:rFonts w:hint="default" w:ascii="Times New Roman" w:hAnsi="Times New Roman" w:eastAsia="黑体" w:cs="Times New Roman"/>
          <w:b w:val="0"/>
          <w:bCs w:val="0"/>
          <w:kern w:val="2"/>
          <w:sz w:val="32"/>
          <w:szCs w:val="21"/>
          <w:lang w:val="en-US" w:eastAsia="zh-CN" w:bidi="ar-SA"/>
        </w:rPr>
      </w:pPr>
      <w:r>
        <w:rPr>
          <w:rFonts w:hint="default" w:ascii="Times New Roman" w:hAnsi="Times New Roman" w:eastAsia="黑体" w:cs="Times New Roman"/>
          <w:b w:val="0"/>
          <w:bCs w:val="0"/>
          <w:kern w:val="2"/>
          <w:sz w:val="32"/>
          <w:szCs w:val="21"/>
          <w:lang w:val="en-US" w:eastAsia="zh-CN" w:bidi="ar-SA"/>
        </w:rPr>
        <w:t>五、存在主要问题</w:t>
      </w:r>
    </w:p>
    <w:p w14:paraId="1F34DD03">
      <w:pPr>
        <w:widowControl w:val="0"/>
        <w:numPr>
          <w:ilvl w:val="0"/>
          <w:numId w:val="0"/>
        </w:numPr>
        <w:ind w:firstLine="640" w:firstLineChars="200"/>
        <w:jc w:val="both"/>
        <w:rPr>
          <w:rFonts w:hint="default" w:ascii="Times New Roman" w:hAnsi="Times New Roman" w:eastAsia="黑体" w:cs="Times New Roman"/>
          <w:b w:val="0"/>
          <w:bCs w:val="0"/>
          <w:kern w:val="2"/>
          <w:sz w:val="32"/>
          <w:szCs w:val="21"/>
          <w:lang w:val="en-US" w:eastAsia="zh-CN" w:bidi="ar-SA"/>
        </w:rPr>
      </w:pPr>
      <w:r>
        <w:rPr>
          <w:rFonts w:hint="default" w:ascii="仿宋_GB2312" w:hAnsi="仿宋_GB2312" w:eastAsia="仿宋_GB2312" w:cs="仿宋_GB2312"/>
          <w:kern w:val="2"/>
          <w:sz w:val="32"/>
          <w:szCs w:val="21"/>
          <w:lang w:val="en-US" w:eastAsia="zh-CN" w:bidi="ar-SA"/>
        </w:rPr>
        <w:t>项目存在资金申报及支付不及时的问题，主要是年底资金申报环节衔接不到位，导致部分费用结转至下一年支付。建议在下年度对项目做更精准</w:t>
      </w:r>
      <w:r>
        <w:rPr>
          <w:rFonts w:hint="eastAsia" w:ascii="仿宋_GB2312" w:hAnsi="仿宋_GB2312" w:eastAsia="仿宋_GB2312" w:cs="仿宋_GB2312"/>
          <w:kern w:val="2"/>
          <w:sz w:val="32"/>
          <w:szCs w:val="21"/>
          <w:lang w:val="en-US" w:eastAsia="zh-CN" w:bidi="ar-SA"/>
        </w:rPr>
        <w:t>地</w:t>
      </w:r>
      <w:r>
        <w:rPr>
          <w:rFonts w:hint="default" w:ascii="仿宋_GB2312" w:hAnsi="仿宋_GB2312" w:eastAsia="仿宋_GB2312" w:cs="仿宋_GB2312"/>
          <w:kern w:val="2"/>
          <w:sz w:val="32"/>
          <w:szCs w:val="21"/>
          <w:lang w:val="en-US" w:eastAsia="zh-CN" w:bidi="ar-SA"/>
        </w:rPr>
        <w:t>预算，及时申报费用，确保支付进度紧跟工作开展进度。</w:t>
      </w:r>
    </w:p>
    <w:p w14:paraId="2052211F">
      <w:pPr>
        <w:snapToGrid w:val="0"/>
        <w:spacing w:line="600" w:lineRule="exact"/>
        <w:ind w:firstLine="640" w:firstLineChars="200"/>
        <w:rPr>
          <w:rFonts w:hint="default" w:ascii="Times New Roman" w:hAnsi="Times New Roman" w:eastAsia="黑体" w:cs="Times New Roman"/>
          <w:b w:val="0"/>
          <w:bCs w:val="0"/>
          <w:sz w:val="32"/>
          <w:szCs w:val="21"/>
        </w:rPr>
      </w:pPr>
      <w:r>
        <w:rPr>
          <w:rFonts w:hint="default" w:ascii="Times New Roman" w:hAnsi="Times New Roman" w:eastAsia="黑体" w:cs="Times New Roman"/>
          <w:b w:val="0"/>
          <w:bCs w:val="0"/>
          <w:sz w:val="32"/>
          <w:szCs w:val="21"/>
        </w:rPr>
        <w:t>六、相关措施建议</w:t>
      </w:r>
    </w:p>
    <w:p w14:paraId="4E2CA470">
      <w:pPr>
        <w:spacing w:line="600" w:lineRule="exact"/>
        <w:jc w:val="center"/>
        <w:outlineLvl w:val="9"/>
        <w:rPr>
          <w:rFonts w:hint="eastAsia" w:ascii="黑体" w:hAnsi="黑体" w:eastAsia="黑体"/>
          <w:color w:val="auto"/>
          <w:sz w:val="44"/>
          <w:szCs w:val="44"/>
          <w:highlight w:val="none"/>
        </w:rPr>
      </w:pPr>
      <w:r>
        <w:rPr>
          <w:rFonts w:hint="eastAsia" w:ascii="仿宋_GB2312" w:hAnsi="仿宋_GB2312" w:eastAsia="仿宋_GB2312" w:cs="仿宋_GB2312"/>
          <w:sz w:val="32"/>
          <w:szCs w:val="21"/>
          <w:lang w:val="en-US" w:eastAsia="zh-CN"/>
        </w:rPr>
        <w:t xml:space="preserve">  </w:t>
      </w:r>
      <w:r>
        <w:rPr>
          <w:rFonts w:hint="eastAsia" w:ascii="仿宋_GB2312" w:hAnsi="仿宋_GB2312" w:eastAsia="仿宋_GB2312" w:cs="仿宋_GB2312"/>
          <w:sz w:val="32"/>
          <w:szCs w:val="21"/>
        </w:rPr>
        <w:t>加强业务培训，提高评价水平。绩效评价工作是一项长期性的工作，专业性强，工作量大，建议财政部门进一步加强开展部门领导及经办人员相关的政策、业务工作培训和指导，优化相关指标，切实推进绩效评价工作的开展</w:t>
      </w:r>
      <w:r>
        <w:rPr>
          <w:rFonts w:hint="eastAsia" w:ascii="仿宋_GB2312" w:hAnsi="仿宋_GB2312" w:eastAsia="仿宋_GB2312" w:cs="仿宋_GB2312"/>
          <w:sz w:val="32"/>
          <w:szCs w:val="21"/>
          <w:lang w:eastAsia="zh-CN"/>
        </w:rPr>
        <w:t>。</w:t>
      </w:r>
    </w:p>
    <w:p w14:paraId="06771153">
      <w:pPr>
        <w:pStyle w:val="2"/>
        <w:widowControl w:val="0"/>
        <w:numPr>
          <w:ilvl w:val="0"/>
          <w:numId w:val="0"/>
        </w:numPr>
        <w:jc w:val="both"/>
        <w:rPr>
          <w:rFonts w:hint="eastAsia"/>
        </w:rPr>
        <w:sectPr>
          <w:pgSz w:w="11906" w:h="16838"/>
          <w:pgMar w:top="1440" w:right="1800" w:bottom="1440" w:left="1800" w:header="851" w:footer="992" w:gutter="0"/>
          <w:pgNumType w:fmt="decimal"/>
          <w:cols w:space="425" w:num="1"/>
          <w:titlePg/>
          <w:docGrid w:type="lines" w:linePitch="312" w:charSpace="0"/>
        </w:sectPr>
      </w:pPr>
    </w:p>
    <w:p w14:paraId="3D95E466">
      <w:pPr>
        <w:spacing w:line="600" w:lineRule="exact"/>
        <w:jc w:val="center"/>
        <w:outlineLvl w:val="0"/>
        <w:rPr>
          <w:rFonts w:hint="eastAsia" w:ascii="仿宋" w:hAnsi="仿宋" w:eastAsia="仿宋"/>
          <w:b w:val="0"/>
          <w:color w:val="auto"/>
          <w:highlight w:val="none"/>
        </w:rPr>
      </w:pPr>
      <w:bookmarkStart w:id="70" w:name="_Toc16444"/>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五部分附表</w:t>
      </w:r>
      <w:bookmarkEnd w:id="66"/>
      <w:bookmarkEnd w:id="69"/>
      <w:bookmarkEnd w:id="70"/>
      <w:bookmarkStart w:id="71" w:name="_Toc15396619"/>
    </w:p>
    <w:p w14:paraId="05457AE0">
      <w:pPr>
        <w:pStyle w:val="4"/>
        <w:rPr>
          <w:rFonts w:ascii="仿宋" w:hAnsi="仿宋" w:eastAsia="仿宋"/>
          <w:color w:val="auto"/>
          <w:highlight w:val="none"/>
        </w:rPr>
      </w:pPr>
      <w:bookmarkStart w:id="72" w:name="_Toc19891"/>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71"/>
      <w:bookmarkEnd w:id="72"/>
    </w:p>
    <w:p w14:paraId="17CED9A5">
      <w:pPr>
        <w:pStyle w:val="4"/>
        <w:rPr>
          <w:rFonts w:ascii="仿宋" w:hAnsi="仿宋" w:eastAsia="仿宋"/>
          <w:color w:val="auto"/>
          <w:highlight w:val="none"/>
        </w:rPr>
      </w:pPr>
      <w:bookmarkStart w:id="73" w:name="_Toc28189"/>
      <w:bookmarkStart w:id="74"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73"/>
      <w:bookmarkEnd w:id="74"/>
    </w:p>
    <w:p w14:paraId="440DB05A">
      <w:pPr>
        <w:pStyle w:val="4"/>
        <w:rPr>
          <w:rFonts w:ascii="仿宋" w:hAnsi="仿宋" w:eastAsia="仿宋"/>
          <w:color w:val="auto"/>
          <w:highlight w:val="none"/>
        </w:rPr>
      </w:pPr>
      <w:bookmarkStart w:id="75" w:name="_Toc3873"/>
      <w:bookmarkStart w:id="76"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75"/>
      <w:bookmarkEnd w:id="76"/>
    </w:p>
    <w:p w14:paraId="61460BF1">
      <w:pPr>
        <w:pStyle w:val="4"/>
        <w:rPr>
          <w:rFonts w:ascii="仿宋" w:hAnsi="仿宋" w:eastAsia="仿宋"/>
          <w:b w:val="0"/>
          <w:color w:val="auto"/>
          <w:highlight w:val="none"/>
        </w:rPr>
      </w:pPr>
      <w:bookmarkStart w:id="77" w:name="_Toc15396622"/>
      <w:bookmarkStart w:id="78" w:name="_Toc20287"/>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77"/>
      <w:bookmarkEnd w:id="78"/>
    </w:p>
    <w:p w14:paraId="59AB57D0">
      <w:pPr>
        <w:pStyle w:val="4"/>
        <w:rPr>
          <w:rStyle w:val="29"/>
          <w:rFonts w:ascii="仿宋" w:hAnsi="仿宋" w:eastAsia="仿宋"/>
          <w:b w:val="0"/>
          <w:bCs w:val="0"/>
          <w:color w:val="auto"/>
          <w:highlight w:val="none"/>
        </w:rPr>
      </w:pPr>
      <w:bookmarkStart w:id="79" w:name="_Toc15396623"/>
      <w:bookmarkStart w:id="80" w:name="_Toc26517"/>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79"/>
      <w:bookmarkEnd w:id="80"/>
      <w:bookmarkStart w:id="81" w:name="_Toc15396624"/>
    </w:p>
    <w:p w14:paraId="0F2F55AD">
      <w:pPr>
        <w:pStyle w:val="4"/>
        <w:rPr>
          <w:rFonts w:ascii="仿宋" w:hAnsi="仿宋" w:eastAsia="仿宋"/>
          <w:color w:val="auto"/>
          <w:highlight w:val="none"/>
        </w:rPr>
      </w:pPr>
      <w:bookmarkStart w:id="82" w:name="_Toc3572"/>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81"/>
      <w:bookmarkEnd w:id="82"/>
    </w:p>
    <w:p w14:paraId="1FAF2A40">
      <w:pPr>
        <w:pStyle w:val="4"/>
        <w:rPr>
          <w:rFonts w:ascii="仿宋" w:hAnsi="仿宋" w:eastAsia="仿宋"/>
          <w:color w:val="auto"/>
          <w:highlight w:val="none"/>
        </w:rPr>
      </w:pPr>
      <w:bookmarkStart w:id="83" w:name="_Toc8292"/>
      <w:bookmarkStart w:id="84"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83"/>
      <w:bookmarkEnd w:id="84"/>
    </w:p>
    <w:p w14:paraId="35880FD1">
      <w:pPr>
        <w:pStyle w:val="4"/>
        <w:rPr>
          <w:rFonts w:ascii="仿宋" w:hAnsi="仿宋" w:eastAsia="仿宋"/>
          <w:color w:val="auto"/>
          <w:highlight w:val="none"/>
        </w:rPr>
      </w:pPr>
      <w:bookmarkStart w:id="85" w:name="_Toc15396626"/>
      <w:bookmarkStart w:id="86" w:name="_Toc7517"/>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85"/>
      <w:bookmarkEnd w:id="86"/>
    </w:p>
    <w:p w14:paraId="6E6044E2">
      <w:pPr>
        <w:pStyle w:val="4"/>
        <w:rPr>
          <w:rFonts w:ascii="仿宋" w:hAnsi="仿宋" w:eastAsia="仿宋"/>
          <w:color w:val="auto"/>
          <w:highlight w:val="none"/>
        </w:rPr>
      </w:pPr>
      <w:bookmarkStart w:id="87" w:name="_Toc15396627"/>
      <w:bookmarkStart w:id="88" w:name="_Toc314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87"/>
      <w:bookmarkEnd w:id="88"/>
    </w:p>
    <w:p w14:paraId="264A180D">
      <w:pPr>
        <w:pStyle w:val="4"/>
        <w:rPr>
          <w:rFonts w:ascii="仿宋" w:hAnsi="仿宋" w:eastAsia="仿宋"/>
          <w:color w:val="auto"/>
          <w:highlight w:val="none"/>
        </w:rPr>
      </w:pPr>
      <w:bookmarkStart w:id="89" w:name="_Toc15396628"/>
      <w:bookmarkStart w:id="90" w:name="_Toc21008"/>
      <w:r>
        <w:rPr>
          <w:rStyle w:val="29"/>
          <w:rFonts w:hint="eastAsia" w:ascii="仿宋" w:hAnsi="仿宋" w:eastAsia="仿宋"/>
          <w:b w:val="0"/>
          <w:bCs w:val="0"/>
          <w:color w:val="auto"/>
          <w:highlight w:val="none"/>
        </w:rPr>
        <w:t>十、</w:t>
      </w:r>
      <w:bookmarkEnd w:id="89"/>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90"/>
    </w:p>
    <w:p w14:paraId="4321722A">
      <w:pPr>
        <w:pStyle w:val="4"/>
        <w:rPr>
          <w:rFonts w:ascii="仿宋" w:hAnsi="仿宋" w:eastAsia="仿宋"/>
          <w:color w:val="auto"/>
          <w:highlight w:val="none"/>
        </w:rPr>
      </w:pPr>
      <w:bookmarkStart w:id="91" w:name="_Toc15396629"/>
      <w:bookmarkStart w:id="92" w:name="_Toc30813"/>
      <w:r>
        <w:rPr>
          <w:rStyle w:val="29"/>
          <w:rFonts w:hint="eastAsia" w:ascii="仿宋" w:hAnsi="仿宋" w:eastAsia="仿宋"/>
          <w:b w:val="0"/>
          <w:bCs w:val="0"/>
          <w:color w:val="auto"/>
          <w:highlight w:val="none"/>
        </w:rPr>
        <w:t>十一、</w:t>
      </w:r>
      <w:bookmarkEnd w:id="91"/>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92"/>
    </w:p>
    <w:p w14:paraId="6DC8F43A">
      <w:pPr>
        <w:pStyle w:val="4"/>
        <w:rPr>
          <w:rFonts w:ascii="仿宋" w:hAnsi="仿宋" w:eastAsia="仿宋"/>
          <w:color w:val="auto"/>
          <w:highlight w:val="none"/>
        </w:rPr>
      </w:pPr>
      <w:bookmarkStart w:id="93" w:name="_Toc15396630"/>
      <w:bookmarkStart w:id="94" w:name="_Toc20683"/>
      <w:r>
        <w:rPr>
          <w:rStyle w:val="29"/>
          <w:rFonts w:hint="eastAsia" w:ascii="仿宋" w:hAnsi="仿宋" w:eastAsia="仿宋"/>
          <w:b w:val="0"/>
          <w:bCs w:val="0"/>
          <w:color w:val="auto"/>
          <w:highlight w:val="none"/>
        </w:rPr>
        <w:t>十二、</w:t>
      </w:r>
      <w:bookmarkEnd w:id="93"/>
      <w:r>
        <w:rPr>
          <w:rStyle w:val="29"/>
          <w:rFonts w:hint="eastAsia" w:ascii="仿宋" w:hAnsi="仿宋" w:eastAsia="仿宋"/>
          <w:b w:val="0"/>
          <w:bCs w:val="0"/>
          <w:color w:val="auto"/>
          <w:highlight w:val="none"/>
          <w:lang w:eastAsia="zh-CN"/>
        </w:rPr>
        <w:t>国有资本经营预算财政拨款支出决算表</w:t>
      </w:r>
      <w:bookmarkEnd w:id="94"/>
    </w:p>
    <w:p w14:paraId="3F653241">
      <w:pPr>
        <w:pStyle w:val="4"/>
        <w:rPr>
          <w:rFonts w:hint="eastAsia" w:eastAsia="仿宋"/>
          <w:color w:val="auto"/>
          <w:highlight w:val="none"/>
          <w:lang w:eastAsia="zh-CN"/>
        </w:rPr>
      </w:pPr>
      <w:bookmarkStart w:id="95" w:name="_Toc15396631"/>
      <w:bookmarkStart w:id="96" w:name="_Toc13742"/>
      <w:r>
        <w:rPr>
          <w:rStyle w:val="29"/>
          <w:rFonts w:hint="eastAsia" w:ascii="仿宋" w:hAnsi="仿宋" w:eastAsia="仿宋"/>
          <w:b w:val="0"/>
          <w:bCs w:val="0"/>
          <w:color w:val="auto"/>
          <w:highlight w:val="none"/>
        </w:rPr>
        <w:t>十三、</w:t>
      </w:r>
      <w:bookmarkEnd w:id="95"/>
      <w:r>
        <w:rPr>
          <w:rStyle w:val="29"/>
          <w:rFonts w:hint="eastAsia" w:ascii="仿宋" w:hAnsi="仿宋" w:eastAsia="仿宋"/>
          <w:b w:val="0"/>
          <w:bCs w:val="0"/>
          <w:color w:val="auto"/>
          <w:highlight w:val="none"/>
          <w:lang w:eastAsia="zh-CN"/>
        </w:rPr>
        <w:t>财政拨款“三公”经费支出决算表</w:t>
      </w:r>
      <w:bookmarkEnd w:id="96"/>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AC1C9">
    <w:pPr>
      <w:pStyle w:val="10"/>
      <w:jc w:val="center"/>
    </w:pPr>
  </w:p>
  <w:p w14:paraId="79EAB26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B338">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50D0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B950D00">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52335EE2">
                              <w:pPr>
                                <w:pStyle w:val="10"/>
                                <w:jc w:val="center"/>
                              </w:pP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sdt>
                    <w:sdtPr>
                      <w:id w:val="-1994781956"/>
                    </w:sdtPr>
                    <w:sdtContent>
                      <w:p w14:paraId="52335EE2">
                        <w:pPr>
                          <w:pStyle w:val="10"/>
                          <w:jc w:val="center"/>
                        </w:pPr>
                      </w:p>
                    </w:sdtContent>
                  </w:sdt>
                </w:txbxContent>
              </v:textbox>
            </v:shape>
          </w:pict>
        </mc:Fallback>
      </mc:AlternateContent>
    </w:r>
  </w:p>
  <w:p w14:paraId="5CD30FE3">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DB1A9">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1B62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7F1B62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0523A">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70870">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FC70870">
                    <w:pPr>
                      <w:pStyle w:val="10"/>
                    </w:pPr>
                    <w:r>
                      <w:fldChar w:fldCharType="begin"/>
                    </w:r>
                    <w:r>
                      <w:instrText xml:space="preserve"> PAGE  \* MERGEFORMAT </w:instrText>
                    </w:r>
                    <w:r>
                      <w:fldChar w:fldCharType="separate"/>
                    </w:r>
                    <w:r>
                      <w:t>2</w:t>
                    </w:r>
                    <w:r>
                      <w:fldChar w:fldCharType="end"/>
                    </w:r>
                  </w:p>
                </w:txbxContent>
              </v:textbox>
            </v:shape>
          </w:pict>
        </mc:Fallback>
      </mc:AlternateContent>
    </w:r>
  </w:p>
  <w:p w14:paraId="4E010C14">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D1736">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CE4F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3CE4F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40E2">
    <w:pPr>
      <w:pStyle w:val="1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D1DA1">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29D1DA1">
                    <w:pPr>
                      <w:pStyle w:val="10"/>
                    </w:pPr>
                    <w:r>
                      <w:fldChar w:fldCharType="begin"/>
                    </w:r>
                    <w:r>
                      <w:instrText xml:space="preserve"> PAGE  \* MERGEFORMAT </w:instrText>
                    </w:r>
                    <w:r>
                      <w:fldChar w:fldCharType="separate"/>
                    </w:r>
                    <w:r>
                      <w:t>4</w:t>
                    </w:r>
                    <w:r>
                      <w:fldChar w:fldCharType="end"/>
                    </w:r>
                  </w:p>
                </w:txbxContent>
              </v:textbox>
            </v:shape>
          </w:pict>
        </mc:Fallback>
      </mc:AlternateContent>
    </w:r>
  </w:p>
  <w:p w14:paraId="08D9037D">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E8F53">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7A98B">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3C7A98B">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14EC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FF674BC"/>
    <w:multiLevelType w:val="singleLevel"/>
    <w:tmpl w:val="FFF674BC"/>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64A595"/>
    <w:multiLevelType w:val="singleLevel"/>
    <w:tmpl w:val="3064A595"/>
    <w:lvl w:ilvl="0" w:tentative="0">
      <w:start w:val="1"/>
      <w:numFmt w:val="chineseCounting"/>
      <w:suff w:val="nothing"/>
      <w:lvlText w:val="%1、"/>
      <w:lvlJc w:val="left"/>
      <w:rPr>
        <w:rFonts w:hint="eastAsia"/>
      </w:rPr>
    </w:lvl>
  </w:abstractNum>
  <w:abstractNum w:abstractNumId="5">
    <w:nsid w:val="4601891C"/>
    <w:multiLevelType w:val="singleLevel"/>
    <w:tmpl w:val="4601891C"/>
    <w:lvl w:ilvl="0" w:tentative="0">
      <w:start w:val="1"/>
      <w:numFmt w:val="decimal"/>
      <w:pStyle w:val="2"/>
      <w:lvlText w:val="%1."/>
      <w:lvlJc w:val="left"/>
      <w:pPr>
        <w:tabs>
          <w:tab w:val="left" w:pos="360"/>
        </w:tabs>
        <w:ind w:left="2460" w:hanging="360"/>
      </w:pPr>
    </w:lvl>
  </w:abstractNum>
  <w:abstractNum w:abstractNumId="6">
    <w:nsid w:val="7124FD99"/>
    <w:multiLevelType w:val="singleLevel"/>
    <w:tmpl w:val="7124FD99"/>
    <w:lvl w:ilvl="0" w:tentative="0">
      <w:start w:val="1"/>
      <w:numFmt w:val="chineseCounting"/>
      <w:suff w:val="nothing"/>
      <w:lvlText w:val="（%1）"/>
      <w:lvlJc w:val="left"/>
      <w:rPr>
        <w:rFonts w:hint="eastAsia"/>
      </w:rPr>
    </w:lvl>
  </w:abstractNum>
  <w:num w:numId="1">
    <w:abstractNumId w:val="5"/>
  </w:num>
  <w:num w:numId="2">
    <w:abstractNumId w:val="3"/>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NTNiYmUxMjk1MmE5ZmExN2JlN2Y2NjI3MTNjZD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457381A"/>
    <w:rsid w:val="066E0107"/>
    <w:rsid w:val="07996F6E"/>
    <w:rsid w:val="08E23C56"/>
    <w:rsid w:val="0A2032A3"/>
    <w:rsid w:val="0D8B0A01"/>
    <w:rsid w:val="0F98263C"/>
    <w:rsid w:val="101860EC"/>
    <w:rsid w:val="10C055FF"/>
    <w:rsid w:val="118107EC"/>
    <w:rsid w:val="12BE0C42"/>
    <w:rsid w:val="13D50BC4"/>
    <w:rsid w:val="13DF3855"/>
    <w:rsid w:val="141B23B3"/>
    <w:rsid w:val="15E232A8"/>
    <w:rsid w:val="16BB723D"/>
    <w:rsid w:val="1BE8440E"/>
    <w:rsid w:val="1D155CEE"/>
    <w:rsid w:val="1F9A2D26"/>
    <w:rsid w:val="1FF35744"/>
    <w:rsid w:val="23860B96"/>
    <w:rsid w:val="240371BF"/>
    <w:rsid w:val="29FD04D3"/>
    <w:rsid w:val="2A433F1A"/>
    <w:rsid w:val="2A5E151F"/>
    <w:rsid w:val="2C8A61B5"/>
    <w:rsid w:val="2DF04E50"/>
    <w:rsid w:val="2F040D46"/>
    <w:rsid w:val="30D44952"/>
    <w:rsid w:val="319F7F4E"/>
    <w:rsid w:val="3304709D"/>
    <w:rsid w:val="335A3598"/>
    <w:rsid w:val="33AE06F6"/>
    <w:rsid w:val="36AA5135"/>
    <w:rsid w:val="376D39B2"/>
    <w:rsid w:val="37E16F03"/>
    <w:rsid w:val="38D469F0"/>
    <w:rsid w:val="3D98207C"/>
    <w:rsid w:val="3DA80F4C"/>
    <w:rsid w:val="3E78745D"/>
    <w:rsid w:val="3EC172FB"/>
    <w:rsid w:val="44E268DA"/>
    <w:rsid w:val="452F6D87"/>
    <w:rsid w:val="4A627F82"/>
    <w:rsid w:val="4B0E749A"/>
    <w:rsid w:val="4B4F25DA"/>
    <w:rsid w:val="4BE068DB"/>
    <w:rsid w:val="4D577224"/>
    <w:rsid w:val="4EAB630A"/>
    <w:rsid w:val="4ECE2238"/>
    <w:rsid w:val="50891174"/>
    <w:rsid w:val="537E6D0A"/>
    <w:rsid w:val="585F62DF"/>
    <w:rsid w:val="5AF92295"/>
    <w:rsid w:val="5CD71FC4"/>
    <w:rsid w:val="60194ACE"/>
    <w:rsid w:val="62693888"/>
    <w:rsid w:val="63495BC1"/>
    <w:rsid w:val="65D67C3C"/>
    <w:rsid w:val="67291F73"/>
    <w:rsid w:val="6C4A05C8"/>
    <w:rsid w:val="6D891590"/>
    <w:rsid w:val="6E7E3605"/>
    <w:rsid w:val="6FF5CC65"/>
    <w:rsid w:val="715C0E4B"/>
    <w:rsid w:val="72734D90"/>
    <w:rsid w:val="72F921E5"/>
    <w:rsid w:val="73366EB9"/>
    <w:rsid w:val="73AD73D5"/>
    <w:rsid w:val="73B6EB34"/>
    <w:rsid w:val="744731E5"/>
    <w:rsid w:val="76E3355F"/>
    <w:rsid w:val="778769C8"/>
    <w:rsid w:val="77E56067"/>
    <w:rsid w:val="79EE5BA4"/>
    <w:rsid w:val="7A894339"/>
    <w:rsid w:val="7C5B3953"/>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List Number"/>
    <w:basedOn w:val="1"/>
    <w:semiHidden/>
    <w:unhideWhenUsed/>
    <w:uiPriority w:val="99"/>
    <w:pPr>
      <w:numPr>
        <w:ilvl w:val="0"/>
        <w:numId w:val="1"/>
      </w:numPr>
    </w:p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常用样式（方正仿宋简）"/>
    <w:basedOn w:val="1"/>
    <w:next w:val="1"/>
    <w:qFormat/>
    <w:uiPriority w:val="0"/>
    <w:pPr>
      <w:spacing w:line="580" w:lineRule="exact"/>
      <w:ind w:firstLine="420" w:firstLineChars="200"/>
    </w:pPr>
    <w:rPr>
      <w:rFonts w:ascii="Times New Roman" w:hAnsi="Times New Roman" w:eastAsia="方正仿宋简体"/>
      <w:sz w:val="32"/>
    </w:rPr>
  </w:style>
  <w:style w:type="character" w:customStyle="1" w:styleId="36">
    <w:name w:val="font01"/>
    <w:qFormat/>
    <w:uiPriority w:val="0"/>
    <w:rPr>
      <w:rFonts w:hint="default"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2"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2"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2"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2"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2"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2"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0839722222222222"/>
          <c:y val="0.221990740740741"/>
          <c:w val="0.87575"/>
          <c:h val="0.606805555555556"/>
        </c:manualLayout>
      </c:layout>
      <c:barChart>
        <c:barDir val="col"/>
        <c:grouping val="clustered"/>
        <c:varyColors val="0"/>
        <c:ser>
          <c:idx val="0"/>
          <c:order val="0"/>
          <c:tx>
            <c:strRef>
              <c:f>[工作簿2]Sheet1!$A$2</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[工作簿2]Sheet1!$B$1:$C$1</c:f>
              <c:strCache>
                <c:ptCount val="2"/>
                <c:pt idx="0">
                  <c:v>收入</c:v>
                </c:pt>
                <c:pt idx="1">
                  <c:v>支出</c:v>
                </c:pt>
              </c:strCache>
            </c:strRef>
          </c:cat>
          <c:val>
            <c:numRef>
              <c:f>[工作簿2]Sheet1!$B$2:$C$2</c:f>
              <c:numCache>
                <c:formatCode>General</c:formatCode>
                <c:ptCount val="2"/>
                <c:pt idx="0">
                  <c:v>468.92</c:v>
                </c:pt>
                <c:pt idx="1">
                  <c:v>468.92</c:v>
                </c:pt>
              </c:numCache>
            </c:numRef>
          </c:val>
        </c:ser>
        <c:ser>
          <c:idx val="1"/>
          <c:order val="1"/>
          <c:tx>
            <c:strRef>
              <c:f>[工作簿2]Sheet1!$A$3</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[工作簿2]Sheet1!$B$1:$C$1</c:f>
              <c:strCache>
                <c:ptCount val="2"/>
                <c:pt idx="0">
                  <c:v>收入</c:v>
                </c:pt>
                <c:pt idx="1">
                  <c:v>支出</c:v>
                </c:pt>
              </c:strCache>
            </c:strRef>
          </c:cat>
          <c:val>
            <c:numRef>
              <c:f>[工作簿2]Sheet1!$B$3:$C$3</c:f>
              <c:numCache>
                <c:formatCode>General</c:formatCode>
                <c:ptCount val="2"/>
                <c:pt idx="0">
                  <c:v>468.1</c:v>
                </c:pt>
                <c:pt idx="1">
                  <c:v>468.1</c:v>
                </c:pt>
              </c:numCache>
            </c:numRef>
          </c:val>
        </c:ser>
        <c:dLbls>
          <c:showLegendKey val="0"/>
          <c:showVal val="1"/>
          <c:showCatName val="0"/>
          <c:showSerName val="0"/>
          <c:showPercent val="0"/>
          <c:showBubbleSize val="0"/>
        </c:dLbls>
        <c:gapWidth val="219"/>
        <c:overlap val="-27"/>
        <c:axId val="939137842"/>
        <c:axId val="657775861"/>
      </c:barChart>
      <c:catAx>
        <c:axId val="9391378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7775861"/>
        <c:crosses val="autoZero"/>
        <c:auto val="1"/>
        <c:lblAlgn val="ctr"/>
        <c:lblOffset val="100"/>
        <c:noMultiLvlLbl val="0"/>
      </c:catAx>
      <c:valAx>
        <c:axId val="65777586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13784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f5216e2-d196-43cf-b798-e3e6ac14fda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[工作簿2]Sheet1!$A$2</c:f>
              <c:strCache>
                <c:ptCount val="1"/>
                <c:pt idx="0">
                  <c:v>收入决算结构图</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[工作簿2]Sheet1!$B$1</c:f>
              <c:strCache>
                <c:ptCount val="1"/>
                <c:pt idx="0">
                  <c:v>2022年</c:v>
                </c:pt>
              </c:strCache>
            </c:strRef>
          </c:cat>
          <c:val>
            <c:numRef>
              <c:f>[工作簿2]Sheet1!$B$2</c:f>
              <c:numCache>
                <c:formatCode>General</c:formatCode>
                <c:ptCount val="1"/>
                <c:pt idx="0">
                  <c:v>468.1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7102de3-13ed-4ae7-8974-acbe46da5d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[工作簿2]Sheet1!$B$5</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[工作簿2]Sheet1!$A$6:$A$7</c:f>
              <c:strCache>
                <c:ptCount val="2"/>
                <c:pt idx="0">
                  <c:v>基本支出</c:v>
                </c:pt>
                <c:pt idx="1">
                  <c:v>项目支出</c:v>
                </c:pt>
              </c:strCache>
            </c:strRef>
          </c:cat>
          <c:val>
            <c:numRef>
              <c:f>[工作簿2]Sheet1!$B$6:$B$7</c:f>
              <c:numCache>
                <c:formatCode>#,##0.00</c:formatCode>
                <c:ptCount val="2"/>
                <c:pt idx="0">
                  <c:v>265.66</c:v>
                </c:pt>
                <c:pt idx="1">
                  <c:v>202.44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3bd5599-0761-49a6-9c95-ce23b6474c7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manualLayout>
          <c:layoutTarget val="inner"/>
          <c:xMode val="edge"/>
          <c:yMode val="edge"/>
          <c:x val="0.0839722222222222"/>
          <c:y val="0.221990740740741"/>
          <c:w val="0.87575"/>
          <c:h val="0.606805555555556"/>
        </c:manualLayout>
      </c:layout>
      <c:barChart>
        <c:barDir val="col"/>
        <c:grouping val="clustered"/>
        <c:varyColors val="0"/>
        <c:ser>
          <c:idx val="0"/>
          <c:order val="0"/>
          <c:tx>
            <c:strRef>
              <c:f>[工作簿2]Sheet1!$A$2</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[工作簿2]Sheet1!$B$1:$C$1</c:f>
              <c:strCache>
                <c:ptCount val="2"/>
                <c:pt idx="0">
                  <c:v>收入</c:v>
                </c:pt>
                <c:pt idx="1">
                  <c:v>支出</c:v>
                </c:pt>
              </c:strCache>
            </c:strRef>
          </c:cat>
          <c:val>
            <c:numRef>
              <c:f>[工作簿2]Sheet1!$B$2:$C$2</c:f>
              <c:numCache>
                <c:formatCode>General</c:formatCode>
                <c:ptCount val="2"/>
                <c:pt idx="0">
                  <c:v>468.92</c:v>
                </c:pt>
                <c:pt idx="1">
                  <c:v>468.92</c:v>
                </c:pt>
              </c:numCache>
            </c:numRef>
          </c:val>
        </c:ser>
        <c:ser>
          <c:idx val="1"/>
          <c:order val="1"/>
          <c:tx>
            <c:strRef>
              <c:f>[工作簿2]Sheet1!$A$3</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[工作簿2]Sheet1!$B$1:$C$1</c:f>
              <c:strCache>
                <c:ptCount val="2"/>
                <c:pt idx="0">
                  <c:v>收入</c:v>
                </c:pt>
                <c:pt idx="1">
                  <c:v>支出</c:v>
                </c:pt>
              </c:strCache>
            </c:strRef>
          </c:cat>
          <c:val>
            <c:numRef>
              <c:f>[工作簿2]Sheet1!$B$3:$C$3</c:f>
              <c:numCache>
                <c:formatCode>General</c:formatCode>
                <c:ptCount val="2"/>
                <c:pt idx="0">
                  <c:v>468.1</c:v>
                </c:pt>
                <c:pt idx="1">
                  <c:v>468.1</c:v>
                </c:pt>
              </c:numCache>
            </c:numRef>
          </c:val>
        </c:ser>
        <c:dLbls>
          <c:showLegendKey val="0"/>
          <c:showVal val="1"/>
          <c:showCatName val="0"/>
          <c:showSerName val="0"/>
          <c:showPercent val="0"/>
          <c:showBubbleSize val="0"/>
        </c:dLbls>
        <c:gapWidth val="219"/>
        <c:overlap val="-27"/>
        <c:axId val="939137842"/>
        <c:axId val="657775861"/>
      </c:barChart>
      <c:catAx>
        <c:axId val="9391378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7775861"/>
        <c:crosses val="autoZero"/>
        <c:auto val="1"/>
        <c:lblAlgn val="ctr"/>
        <c:lblOffset val="100"/>
        <c:noMultiLvlLbl val="0"/>
      </c:catAx>
      <c:valAx>
        <c:axId val="65777586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13784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a0f454e-92bb-41a4-a797-812b958406f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[工作簿2]Sheet1!$B$18</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[工作簿2]Sheet1!$A$19:$A$20</c:f>
              <c:strCache>
                <c:ptCount val="2"/>
                <c:pt idx="0">
                  <c:v>2021年</c:v>
                </c:pt>
                <c:pt idx="1">
                  <c:v>2022年</c:v>
                </c:pt>
              </c:strCache>
            </c:strRef>
          </c:cat>
          <c:val>
            <c:numRef>
              <c:f>[工作簿2]Sheet1!$B$19:$B$20</c:f>
              <c:numCache>
                <c:formatCode>General</c:formatCode>
                <c:ptCount val="2"/>
                <c:pt idx="0">
                  <c:v>468.92</c:v>
                </c:pt>
                <c:pt idx="1">
                  <c:v>468.1</c:v>
                </c:pt>
              </c:numCache>
            </c:numRef>
          </c:val>
        </c:ser>
        <c:dLbls>
          <c:showLegendKey val="0"/>
          <c:showVal val="1"/>
          <c:showCatName val="0"/>
          <c:showSerName val="0"/>
          <c:showPercent val="0"/>
          <c:showBubbleSize val="0"/>
        </c:dLbls>
        <c:gapWidth val="219"/>
        <c:overlap val="-27"/>
        <c:axId val="96172043"/>
        <c:axId val="669148394"/>
      </c:barChart>
      <c:catAx>
        <c:axId val="961720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9148394"/>
        <c:crosses val="autoZero"/>
        <c:auto val="1"/>
        <c:lblAlgn val="ctr"/>
        <c:lblOffset val="100"/>
        <c:noMultiLvlLbl val="0"/>
      </c:catAx>
      <c:valAx>
        <c:axId val="66914839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172043"/>
        <c:crosses val="autoZero"/>
        <c:crossBetween val="between"/>
      </c:valAx>
      <c:spPr>
        <a:noFill/>
        <a:ln>
          <a:noFill/>
        </a:ln>
        <a:effectLst/>
      </c:spPr>
    </c:plotArea>
    <c:plotVisOnly val="1"/>
    <c:dispBlanksAs val="gap"/>
    <c:showDLblsOverMax val="0"/>
    <c:extLst>
      <c:ext uri="{0b15fc19-7d7d-44ad-8c2d-2c3a37ce22c3}">
        <chartProps xmlns="https://web.wps.cn/et/2018/main" chartId="{f6220de5-cfa5-4c86-a7e3-5fcfd39ec84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[工作簿2]Sheet1!$B$28</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106685405493155"/>
                  <c:y val="0.080611248456067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862217484924676"/>
                  <c:y val="-0.0083513101853578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87497054624946"/>
                  <c:y val="0.0049312452893954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[工作簿2]Sheet1!$A$29:$A$32</c:f>
              <c:strCache>
                <c:ptCount val="4"/>
                <c:pt idx="0">
                  <c:v>一般公共服务支出</c:v>
                </c:pt>
                <c:pt idx="1">
                  <c:v>社会保障和就业支出</c:v>
                </c:pt>
                <c:pt idx="2">
                  <c:v>卫生健康支出</c:v>
                </c:pt>
                <c:pt idx="3">
                  <c:v>住房保障支出</c:v>
                </c:pt>
              </c:strCache>
            </c:strRef>
          </c:cat>
          <c:val>
            <c:numRef>
              <c:f>[工作簿2]Sheet1!$B$29:$B$32</c:f>
              <c:numCache>
                <c:formatCode>#,##0.00</c:formatCode>
                <c:ptCount val="4"/>
                <c:pt idx="0">
                  <c:v>425.95</c:v>
                </c:pt>
                <c:pt idx="1">
                  <c:v>15.98</c:v>
                </c:pt>
                <c:pt idx="2">
                  <c:v>9.52</c:v>
                </c:pt>
                <c:pt idx="3">
                  <c:v>16.65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b838336-1481-4ff9-a342-e54c294b98d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8055555555556"/>
          <c:y val="0.03125"/>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[工作簿2]Sheet2!$F$6</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244027777777778"/>
                  <c:y val="0.095833333333333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255972222222222"/>
                  <c:y val="0.132407407407407"/>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[工作簿2]Sheet2!$E$7:$E$9</c:f>
              <c:strCache>
                <c:ptCount val="3"/>
                <c:pt idx="0">
                  <c:v>因公出国（境）费</c:v>
                </c:pt>
                <c:pt idx="1">
                  <c:v>公务用车购置及运行维护费</c:v>
                </c:pt>
                <c:pt idx="2">
                  <c:v>公务接待费</c:v>
                </c:pt>
              </c:strCache>
            </c:strRef>
          </c:cat>
          <c:val>
            <c:numRef>
              <c:f>[工作簿2]Sheet2!$F$7:$F$9</c:f>
              <c:numCache>
                <c:formatCode>General</c:formatCode>
                <c:ptCount val="3"/>
                <c:pt idx="0">
                  <c:v>0</c:v>
                </c:pt>
                <c:pt idx="1">
                  <c:v>0</c:v>
                </c:pt>
                <c:pt idx="2" c:formatCode="#,##0.00">
                  <c:v>3.09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bd81d92-2577-453a-a5f9-daebd99ed57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40</Pages>
  <Words>2321</Words>
  <Characters>2579</Characters>
  <Lines>61</Lines>
  <Paragraphs>17</Paragraphs>
  <TotalTime>6</TotalTime>
  <ScaleCrop>false</ScaleCrop>
  <LinksUpToDate>false</LinksUpToDate>
  <CharactersWithSpaces>2617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 </cp:lastModifiedBy>
  <cp:lastPrinted>2023-08-24T08:58:00Z</cp:lastPrinted>
  <dcterms:modified xsi:type="dcterms:W3CDTF">2025-06-24T06:03:01Z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3A64CC97A3944FF3A85F243E34EF42F7_12</vt:lpwstr>
  </property>
  <property fmtid="{D5CDD505-2E9C-101B-9397-08002B2CF9AE}" pid="4" name="KSOTemplateDocerSaveRecord">
    <vt:lpwstr>eyJoZGlkIjoiNzNhMmQ0YzVlMTNmNmNmYjU5MDc1ZWQ2Nzc2YjVmZmYifQ==</vt:lpwstr>
  </property>
</Properties>
</file>