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68DC63">
      <w:pPr>
        <w:pStyle w:val="12"/>
        <w:rPr>
          <w:rFonts w:hint="eastAsia" w:ascii="Times New Roman" w:hAnsi="Times New Roman" w:eastAsia="仿宋_GB2312" w:cs="Times New Roman"/>
          <w:sz w:val="20"/>
          <w:lang w:eastAsia="zh-CN"/>
        </w:rPr>
      </w:pPr>
    </w:p>
    <w:p w14:paraId="17F4F8F6">
      <w:pPr>
        <w:keepNext w:val="0"/>
        <w:keepLines w:val="0"/>
        <w:pageBreakBefore w:val="0"/>
        <w:kinsoku/>
        <w:wordWrap/>
        <w:overflowPunct/>
        <w:topLinePunct w:val="0"/>
        <w:bidi w:val="0"/>
        <w:adjustRightInd/>
        <w:snapToGrid/>
        <w:spacing w:before="0" w:beforeLines="0" w:after="0" w:afterLines="0" w:line="576" w:lineRule="exact"/>
        <w:ind w:left="0" w:leftChars="0"/>
        <w:jc w:val="center"/>
        <w:textAlignment w:val="auto"/>
        <w:rPr>
          <w:rFonts w:hint="default" w:ascii="Times New Roman" w:hAnsi="Times New Roman" w:eastAsia="仿宋_GB2312" w:cs="Times New Roman"/>
          <w:sz w:val="32"/>
        </w:rPr>
      </w:pPr>
      <w:bookmarkStart w:id="0" w:name="_Toc13976"/>
      <w:r>
        <w:rPr>
          <w:rFonts w:hint="eastAsia" w:ascii="Times New Roman" w:hAnsi="Times New Roman" w:eastAsia="方正小标宋简体" w:cs="Times New Roman"/>
          <w:b w:val="0"/>
          <w:bCs w:val="0"/>
          <w:sz w:val="44"/>
          <w:szCs w:val="44"/>
          <w:lang w:eastAsia="zh-CN"/>
        </w:rPr>
        <w:t>第一章</w:t>
      </w:r>
      <w:r>
        <w:rPr>
          <w:rFonts w:hint="eastAsia" w:ascii="Times New Roman" w:hAnsi="Times New Roman" w:eastAsia="方正小标宋简体" w:cs="Times New Roman"/>
          <w:b w:val="0"/>
          <w:bCs w:val="0"/>
          <w:sz w:val="44"/>
          <w:szCs w:val="44"/>
          <w:lang w:val="en-US" w:eastAsia="zh-CN"/>
        </w:rPr>
        <w:t xml:space="preserve">   </w:t>
      </w:r>
      <w:r>
        <w:rPr>
          <w:rFonts w:hint="default" w:ascii="Times New Roman" w:hAnsi="Times New Roman" w:eastAsia="方正小标宋简体" w:cs="Times New Roman"/>
          <w:b w:val="0"/>
          <w:bCs w:val="0"/>
          <w:sz w:val="44"/>
          <w:szCs w:val="44"/>
        </w:rPr>
        <w:t>总</w:t>
      </w:r>
      <w:bookmarkEnd w:id="0"/>
      <w:r>
        <w:rPr>
          <w:rFonts w:hint="eastAsia" w:ascii="Times New Roman" w:hAnsi="Times New Roman" w:eastAsia="方正小标宋简体" w:cs="Times New Roman"/>
          <w:b w:val="0"/>
          <w:bCs w:val="0"/>
          <w:sz w:val="44"/>
          <w:szCs w:val="44"/>
          <w:lang w:eastAsia="zh-CN"/>
        </w:rPr>
        <w:t>则</w:t>
      </w:r>
    </w:p>
    <w:p w14:paraId="1F93E48B">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firstLine="640" w:firstLineChars="200"/>
        <w:jc w:val="both"/>
        <w:textAlignment w:val="auto"/>
        <w:outlineLvl w:val="1"/>
        <w:rPr>
          <w:rFonts w:hint="default" w:ascii="Times New Roman" w:hAnsi="Times New Roman" w:eastAsia="黑体" w:cs="Times New Roman"/>
          <w:b w:val="0"/>
          <w:bCs w:val="0"/>
          <w:sz w:val="32"/>
          <w:szCs w:val="32"/>
          <w:lang w:val="zh-CN" w:eastAsia="zh-CN"/>
        </w:rPr>
      </w:pPr>
      <w:bookmarkStart w:id="1" w:name="_bookmark1"/>
      <w:bookmarkEnd w:id="1"/>
      <w:bookmarkStart w:id="2" w:name="1.1规划编制的背景及意义"/>
      <w:bookmarkEnd w:id="2"/>
      <w:bookmarkStart w:id="3" w:name="1.1.1规划编制的背景"/>
      <w:bookmarkEnd w:id="3"/>
      <w:bookmarkStart w:id="4" w:name="_Toc23613"/>
      <w:bookmarkStart w:id="5" w:name="_Toc20592"/>
      <w:bookmarkStart w:id="6" w:name="_Toc25533"/>
      <w:bookmarkStart w:id="7" w:name="_Toc7840"/>
      <w:r>
        <w:rPr>
          <w:rFonts w:hint="default" w:ascii="Times New Roman" w:hAnsi="Times New Roman" w:eastAsia="黑体" w:cs="Times New Roman"/>
          <w:b w:val="0"/>
          <w:bCs w:val="0"/>
          <w:sz w:val="32"/>
          <w:szCs w:val="32"/>
          <w:lang w:val="zh-CN" w:eastAsia="zh-CN"/>
        </w:rPr>
        <w:t>1.1规划编制的背景</w:t>
      </w:r>
      <w:bookmarkEnd w:id="4"/>
      <w:bookmarkEnd w:id="5"/>
      <w:bookmarkEnd w:id="6"/>
      <w:bookmarkEnd w:id="7"/>
    </w:p>
    <w:p w14:paraId="7A345C05">
      <w:pPr>
        <w:pStyle w:val="12"/>
        <w:keepNext w:val="0"/>
        <w:keepLines w:val="0"/>
        <w:pageBreakBefore w:val="0"/>
        <w:widowControl w:val="0"/>
        <w:numPr>
          <w:ilvl w:val="0"/>
          <w:numId w:val="2"/>
        </w:numPr>
        <w:kinsoku/>
        <w:wordWrap/>
        <w:overflowPunct/>
        <w:autoSpaceDE w:val="0"/>
        <w:autoSpaceDN w:val="0"/>
        <w:bidi w:val="0"/>
        <w:spacing w:line="576" w:lineRule="exact"/>
        <w:ind w:right="0" w:firstLine="640" w:firstLineChars="200"/>
        <w:jc w:val="both"/>
        <w:textAlignment w:val="auto"/>
        <w:rPr>
          <w:rFonts w:hint="default" w:ascii="Times New Roman" w:hAnsi="Times New Roman" w:eastAsia="仿宋_GB2312" w:cs="Times New Roman"/>
          <w:sz w:val="32"/>
          <w:szCs w:val="32"/>
          <w:lang w:val="zh-CN" w:eastAsia="zh-CN" w:bidi="zh-CN"/>
        </w:rPr>
      </w:pPr>
      <w:r>
        <w:rPr>
          <w:rFonts w:hint="default" w:ascii="Times New Roman" w:hAnsi="Times New Roman" w:eastAsia="仿宋_GB2312" w:cs="Times New Roman"/>
          <w:sz w:val="32"/>
          <w:szCs w:val="32"/>
          <w:lang w:val="zh-CN" w:eastAsia="zh-CN" w:bidi="zh-CN"/>
        </w:rPr>
        <w:t>全国区域农村生活污水治理专项规划编制指南（试行）</w:t>
      </w:r>
    </w:p>
    <w:p w14:paraId="093152CC">
      <w:pPr>
        <w:pStyle w:val="12"/>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right="0" w:rightChars="0" w:firstLine="640" w:firstLineChars="200"/>
        <w:jc w:val="both"/>
        <w:textAlignment w:val="auto"/>
        <w:rPr>
          <w:rFonts w:hint="default" w:ascii="Times New Roman" w:hAnsi="Times New Roman" w:eastAsia="仿宋_GB2312" w:cs="Times New Roman"/>
          <w:sz w:val="32"/>
          <w:szCs w:val="32"/>
          <w:lang w:val="zh-CN" w:eastAsia="zh-CN" w:bidi="zh-CN"/>
        </w:rPr>
      </w:pPr>
      <w:r>
        <w:rPr>
          <w:rFonts w:hint="default" w:ascii="Times New Roman" w:hAnsi="Times New Roman" w:eastAsia="仿宋_GB2312" w:cs="Times New Roman"/>
          <w:sz w:val="32"/>
          <w:szCs w:val="32"/>
          <w:lang w:val="zh-CN" w:eastAsia="zh-CN" w:bidi="zh-CN"/>
        </w:rPr>
        <w:t>2019年9月，生态环境部发布《县域农村生活污水治理专项规划编制指南（试行）》，全面指导区域农村生活污水治理专项规划编制，优先治理水源保护区、生态涵养区、风景名胜区等周边村庄，以及人口较为集中的重点村、中心村。重点治理污染严重及发展农家乐、民宿等乡村旅游的村庄。并提出了污水治理模式、工艺、目标、出水标准及污泥处置方式等，适用范围为全国所有区、县农村地区。</w:t>
      </w:r>
    </w:p>
    <w:p w14:paraId="7FAEDA60">
      <w:pPr>
        <w:pStyle w:val="12"/>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right="0" w:rightChars="0" w:firstLine="640" w:firstLineChars="200"/>
        <w:jc w:val="both"/>
        <w:textAlignment w:val="auto"/>
        <w:rPr>
          <w:rFonts w:hint="default" w:ascii="Times New Roman" w:hAnsi="Times New Roman" w:eastAsia="仿宋_GB2312" w:cs="Times New Roman"/>
          <w:sz w:val="32"/>
          <w:szCs w:val="32"/>
          <w:lang w:val="zh-CN" w:eastAsia="zh-CN" w:bidi="zh-CN"/>
        </w:rPr>
      </w:pPr>
      <w:r>
        <w:rPr>
          <w:rFonts w:hint="default" w:ascii="Times New Roman" w:hAnsi="Times New Roman" w:eastAsia="仿宋_GB2312" w:cs="Times New Roman"/>
          <w:sz w:val="32"/>
          <w:szCs w:val="32"/>
          <w:lang w:val="en-US" w:eastAsia="zh-CN" w:bidi="zh-CN"/>
        </w:rPr>
        <w:t>2、四川省大力推进城乡人居环境建设，推动城乡人居环境建设向绿色发展转型</w:t>
      </w:r>
    </w:p>
    <w:p w14:paraId="4BF6F604">
      <w:pPr>
        <w:pStyle w:val="12"/>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right="0" w:rightChars="0" w:firstLine="640" w:firstLineChars="200"/>
        <w:jc w:val="both"/>
        <w:textAlignment w:val="auto"/>
        <w:rPr>
          <w:rFonts w:hint="default" w:ascii="Times New Roman" w:hAnsi="Times New Roman" w:eastAsia="仿宋_GB2312" w:cs="Times New Roman"/>
          <w:sz w:val="32"/>
          <w:szCs w:val="32"/>
          <w:lang w:val="zh-CN" w:eastAsia="zh-CN" w:bidi="zh-CN"/>
        </w:rPr>
      </w:pPr>
      <w:r>
        <w:rPr>
          <w:rFonts w:hint="default" w:ascii="Times New Roman" w:hAnsi="Times New Roman" w:eastAsia="仿宋_GB2312" w:cs="Times New Roman"/>
          <w:sz w:val="32"/>
          <w:szCs w:val="32"/>
          <w:lang w:val="en-US" w:eastAsia="zh-CN" w:bidi="zh-CN"/>
        </w:rPr>
        <w:t>四川省委省政府高度重视城乡人居环境建设。彭清华书记在省生态环境保护委员会第二次全体会议上指出，要协同推进减污、降碳、增绿，推动全省生态环境质量持续向好；在省委农村工作领导小组2021年第一次全体会议再次指出，大力实施“美丽四川•宜居乡村”建设行动，深入实施农村人居环境整治提升五年行动，加强农村生态文明建设，让农村更加宜居、更加美丽。为贯彻落实中央相关决策部署，开展城乡环境建设工作意义重大。</w:t>
      </w:r>
    </w:p>
    <w:p w14:paraId="29C7A2FF">
      <w:pPr>
        <w:pStyle w:val="12"/>
        <w:keepNext w:val="0"/>
        <w:keepLines w:val="0"/>
        <w:pageBreakBefore w:val="0"/>
        <w:widowControl w:val="0"/>
        <w:numPr>
          <w:ilvl w:val="0"/>
          <w:numId w:val="2"/>
        </w:numPr>
        <w:kinsoku/>
        <w:wordWrap/>
        <w:overflowPunct/>
        <w:autoSpaceDE w:val="0"/>
        <w:autoSpaceDN w:val="0"/>
        <w:bidi w:val="0"/>
        <w:spacing w:line="576" w:lineRule="exact"/>
        <w:ind w:left="0" w:leftChars="0" w:right="0" w:rightChars="0" w:firstLine="640" w:firstLineChars="200"/>
        <w:jc w:val="both"/>
        <w:textAlignment w:val="auto"/>
        <w:rPr>
          <w:rFonts w:hint="default" w:ascii="Times New Roman" w:hAnsi="Times New Roman" w:eastAsia="仿宋_GB2312" w:cs="Times New Roman"/>
          <w:sz w:val="32"/>
          <w:szCs w:val="32"/>
          <w:lang w:val="zh-CN" w:eastAsia="zh-CN" w:bidi="zh-CN"/>
        </w:rPr>
      </w:pPr>
      <w:r>
        <w:rPr>
          <w:rFonts w:hint="default" w:ascii="Times New Roman" w:hAnsi="Times New Roman" w:eastAsia="仿宋_GB2312" w:cs="Times New Roman"/>
          <w:sz w:val="32"/>
          <w:szCs w:val="32"/>
          <w:lang w:val="zh-CN" w:eastAsia="zh-CN" w:bidi="zh-CN"/>
        </w:rPr>
        <w:t>《四川省农村生活污水治理五年实施方案》</w:t>
      </w:r>
    </w:p>
    <w:p w14:paraId="7A7D6829">
      <w:pPr>
        <w:pStyle w:val="12"/>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right="0" w:rightChars="0" w:firstLine="640" w:firstLineChars="200"/>
        <w:jc w:val="both"/>
        <w:textAlignment w:val="auto"/>
        <w:rPr>
          <w:rFonts w:hint="default" w:ascii="Times New Roman" w:hAnsi="Times New Roman" w:eastAsia="仿宋_GB2312" w:cs="Times New Roman"/>
          <w:sz w:val="32"/>
          <w:szCs w:val="32"/>
          <w:lang w:val="zh-CN" w:eastAsia="zh-CN" w:bidi="zh-CN"/>
        </w:rPr>
      </w:pPr>
      <w:r>
        <w:rPr>
          <w:rFonts w:hint="default" w:ascii="Times New Roman" w:hAnsi="Times New Roman" w:eastAsia="仿宋_GB2312" w:cs="Times New Roman"/>
          <w:sz w:val="32"/>
          <w:szCs w:val="32"/>
          <w:lang w:val="zh-CN" w:eastAsia="zh-CN" w:bidi="zh-CN"/>
        </w:rPr>
        <w:t>从2018年起，加快推进全省农村生活污水处理设施建设，处理设施运行监管不断加强，处理设施保障能力和服务水平全面提升，农村人居环境质量显著改善，通过5年努力，实现全省约4.5万个行政村农村生活污水处理设施全覆盖。</w:t>
      </w:r>
    </w:p>
    <w:p w14:paraId="16E21916">
      <w:pPr>
        <w:pStyle w:val="12"/>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right="0" w:rightChars="0" w:firstLine="640" w:firstLineChars="200"/>
        <w:jc w:val="both"/>
        <w:textAlignment w:val="auto"/>
        <w:rPr>
          <w:rFonts w:hint="default" w:ascii="Times New Roman" w:hAnsi="Times New Roman" w:eastAsia="仿宋_GB2312" w:cs="Times New Roman"/>
          <w:sz w:val="32"/>
          <w:szCs w:val="32"/>
          <w:lang w:val="zh-CN" w:eastAsia="zh-CN" w:bidi="zh-CN"/>
        </w:rPr>
      </w:pPr>
      <w:r>
        <w:rPr>
          <w:rFonts w:hint="default" w:ascii="Times New Roman" w:hAnsi="Times New Roman" w:eastAsia="仿宋_GB2312" w:cs="Times New Roman"/>
          <w:sz w:val="32"/>
          <w:szCs w:val="32"/>
          <w:lang w:val="en-US" w:eastAsia="zh-CN" w:bidi="zh-CN"/>
        </w:rPr>
        <w:t>本规划以国家相关法律法规、技术标准以及上位规划，为依据制定，规划年限为2023年到2025年。</w:t>
      </w:r>
    </w:p>
    <w:p w14:paraId="6BFEFAC5">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zh-CN" w:eastAsia="zh-CN"/>
        </w:rPr>
      </w:pPr>
      <w:bookmarkStart w:id="8" w:name="1.1.2规划编制的意义"/>
      <w:bookmarkEnd w:id="8"/>
      <w:bookmarkStart w:id="9" w:name="_Toc6203"/>
      <w:bookmarkStart w:id="10" w:name="_Toc27279"/>
      <w:bookmarkStart w:id="11" w:name="_Toc5658"/>
      <w:bookmarkStart w:id="12" w:name="_Toc23840"/>
      <w:r>
        <w:rPr>
          <w:rFonts w:hint="default" w:ascii="Times New Roman" w:hAnsi="Times New Roman" w:eastAsia="黑体" w:cs="Times New Roman"/>
          <w:b w:val="0"/>
          <w:bCs w:val="0"/>
          <w:sz w:val="32"/>
          <w:szCs w:val="32"/>
          <w:lang w:val="zh-CN" w:eastAsia="zh-CN"/>
        </w:rPr>
        <w:t>1.2</w:t>
      </w:r>
      <w:bookmarkEnd w:id="9"/>
      <w:bookmarkEnd w:id="10"/>
      <w:bookmarkEnd w:id="11"/>
      <w:r>
        <w:rPr>
          <w:rFonts w:hint="default" w:ascii="Times New Roman" w:hAnsi="Times New Roman" w:eastAsia="黑体" w:cs="Times New Roman"/>
          <w:b w:val="0"/>
          <w:bCs w:val="0"/>
          <w:sz w:val="32"/>
          <w:szCs w:val="32"/>
          <w:lang w:val="zh-CN" w:eastAsia="zh-CN"/>
        </w:rPr>
        <w:t>适用范围</w:t>
      </w:r>
      <w:bookmarkEnd w:id="12"/>
    </w:p>
    <w:p w14:paraId="739E85A2">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zh-CN" w:eastAsia="zh-CN"/>
        </w:rPr>
      </w:pPr>
      <w:bookmarkStart w:id="13" w:name="1.2项目概况"/>
      <w:bookmarkEnd w:id="13"/>
      <w:bookmarkStart w:id="14" w:name="_bookmark2"/>
      <w:bookmarkEnd w:id="14"/>
      <w:bookmarkStart w:id="15" w:name="_Toc32373"/>
      <w:bookmarkStart w:id="16" w:name="_Toc9747"/>
      <w:bookmarkStart w:id="17" w:name="_Toc3802"/>
      <w:r>
        <w:rPr>
          <w:rFonts w:hint="default" w:ascii="Times New Roman" w:hAnsi="Times New Roman" w:eastAsia="仿宋_GB2312" w:cs="Times New Roman"/>
          <w:sz w:val="32"/>
          <w:szCs w:val="32"/>
          <w:lang w:val="zh-CN" w:eastAsia="zh-CN"/>
        </w:rPr>
        <w:t>范围为安居区行政辖区。</w:t>
      </w:r>
    </w:p>
    <w:p w14:paraId="1571D2EB">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1.2.1城乡融合片</w:t>
      </w:r>
    </w:p>
    <w:p w14:paraId="31899D09">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城乡融合片区包括5个乡镇，其中三家镇为中心镇，安居镇、会龙镇、聚贤镇、玉丰镇4个一般镇，其中三家镇为中心镇。</w:t>
      </w:r>
    </w:p>
    <w:p w14:paraId="0B7726F6">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1.2.2横山文农旅融合片</w:t>
      </w:r>
    </w:p>
    <w:p w14:paraId="107C2B8F">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横山文农旅融合片区范围包含横山镇和常理镇2个乡镇行政辖区的全部地区，涉及39个村，4个社区。</w:t>
      </w:r>
    </w:p>
    <w:p w14:paraId="5A2FDE7A">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1.2.3莲花湖现代农业片区</w:t>
      </w:r>
    </w:p>
    <w:p w14:paraId="71DFA2E3">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莲花湖现代农业片区，位于安居区西部，包括4个乡镇，72个村，8个社区。其中拦江镇为中心镇，白马镇为副中心镇，包含保石镇、中兴镇2个一般镇，片区共有14个中心村，其余均为一般村。</w:t>
      </w:r>
    </w:p>
    <w:p w14:paraId="3B942093">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1.2.4琼江生态种养片区</w:t>
      </w:r>
    </w:p>
    <w:p w14:paraId="1FAF000D">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琼江生态种养片区，位于安居区南部，紧邻安居城区，其中包括3个乡镇，46个村，4个社区。其中东禅镇为中心镇，包含分水镇、石洞镇2个一般镇，片区共有9个中心村，其余均为一般村。</w:t>
      </w:r>
    </w:p>
    <w:p w14:paraId="459461AB">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1.2.5遂潼三产融合片区</w:t>
      </w:r>
    </w:p>
    <w:p w14:paraId="0FC53D35">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cs="Times New Roman"/>
          <w:sz w:val="32"/>
          <w:szCs w:val="32"/>
          <w:lang w:val="zh-CN" w:eastAsia="zh-CN"/>
        </w:rPr>
      </w:pPr>
      <w:r>
        <w:rPr>
          <w:rFonts w:hint="default" w:ascii="Times New Roman" w:hAnsi="Times New Roman" w:eastAsia="仿宋_GB2312" w:cs="Times New Roman"/>
          <w:sz w:val="32"/>
          <w:szCs w:val="32"/>
          <w:lang w:val="en-US" w:eastAsia="zh-CN"/>
        </w:rPr>
        <w:t>遂潼三产融合片区范围包含磨溪镇和西眉镇2个乡镇行政辖区的全部地区，涉及34个村，3个社区，273个村民小组。</w:t>
      </w:r>
    </w:p>
    <w:p w14:paraId="76C0DC4F">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zh-CN" w:eastAsia="zh-CN"/>
        </w:rPr>
      </w:pPr>
      <w:bookmarkStart w:id="18" w:name="_Toc8798"/>
      <w:r>
        <w:rPr>
          <w:rFonts w:hint="default" w:ascii="Times New Roman" w:hAnsi="Times New Roman" w:eastAsia="黑体" w:cs="Times New Roman"/>
          <w:b w:val="0"/>
          <w:bCs w:val="0"/>
          <w:sz w:val="32"/>
          <w:szCs w:val="32"/>
          <w:lang w:val="zh-CN" w:eastAsia="zh-CN"/>
        </w:rPr>
        <w:t>1.3基本原则</w:t>
      </w:r>
      <w:bookmarkEnd w:id="18"/>
    </w:p>
    <w:p w14:paraId="5DA6A19B">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1.3.1科学规划，统筹安排</w:t>
      </w:r>
    </w:p>
    <w:p w14:paraId="2F328432">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以安居区区域总体规划</w:t>
      </w:r>
      <w:r>
        <w:rPr>
          <w:rFonts w:hint="default" w:ascii="Times New Roman" w:hAnsi="Times New Roman" w:eastAsia="仿宋_GB2312" w:cs="Times New Roman"/>
          <w:sz w:val="32"/>
          <w:szCs w:val="32"/>
          <w:lang w:val="en-US" w:eastAsia="zh-CN"/>
        </w:rPr>
        <w:t>、安居区“十四五”生态环境保护规划</w:t>
      </w:r>
      <w:r>
        <w:rPr>
          <w:rFonts w:hint="default" w:ascii="Times New Roman" w:hAnsi="Times New Roman" w:eastAsia="仿宋_GB2312" w:cs="Times New Roman"/>
          <w:sz w:val="32"/>
          <w:szCs w:val="32"/>
          <w:lang w:val="en-US"/>
        </w:rPr>
        <w:t>为先导，结合生态保护红线、村庄规划、水环境功能区划、给排水、改厕和黑臭水体治理等工作，充分考虑农村经济社会状况、生活污水产排规律、环境容量、村民意愿等因素，以污水减量化、分类就地处理、循环利用为导向，科学规划和安排农村生活污水治理工作。</w:t>
      </w:r>
    </w:p>
    <w:p w14:paraId="7A49C928">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1.3.2突出重点，梯次推进</w:t>
      </w:r>
    </w:p>
    <w:p w14:paraId="3B88BF54">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坚持短期目标与长远规划相结合，既尽力而为，又量力而行。综合考虑现阶段城乡发展趋势、财政投入能力、农民接受程度等，合理确定污水治理任务目标。优先整治生态环境敏感、人口集聚、发展乡村旅游以及水质需改善控制单元范围内的村庄，通过试点示范不断探索，梯次推进，全面覆盖。</w:t>
      </w:r>
    </w:p>
    <w:p w14:paraId="1F3FBEE8">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1.3.3因地制宜，分类治理</w:t>
      </w:r>
    </w:p>
    <w:p w14:paraId="6B90F0AC">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综合考虑村庄自然禀赋、经济社会发展、污水产排状况、生态环境敏感程度、受纳水体环境容量等，科学确定本地区农村生活污水治理方式。靠近</w:t>
      </w:r>
      <w:bookmarkStart w:id="303" w:name="_GoBack"/>
      <w:bookmarkEnd w:id="303"/>
      <w:r>
        <w:rPr>
          <w:rFonts w:hint="default" w:ascii="Times New Roman" w:hAnsi="Times New Roman" w:eastAsia="仿宋_GB2312" w:cs="Times New Roman"/>
          <w:sz w:val="32"/>
          <w:szCs w:val="32"/>
          <w:lang w:val="en-US"/>
        </w:rPr>
        <w:t>城镇、有条件的村庄，生活污水纳入城镇污水管网统一处理。人口集聚、利用空间不足、经济条件较好的村庄，可采取管网收集-集中处理-达标排放的治理方式。污水产生量较少、居住较为分散、地形地貌复杂的村庄，采用“三格式化粪池”＋资源化利用的治理方式。</w:t>
      </w:r>
    </w:p>
    <w:p w14:paraId="1575E2B5">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1.3.4建管并重，长效运行</w:t>
      </w:r>
    </w:p>
    <w:p w14:paraId="5305D4E4">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坚持先建机制、后建工程，推动以县级行政区域为单元，实行农村生活污水处理统一规划、统一建设、统一运行、统一管理。鼓励规模化、专业化、社会化建设和运行管理。有条件的地区，探索建立污水处理受益农户付费制度和多元化的运行保障机制，确保治理长效。</w:t>
      </w:r>
    </w:p>
    <w:p w14:paraId="59912FF4">
      <w:pPr>
        <w:keepNext w:val="0"/>
        <w:keepLines w:val="0"/>
        <w:pageBreakBefore w:val="0"/>
        <w:widowControl w:val="0"/>
        <w:kinsoku/>
        <w:wordWrap/>
        <w:overflowPunct/>
        <w:topLinePunct/>
        <w:autoSpaceDE w:val="0"/>
        <w:autoSpaceDN w:val="0"/>
        <w:bidi w:val="0"/>
        <w:adjustRightInd w:val="0"/>
        <w:snapToGrid w:val="0"/>
        <w:spacing w:line="576" w:lineRule="exact"/>
        <w:ind w:right="0" w:firstLine="643" w:firstLineChars="200"/>
        <w:jc w:val="both"/>
        <w:textAlignment w:val="auto"/>
        <w:rPr>
          <w:rFonts w:hint="default" w:ascii="Times New Roman" w:hAnsi="Times New Roman" w:eastAsia="仿宋_GB2312" w:cs="Times New Roman"/>
          <w:b/>
          <w:bCs/>
          <w:sz w:val="32"/>
          <w:szCs w:val="32"/>
        </w:rPr>
      </w:pPr>
      <w:r>
        <w:rPr>
          <w:rFonts w:hint="default" w:ascii="Times New Roman" w:hAnsi="Times New Roman" w:eastAsia="楷体_GB2312" w:cs="Times New Roman"/>
          <w:b/>
          <w:bCs/>
          <w:sz w:val="32"/>
          <w:szCs w:val="32"/>
          <w:lang w:val="en-US" w:eastAsia="zh-CN" w:bidi="zh-CN"/>
        </w:rPr>
        <w:t>1.3.5经济实用，易于推广</w:t>
      </w:r>
    </w:p>
    <w:p w14:paraId="280F56E0">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充分调查农村水环境质量、污水排放现状和治理需求，考虑当地经济发展水平、污水产生规模和农民生产生活习惯，综合评判农村生活污水治理的环境效益、经济效益和社会效益，选择技术成熟、经济实用、管理方便、运行稳定的农村生活污水治理手段和途径。</w:t>
      </w:r>
    </w:p>
    <w:p w14:paraId="53DA86C5">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righ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1.3.6政府主导，社会参与</w:t>
      </w:r>
    </w:p>
    <w:p w14:paraId="6FD26797">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强化地方政府主体责任，加大财政资金投入力度，引导农民以投工投劳等方式参与设施建设、运行和管理，鼓励采用政府和社会资本合作（PPP）等方式，引导企业和金融机构积极参与，推动农村生活污水第三方治理。</w:t>
      </w:r>
    </w:p>
    <w:p w14:paraId="0C05E0C5">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bidi="zh-CN"/>
        </w:rPr>
      </w:pPr>
      <w:bookmarkStart w:id="19" w:name="_Toc25318"/>
      <w:r>
        <w:rPr>
          <w:rFonts w:hint="default" w:ascii="Times New Roman" w:hAnsi="Times New Roman" w:eastAsia="黑体" w:cs="Times New Roman"/>
          <w:b w:val="0"/>
          <w:bCs w:val="0"/>
          <w:sz w:val="32"/>
          <w:szCs w:val="32"/>
          <w:lang w:val="en-US" w:eastAsia="zh-CN" w:bidi="zh-CN"/>
        </w:rPr>
        <w:t>1.4编制依据</w:t>
      </w:r>
      <w:bookmarkEnd w:id="19"/>
    </w:p>
    <w:p w14:paraId="560FE995">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相关法律法规：</w:t>
      </w:r>
    </w:p>
    <w:p w14:paraId="1441E868">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《中华人民共和国环境保护法（2014年4月修订）》；</w:t>
      </w:r>
    </w:p>
    <w:p w14:paraId="55A123C8">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eastAsia" w:ascii="Times New Roman" w:hAnsi="Times New Roman" w:eastAsia="仿宋_GB2312" w:cs="Times New Roman"/>
          <w:sz w:val="32"/>
          <w:szCs w:val="32"/>
          <w:lang w:val="en-US" w:eastAsia="zh-CN"/>
        </w:rPr>
        <w:t>《中华人民共和国城乡规划法（2019年修正）》</w:t>
      </w:r>
      <w:r>
        <w:rPr>
          <w:rFonts w:hint="default" w:ascii="Times New Roman" w:hAnsi="Times New Roman" w:eastAsia="仿宋_GB2312" w:cs="Times New Roman"/>
          <w:sz w:val="32"/>
          <w:szCs w:val="32"/>
          <w:lang w:val="en-US"/>
        </w:rPr>
        <w:t>；</w:t>
      </w:r>
    </w:p>
    <w:p w14:paraId="21940312">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《中华人民共和国水法（2016年7月修订）》；</w:t>
      </w:r>
    </w:p>
    <w:p w14:paraId="3DE990CD">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《中华人民共和国水污染防治法（2017年6月修正）》；</w:t>
      </w:r>
    </w:p>
    <w:p w14:paraId="765806F9">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《中华人民共和国固体废物污染环境防治法（2016年11月修正）》；</w:t>
      </w:r>
    </w:p>
    <w:p w14:paraId="332DF712">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《中华人民共和国环境影响评价法（2018年12月修正）》；</w:t>
      </w:r>
    </w:p>
    <w:p w14:paraId="19DD72B1">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《中华人民共和国森林法（2009年8月修正）》；</w:t>
      </w:r>
    </w:p>
    <w:p w14:paraId="66970C69">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《中华人民共和国突发事件应对法（2007年8月）》；</w:t>
      </w:r>
    </w:p>
    <w:p w14:paraId="2C06530F">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《城市供水条例（2018年3月修正）》；</w:t>
      </w:r>
    </w:p>
    <w:p w14:paraId="7E72E5E0">
      <w:pPr>
        <w:keepNext w:val="0"/>
        <w:keepLines w:val="0"/>
        <w:pageBreakBefore w:val="0"/>
        <w:widowControl w:val="0"/>
        <w:kinsoku/>
        <w:wordWrap/>
        <w:overflowPunct/>
        <w:topLinePunct/>
        <w:autoSpaceDE w:val="0"/>
        <w:autoSpaceDN w:val="0"/>
        <w:bidi w:val="0"/>
        <w:adjustRightInd w:val="0"/>
        <w:snapToGrid w:val="0"/>
        <w:spacing w:line="576" w:lineRule="exact"/>
        <w:ind w:right="0" w:firstLine="596"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pacing w:val="-11"/>
          <w:sz w:val="32"/>
          <w:szCs w:val="32"/>
          <w:lang w:val="en-US"/>
        </w:rPr>
        <w:t>《饮用水水源保护区污染防治管理规定（2010年12月修正）》；</w:t>
      </w:r>
    </w:p>
    <w:p w14:paraId="0FDC3EB2">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《中华人民共和国水文条例（2017年修正）》</w:t>
      </w:r>
    </w:p>
    <w:p w14:paraId="131C17E1">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《四川省水库大坝安全管理办法（2008年5月）》</w:t>
      </w:r>
    </w:p>
    <w:p w14:paraId="45F641BB">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《四川省自然保护区管理条例（2018年修正）》</w:t>
      </w:r>
    </w:p>
    <w:p w14:paraId="23EFBA59">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《四川省森林公园管理条例（2001年）》</w:t>
      </w:r>
    </w:p>
    <w:p w14:paraId="6CB49AB0">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《四川省</w:t>
      </w:r>
      <w:r>
        <w:rPr>
          <w:rFonts w:hint="eastAsia" w:ascii="Times New Roman" w:hAnsi="Times New Roman" w:eastAsia="仿宋_GB2312" w:cs="Times New Roman"/>
          <w:sz w:val="32"/>
          <w:szCs w:val="32"/>
          <w:lang w:val="en-US" w:eastAsia="zh-CN"/>
        </w:rPr>
        <w:t>风景名胜区条例</w:t>
      </w:r>
      <w:r>
        <w:rPr>
          <w:rFonts w:hint="default" w:ascii="Times New Roman" w:hAnsi="Times New Roman" w:eastAsia="仿宋_GB2312" w:cs="Times New Roman"/>
          <w:sz w:val="32"/>
          <w:szCs w:val="32"/>
          <w:lang w:val="en-US"/>
        </w:rPr>
        <w:t>（2010年）》</w:t>
      </w:r>
    </w:p>
    <w:p w14:paraId="096E837C">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《四川省城市排水管理条例（2009年）》</w:t>
      </w:r>
    </w:p>
    <w:p w14:paraId="733B04E8">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《四川省村镇供水条例（2013年11月）》</w:t>
      </w:r>
    </w:p>
    <w:p w14:paraId="26EA17E4">
      <w:pPr>
        <w:keepNext w:val="0"/>
        <w:keepLines w:val="0"/>
        <w:pageBreakBefore w:val="0"/>
        <w:widowControl w:val="0"/>
        <w:kinsoku/>
        <w:wordWrap/>
        <w:overflowPunct/>
        <w:topLinePunct/>
        <w:autoSpaceDE w:val="0"/>
        <w:autoSpaceDN w:val="0"/>
        <w:bidi w:val="0"/>
        <w:adjustRightInd w:val="0"/>
        <w:snapToGrid w:val="0"/>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《排污许可管理办法（试行）（川环发[2018]48号）》</w:t>
      </w:r>
    </w:p>
    <w:p w14:paraId="33DF73DF">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相关规范标准：</w:t>
      </w:r>
    </w:p>
    <w:p w14:paraId="0A502F4C">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《地表水环境质量标准》（GB3838-2002）</w:t>
      </w:r>
    </w:p>
    <w:p w14:paraId="1FA086D3">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《农用污泥污染物控制标准》（GB4284-2018）</w:t>
      </w:r>
    </w:p>
    <w:p w14:paraId="43E77ABB">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《农田灌溉水质标准》（GB5084-2005）</w:t>
      </w:r>
    </w:p>
    <w:p w14:paraId="15F82CC3">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《渔业水质标准》（GB11607-89）</w:t>
      </w:r>
    </w:p>
    <w:p w14:paraId="322C891D">
      <w:pPr>
        <w:keepNext w:val="0"/>
        <w:keepLines w:val="0"/>
        <w:pageBreakBefore w:val="0"/>
        <w:widowControl w:val="0"/>
        <w:kinsoku/>
        <w:wordWrap/>
        <w:overflowPunct/>
        <w:topLinePunct/>
        <w:autoSpaceDE w:val="0"/>
        <w:autoSpaceDN w:val="0"/>
        <w:bidi w:val="0"/>
        <w:adjustRightInd w:val="0"/>
        <w:snapToGrid w:val="0"/>
        <w:spacing w:line="576" w:lineRule="exact"/>
        <w:ind w:firstLine="572"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pacing w:val="-17"/>
          <w:sz w:val="32"/>
          <w:szCs w:val="32"/>
          <w:lang w:val="en-US"/>
        </w:rPr>
        <w:t>《城市污水再生利用景观环境用水水质标准》（GB/T18921-2002）</w:t>
      </w:r>
    </w:p>
    <w:p w14:paraId="67431D52">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《水功能区划分标准》（GBT50594-2010）</w:t>
      </w:r>
    </w:p>
    <w:p w14:paraId="3830AB0A">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《污水排入城镇下水道水质标准》（GB/T31962-2015）</w:t>
      </w:r>
    </w:p>
    <w:p w14:paraId="0FD86D20">
      <w:pPr>
        <w:keepNext w:val="0"/>
        <w:keepLines w:val="0"/>
        <w:pageBreakBefore w:val="0"/>
        <w:widowControl w:val="0"/>
        <w:kinsoku/>
        <w:wordWrap/>
        <w:overflowPunct/>
        <w:topLinePunct/>
        <w:autoSpaceDE w:val="0"/>
        <w:autoSpaceDN w:val="0"/>
        <w:bidi w:val="0"/>
        <w:adjustRightInd w:val="0"/>
        <w:snapToGrid w:val="0"/>
        <w:spacing w:line="576" w:lineRule="exact"/>
        <w:ind w:firstLine="572"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pacing w:val="-17"/>
          <w:sz w:val="32"/>
          <w:szCs w:val="32"/>
          <w:lang w:val="en-US"/>
        </w:rPr>
        <w:t>《农村生活污水处理设施水污染物排放标准》（DB512626-2019）</w:t>
      </w:r>
    </w:p>
    <w:p w14:paraId="616C2C01">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《城镇污水处理厂污染物排放标准》（GB18918-2002）</w:t>
      </w:r>
    </w:p>
    <w:p w14:paraId="79B563C2">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《农村生活污水处理工程技术标准》（GB/T51347-2019）</w:t>
      </w:r>
    </w:p>
    <w:p w14:paraId="3AE6DD4E">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《镇（乡）村排水工程技术规程》（CJJ124-2008）</w:t>
      </w:r>
    </w:p>
    <w:p w14:paraId="4175AF45">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《镇（乡）村给水工程规划规范》（CJJ/T246-2016）</w:t>
      </w:r>
    </w:p>
    <w:p w14:paraId="16D89824">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《村庄污水处理设施技术规程》（CJJ/T163-2011）</w:t>
      </w:r>
    </w:p>
    <w:p w14:paraId="42362517">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《村庄整治技术规范》（GB50445-2008）</w:t>
      </w:r>
    </w:p>
    <w:p w14:paraId="23B30790">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《农村生活污染控制技术规范》（HJ574-2010）</w:t>
      </w:r>
    </w:p>
    <w:p w14:paraId="7C009032">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《城市排水工程规划规范》（GB50318-2017）</w:t>
      </w:r>
    </w:p>
    <w:p w14:paraId="41DE41E8">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《室外排水设计规范》（GB50014-2006）（2016版）</w:t>
      </w:r>
    </w:p>
    <w:p w14:paraId="6D5C0E52">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《城市给水工程规划规范》（GB50282-2016）</w:t>
      </w:r>
    </w:p>
    <w:p w14:paraId="63AD8C9A">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《城镇污水再生利用工程设计规范》（GB50335-2016）</w:t>
      </w:r>
    </w:p>
    <w:p w14:paraId="20FB7306">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《泵站设计规范》（GB/T50265-2010）</w:t>
      </w:r>
    </w:p>
    <w:p w14:paraId="42153D08">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《给水排水管道工程施工及验收规范》（GB50268-2008）</w:t>
      </w:r>
    </w:p>
    <w:p w14:paraId="6622802C">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《给水排水构筑物工程施工及验收规范》（GB50141-2008）</w:t>
      </w:r>
    </w:p>
    <w:p w14:paraId="6BEE5846">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《畜禽粪便还田技术规范》（GB/T25246-2010）</w:t>
      </w:r>
    </w:p>
    <w:p w14:paraId="4408E094">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《城镇污水处理厂污泥处置园林绿化用泥质》（GB/T23486）</w:t>
      </w:r>
    </w:p>
    <w:p w14:paraId="0E8FEB78">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《人工湿地污水处理工程技术规范》（HJ2005-2010）</w:t>
      </w:r>
    </w:p>
    <w:p w14:paraId="5E8D1B05">
      <w:pPr>
        <w:keepNext w:val="0"/>
        <w:keepLines w:val="0"/>
        <w:pageBreakBefore w:val="0"/>
        <w:widowControl w:val="0"/>
        <w:kinsoku/>
        <w:wordWrap/>
        <w:overflowPunct/>
        <w:topLinePunct/>
        <w:autoSpaceDE w:val="0"/>
        <w:autoSpaceDN w:val="0"/>
        <w:bidi w:val="0"/>
        <w:adjustRightInd w:val="0"/>
        <w:snapToGrid w:val="0"/>
        <w:spacing w:line="576" w:lineRule="exact"/>
        <w:ind w:firstLine="596"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pacing w:val="-11"/>
          <w:sz w:val="32"/>
          <w:szCs w:val="32"/>
          <w:lang w:val="en-US"/>
        </w:rPr>
        <w:t>《县(市)域城乡污水统筹治理导则(试行)》(建村〔2014〕6号)</w:t>
      </w:r>
    </w:p>
    <w:p w14:paraId="76976B91">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《西南地区农村生活污水处理技术指南》（2010年9月）</w:t>
      </w:r>
    </w:p>
    <w:p w14:paraId="7A15C0C5">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《农村生活污水处理导则》（GB/T37071-2018）</w:t>
      </w:r>
    </w:p>
    <w:p w14:paraId="5AB7A1F0">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相关政策文件：</w:t>
      </w:r>
    </w:p>
    <w:p w14:paraId="2840C8A2">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《国务院办公厅关于改善农村人居环境的指导意见》（国办发[2014]25号）</w:t>
      </w:r>
    </w:p>
    <w:p w14:paraId="5C66854E">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国务院《中共中央国务院关于加快推进生态文明建设的意见》，2015年4月25日</w:t>
      </w:r>
    </w:p>
    <w:p w14:paraId="561ABC34">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《中共中央国务院关于实施乡村振兴战略的意见》（中发〔2018〕1号）</w:t>
      </w:r>
    </w:p>
    <w:p w14:paraId="1D7C6771">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“国务院关于印发《水污染防治行动计划》的通知”（国发[2015]17号）</w:t>
      </w:r>
    </w:p>
    <w:p w14:paraId="3A0C65C0">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《城镇污水处理厂污泥处理处置及污染防治技术政策（试行）》(建城[2009]23号)</w:t>
      </w:r>
    </w:p>
    <w:p w14:paraId="294805A9">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《住房城乡建设部中国农业发展银行关于切实做好改善农村人均环境信贷支持工作的通知》（建村[2015]191号）</w:t>
      </w:r>
    </w:p>
    <w:p w14:paraId="54C6F4E7">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《四川省人民政府办公厅关于印发四川省城市和县城总体规划修改规则的通知》（川办发〔2010〕87号）</w:t>
      </w:r>
    </w:p>
    <w:p w14:paraId="7F8DC13C">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《四川省人民政府关于印发四川省生态保护红线方案的通知》（川府发[2018]24号）</w:t>
      </w:r>
    </w:p>
    <w:p w14:paraId="57D243C4">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《四川省人民政府办公厅关于转发省发展改革委住房城乡建设厅四川省生活垃圾分类制度实施方案的通知》（川办发[2018]22号）</w:t>
      </w:r>
    </w:p>
    <w:p w14:paraId="44A0783B">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《农村生活污水处理项目建设与投资指南》（环发〔2013〕130号）</w:t>
      </w:r>
    </w:p>
    <w:p w14:paraId="45AA7476">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《农村生活污水处理设施水污染物排放控制规范编制工作指南（试行）》（环办土壤函〔2019〕403号）</w:t>
      </w:r>
    </w:p>
    <w:p w14:paraId="4662FB45">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《四川省农村生活污水治理三年推进方案》（川环发〔2020〕13</w:t>
      </w:r>
      <w:bookmarkStart w:id="20" w:name="_Toc7664"/>
      <w:bookmarkStart w:id="21" w:name="_Toc5392"/>
      <w:r>
        <w:rPr>
          <w:rFonts w:hint="default" w:ascii="Times New Roman" w:hAnsi="Times New Roman" w:eastAsia="仿宋_GB2312" w:cs="Times New Roman"/>
          <w:sz w:val="32"/>
          <w:szCs w:val="32"/>
          <w:lang w:val="en-US" w:eastAsia="zh-CN"/>
        </w:rPr>
        <w:t>号）</w:t>
      </w:r>
    </w:p>
    <w:p w14:paraId="653D9CAD">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bidi="zh-CN"/>
        </w:rPr>
      </w:pPr>
      <w:bookmarkStart w:id="22" w:name="_Toc14836"/>
      <w:r>
        <w:rPr>
          <w:rFonts w:hint="default" w:ascii="Times New Roman" w:hAnsi="Times New Roman" w:eastAsia="黑体" w:cs="Times New Roman"/>
          <w:b w:val="0"/>
          <w:bCs w:val="0"/>
          <w:sz w:val="32"/>
          <w:szCs w:val="32"/>
          <w:lang w:val="en-US" w:eastAsia="zh-CN" w:bidi="zh-CN"/>
        </w:rPr>
        <w:t>1.5</w:t>
      </w:r>
      <w:bookmarkEnd w:id="20"/>
      <w:bookmarkEnd w:id="21"/>
      <w:r>
        <w:rPr>
          <w:rFonts w:hint="default" w:ascii="Times New Roman" w:hAnsi="Times New Roman" w:eastAsia="黑体" w:cs="Times New Roman"/>
          <w:b w:val="0"/>
          <w:bCs w:val="0"/>
          <w:sz w:val="32"/>
          <w:szCs w:val="32"/>
          <w:lang w:val="en-US" w:eastAsia="zh-CN" w:bidi="zh-CN"/>
        </w:rPr>
        <w:t>术语定义</w:t>
      </w:r>
      <w:bookmarkEnd w:id="22"/>
    </w:p>
    <w:p w14:paraId="0CFD1D47">
      <w:pPr>
        <w:keepNext w:val="0"/>
        <w:keepLines w:val="0"/>
        <w:pageBreakBefore w:val="0"/>
        <w:widowControl w:val="0"/>
        <w:kinsoku/>
        <w:wordWrap/>
        <w:overflowPunct/>
        <w:topLinePunct/>
        <w:autoSpaceDE w:val="0"/>
        <w:autoSpaceDN w:val="0"/>
        <w:bidi w:val="0"/>
        <w:adjustRightInd w:val="0"/>
        <w:snapToGrid w:val="0"/>
        <w:spacing w:line="576" w:lineRule="exact"/>
        <w:ind w:firstLine="643" w:firstLineChars="200"/>
        <w:jc w:val="both"/>
        <w:textAlignment w:val="auto"/>
        <w:rPr>
          <w:rFonts w:hint="default" w:ascii="Times New Roman" w:hAnsi="Times New Roman" w:eastAsia="楷体_GB2312" w:cs="Times New Roman"/>
          <w:b/>
          <w:bCs/>
          <w:sz w:val="32"/>
          <w:szCs w:val="32"/>
          <w:lang w:val="en-US"/>
        </w:rPr>
      </w:pPr>
      <w:r>
        <w:rPr>
          <w:rFonts w:hint="default" w:ascii="Times New Roman" w:hAnsi="Times New Roman" w:eastAsia="楷体_GB2312" w:cs="Times New Roman"/>
          <w:b/>
          <w:bCs/>
          <w:sz w:val="32"/>
          <w:szCs w:val="32"/>
          <w:lang w:val="en-US" w:eastAsia="zh-CN"/>
        </w:rPr>
        <w:t>1.5.1农村生活污水</w:t>
      </w:r>
    </w:p>
    <w:p w14:paraId="67A8CB19">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农村居民生活活动所产生的污水，主要包括冲厕、洗涤、洗浴和厨房等排水，不包括工业废水。</w:t>
      </w:r>
    </w:p>
    <w:p w14:paraId="6C67F14E">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76" w:lineRule="exact"/>
        <w:ind w:firstLine="643" w:firstLineChars="200"/>
        <w:jc w:val="both"/>
        <w:textAlignment w:val="auto"/>
        <w:rPr>
          <w:rFonts w:hint="default" w:ascii="Times New Roman" w:hAnsi="Times New Roman" w:eastAsia="楷体_GB2312" w:cs="Times New Roman"/>
          <w:sz w:val="32"/>
          <w:szCs w:val="32"/>
          <w:lang w:val="en-US"/>
        </w:rPr>
      </w:pPr>
      <w:r>
        <w:rPr>
          <w:rFonts w:hint="default" w:ascii="Times New Roman" w:hAnsi="Times New Roman" w:eastAsia="楷体_GB2312" w:cs="Times New Roman"/>
          <w:sz w:val="32"/>
          <w:szCs w:val="32"/>
          <w:lang w:val="en-US" w:eastAsia="zh-CN"/>
        </w:rPr>
        <w:t>1.5.2农村生活污水处理设施</w:t>
      </w:r>
    </w:p>
    <w:p w14:paraId="03796BB1">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对农村生活污水进行收集处理的建筑物、构筑物及设备。</w:t>
      </w:r>
    </w:p>
    <w:p w14:paraId="726D4E59">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76" w:lineRule="exact"/>
        <w:ind w:firstLine="643" w:firstLineChars="200"/>
        <w:jc w:val="both"/>
        <w:textAlignment w:val="auto"/>
        <w:rPr>
          <w:rFonts w:hint="default" w:ascii="Times New Roman" w:hAnsi="Times New Roman" w:eastAsia="楷体_GB2312" w:cs="Times New Roman"/>
          <w:sz w:val="32"/>
          <w:szCs w:val="32"/>
          <w:lang w:val="en-US"/>
        </w:rPr>
      </w:pPr>
      <w:r>
        <w:rPr>
          <w:rFonts w:hint="default" w:ascii="Times New Roman" w:hAnsi="Times New Roman" w:eastAsia="楷体_GB2312" w:cs="Times New Roman"/>
          <w:sz w:val="32"/>
          <w:szCs w:val="32"/>
          <w:lang w:val="en-US" w:eastAsia="zh-CN"/>
        </w:rPr>
        <w:t>1.5.3农村生活污水收集系统</w:t>
      </w:r>
    </w:p>
    <w:p w14:paraId="6E962DEB">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对农村生活污水进行收集和输送的管道及附属设施，如户内管路、入户支管、村级干管、检查井、沉砂井、消能井和泵站等</w:t>
      </w:r>
    </w:p>
    <w:p w14:paraId="33A36953">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76" w:lineRule="exact"/>
        <w:ind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1.5.4尾水利用</w:t>
      </w:r>
    </w:p>
    <w:p w14:paraId="0F77D6F5">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生活污水经处理达到相应的水质标准或要求后用于农田施肥或灌溉、渔业用水等行为。</w:t>
      </w:r>
    </w:p>
    <w:p w14:paraId="3730A7B1">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76" w:lineRule="exact"/>
        <w:ind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1.5.5集中处理</w:t>
      </w:r>
    </w:p>
    <w:p w14:paraId="5CA9BDC1">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通过较大范围的管网，对村庄或一定区域内产生的生活污水进行收集，并建设处理设施集中处理的方式。</w:t>
      </w:r>
    </w:p>
    <w:p w14:paraId="213A575E">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76" w:lineRule="exact"/>
        <w:ind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1.5.6分散处理</w:t>
      </w:r>
    </w:p>
    <w:p w14:paraId="583760BB">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对单户或多户农村居民产生的生活污水，采取就地就近利用或处理的方式。</w:t>
      </w:r>
    </w:p>
    <w:p w14:paraId="5232FBB9">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bidi="zh-CN"/>
        </w:rPr>
      </w:pPr>
      <w:bookmarkStart w:id="23" w:name="_Toc20106"/>
      <w:r>
        <w:rPr>
          <w:rFonts w:hint="default" w:ascii="Times New Roman" w:hAnsi="Times New Roman" w:eastAsia="黑体" w:cs="Times New Roman"/>
          <w:b w:val="0"/>
          <w:bCs w:val="0"/>
          <w:sz w:val="32"/>
          <w:szCs w:val="32"/>
          <w:lang w:val="en-US" w:eastAsia="zh-CN" w:bidi="zh-CN"/>
        </w:rPr>
        <w:t>1.6《规划》期限</w:t>
      </w:r>
      <w:bookmarkEnd w:id="23"/>
    </w:p>
    <w:p w14:paraId="28B44608">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202</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en-US"/>
        </w:rPr>
        <w:t>年-202</w:t>
      </w: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lang w:val="en-US"/>
        </w:rPr>
        <w:t>年</w:t>
      </w:r>
    </w:p>
    <w:p w14:paraId="151A7880">
      <w:pPr>
        <w:pStyle w:val="12"/>
        <w:spacing w:before="1" w:line="384" w:lineRule="auto"/>
        <w:ind w:right="374"/>
        <w:rPr>
          <w:rFonts w:hint="default" w:ascii="Times New Roman" w:hAnsi="Times New Roman" w:eastAsia="仿宋_GB2312" w:cs="Times New Roman"/>
          <w:lang w:val="en-US"/>
        </w:rPr>
      </w:pPr>
    </w:p>
    <w:p w14:paraId="58CB44CD">
      <w:pPr>
        <w:pStyle w:val="15"/>
        <w:rPr>
          <w:rFonts w:hint="default" w:ascii="Times New Roman" w:hAnsi="Times New Roman" w:cs="Times New Roman"/>
        </w:rPr>
      </w:pPr>
    </w:p>
    <w:p w14:paraId="4574677E">
      <w:pPr>
        <w:pStyle w:val="15"/>
        <w:jc w:val="both"/>
        <w:rPr>
          <w:rFonts w:hint="default" w:ascii="Times New Roman" w:hAnsi="Times New Roman" w:cs="Times New Roman"/>
        </w:rPr>
      </w:pPr>
    </w:p>
    <w:p w14:paraId="0F327345">
      <w:pPr>
        <w:rPr>
          <w:rFonts w:hint="default" w:ascii="Times New Roman" w:hAnsi="Times New Roman" w:eastAsia="仿宋_GB2312" w:cs="Times New Roman"/>
          <w:sz w:val="40"/>
          <w:szCs w:val="40"/>
          <w:lang w:val="en-US"/>
        </w:rPr>
      </w:pPr>
      <w:bookmarkStart w:id="24" w:name="_Toc9391"/>
      <w:bookmarkStart w:id="25" w:name="_Toc1215"/>
      <w:r>
        <w:rPr>
          <w:rFonts w:hint="default" w:ascii="Times New Roman" w:hAnsi="Times New Roman" w:eastAsia="仿宋_GB2312" w:cs="Times New Roman"/>
          <w:sz w:val="40"/>
          <w:szCs w:val="40"/>
          <w:lang w:val="en-US" w:eastAsia="zh-CN"/>
        </w:rPr>
        <w:br w:type="page"/>
      </w:r>
    </w:p>
    <w:p w14:paraId="4098248B">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line="576" w:lineRule="exact"/>
        <w:ind w:leftChars="0"/>
        <w:jc w:val="center"/>
        <w:textAlignment w:val="auto"/>
        <w:rPr>
          <w:rFonts w:hint="default" w:ascii="Times New Roman" w:hAnsi="Times New Roman" w:eastAsia="方正小标宋简体" w:cs="Times New Roman"/>
          <w:b w:val="0"/>
          <w:bCs w:val="0"/>
          <w:sz w:val="40"/>
          <w:szCs w:val="40"/>
          <w:lang w:val="en-US"/>
        </w:rPr>
      </w:pPr>
      <w:bookmarkStart w:id="26" w:name="_Toc22646"/>
      <w:r>
        <w:rPr>
          <w:rFonts w:hint="eastAsia" w:ascii="Times New Roman" w:hAnsi="Times New Roman" w:eastAsia="方正小标宋简体" w:cs="Times New Roman"/>
          <w:b w:val="0"/>
          <w:bCs w:val="0"/>
          <w:sz w:val="40"/>
          <w:szCs w:val="40"/>
          <w:lang w:val="en-US" w:eastAsia="zh-CN"/>
        </w:rPr>
        <w:t xml:space="preserve">第二章   </w:t>
      </w:r>
      <w:r>
        <w:rPr>
          <w:rFonts w:hint="default" w:ascii="Times New Roman" w:hAnsi="Times New Roman" w:eastAsia="方正小标宋简体" w:cs="Times New Roman"/>
          <w:b w:val="0"/>
          <w:bCs w:val="0"/>
          <w:sz w:val="40"/>
          <w:szCs w:val="40"/>
          <w:lang w:val="en-US"/>
        </w:rPr>
        <w:t>区域概况</w:t>
      </w:r>
      <w:bookmarkEnd w:id="24"/>
      <w:bookmarkEnd w:id="25"/>
      <w:bookmarkEnd w:id="26"/>
    </w:p>
    <w:p w14:paraId="714CA1D3">
      <w:pPr>
        <w:pStyle w:val="4"/>
        <w:keepNext w:val="0"/>
        <w:keepLines w:val="0"/>
        <w:pageBreakBefore w:val="0"/>
        <w:widowControl w:val="0"/>
        <w:numPr>
          <w:ilvl w:val="0"/>
          <w:numId w:val="0"/>
        </w:numPr>
        <w:kinsoku/>
        <w:wordWrap/>
        <w:overflowPunct/>
        <w:autoSpaceDE w:val="0"/>
        <w:autoSpaceDN w:val="0"/>
        <w:bidi w:val="0"/>
        <w:spacing w:line="576" w:lineRule="exact"/>
        <w:textAlignment w:val="auto"/>
        <w:outlineLvl w:val="9"/>
        <w:rPr>
          <w:rFonts w:hint="default" w:ascii="Times New Roman" w:hAnsi="Times New Roman" w:eastAsia="仿宋_GB2312" w:cs="Times New Roman"/>
        </w:rPr>
      </w:pPr>
    </w:p>
    <w:bookmarkEnd w:id="15"/>
    <w:bookmarkEnd w:id="16"/>
    <w:bookmarkEnd w:id="17"/>
    <w:p w14:paraId="5E1172F3">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outlineLvl w:val="1"/>
        <w:rPr>
          <w:rFonts w:hint="default" w:ascii="Times New Roman" w:hAnsi="Times New Roman" w:eastAsia="黑体" w:cs="Times New Roman"/>
          <w:b w:val="0"/>
          <w:bCs w:val="0"/>
          <w:sz w:val="32"/>
          <w:szCs w:val="32"/>
          <w:lang w:val="en-US" w:eastAsia="zh-CN" w:bidi="zh-CN"/>
        </w:rPr>
      </w:pPr>
      <w:bookmarkStart w:id="27" w:name="1.4_项目区域概况_"/>
      <w:bookmarkEnd w:id="27"/>
      <w:bookmarkStart w:id="28" w:name="_bookmark4"/>
      <w:bookmarkEnd w:id="28"/>
      <w:bookmarkStart w:id="29" w:name="1.4.1地理位置_"/>
      <w:bookmarkEnd w:id="29"/>
      <w:bookmarkStart w:id="30" w:name="_Toc25814"/>
      <w:bookmarkStart w:id="31" w:name="_Toc26644"/>
      <w:bookmarkStart w:id="32" w:name="_Toc9727"/>
      <w:bookmarkStart w:id="33" w:name="_Toc8492"/>
      <w:r>
        <w:rPr>
          <w:rFonts w:hint="default" w:ascii="Times New Roman" w:hAnsi="Times New Roman" w:eastAsia="黑体" w:cs="Times New Roman"/>
          <w:b w:val="0"/>
          <w:bCs w:val="0"/>
          <w:sz w:val="32"/>
          <w:szCs w:val="32"/>
          <w:lang w:val="en-US" w:eastAsia="zh-CN" w:bidi="zh-CN"/>
        </w:rPr>
        <w:t>2.1地理位置</w:t>
      </w:r>
      <w:bookmarkEnd w:id="30"/>
      <w:bookmarkEnd w:id="31"/>
      <w:bookmarkEnd w:id="32"/>
      <w:bookmarkEnd w:id="33"/>
    </w:p>
    <w:p w14:paraId="3BEBDDE3">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安居区隶属于四川省遂宁市，位于四川盆地中部，涪江中游，遂宁市西南方，东接遂宁市船山区、北靠遂宁市大英县、西邻资阳市乐至县、南联资阳市安岳县和重庆市潼南区，介于东经105°4′0″—105°43′45″，北纬30°10′30″—30°34′10″之间，总面积1258.2平方公里。</w:t>
      </w:r>
    </w:p>
    <w:p w14:paraId="129F68DA">
      <w:pPr>
        <w:pStyle w:val="12"/>
        <w:rPr>
          <w:rFonts w:hint="default" w:ascii="Times New Roman" w:hAnsi="Times New Roman" w:eastAsia="仿宋_GB2312" w:cs="Times New Roman"/>
          <w:sz w:val="20"/>
        </w:rPr>
      </w:pPr>
      <w:r>
        <w:rPr>
          <w:rFonts w:hint="default" w:ascii="Times New Roman" w:hAnsi="Times New Roman" w:eastAsia="仿宋_GB2312" w:cs="Times New Roman"/>
          <w:lang w:val="en-US" w:bidi="ar-SA"/>
        </w:rPr>
        <w:drawing>
          <wp:inline distT="0" distB="0" distL="114300" distR="114300">
            <wp:extent cx="5272405" cy="3318510"/>
            <wp:effectExtent l="0" t="0" r="4445" b="1524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18" cstate="print"/>
                    <a:stretch>
                      <a:fillRect/>
                    </a:stretch>
                  </pic:blipFill>
                  <pic:spPr>
                    <a:xfrm>
                      <a:off x="0" y="0"/>
                      <a:ext cx="5272405" cy="3318510"/>
                    </a:xfrm>
                    <a:prstGeom prst="rect">
                      <a:avLst/>
                    </a:prstGeom>
                    <a:noFill/>
                    <a:ln>
                      <a:noFill/>
                    </a:ln>
                  </pic:spPr>
                </pic:pic>
              </a:graphicData>
            </a:graphic>
          </wp:inline>
        </w:drawing>
      </w:r>
    </w:p>
    <w:p w14:paraId="3C5B4BDA">
      <w:pPr>
        <w:pStyle w:val="12"/>
        <w:spacing w:before="5"/>
        <w:rPr>
          <w:rFonts w:hint="default" w:ascii="Times New Roman" w:hAnsi="Times New Roman" w:eastAsia="仿宋_GB2312" w:cs="Times New Roman"/>
          <w:sz w:val="6"/>
        </w:rPr>
      </w:pPr>
    </w:p>
    <w:p w14:paraId="5993ACBD">
      <w:pPr>
        <w:pStyle w:val="12"/>
        <w:spacing w:before="71"/>
        <w:ind w:left="501" w:right="239"/>
        <w:jc w:val="center"/>
        <w:rPr>
          <w:rFonts w:hint="default" w:ascii="Times New Roman" w:hAnsi="Times New Roman" w:eastAsia="仿宋_GB2312" w:cs="Times New Roman"/>
        </w:rPr>
      </w:pPr>
      <w:r>
        <w:rPr>
          <w:rFonts w:hint="default" w:ascii="Times New Roman" w:hAnsi="Times New Roman" w:eastAsia="仿宋_GB2312" w:cs="Times New Roman"/>
          <w:lang w:val="en-US"/>
        </w:rPr>
        <w:t>安居区</w:t>
      </w:r>
      <w:r>
        <w:rPr>
          <w:rFonts w:hint="default" w:ascii="Times New Roman" w:hAnsi="Times New Roman" w:eastAsia="仿宋_GB2312" w:cs="Times New Roman"/>
        </w:rPr>
        <w:t>地理位置图</w:t>
      </w:r>
    </w:p>
    <w:p w14:paraId="4F312056">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firstLine="643" w:firstLineChars="200"/>
        <w:textAlignment w:val="auto"/>
        <w:rPr>
          <w:rFonts w:hint="default" w:ascii="Times New Roman" w:hAnsi="Times New Roman" w:eastAsia="楷体_GB2312" w:cs="Times New Roman"/>
          <w:sz w:val="32"/>
          <w:szCs w:val="32"/>
          <w:lang w:val="en-US" w:eastAsia="zh-CN"/>
        </w:rPr>
      </w:pPr>
      <w:bookmarkStart w:id="34" w:name="1.4.2地形地貌_"/>
      <w:bookmarkEnd w:id="34"/>
      <w:bookmarkStart w:id="35" w:name="_Toc32750"/>
      <w:bookmarkStart w:id="36" w:name="_Toc21317"/>
      <w:bookmarkStart w:id="37" w:name="_Toc2247"/>
      <w:bookmarkStart w:id="38" w:name="_Toc22358"/>
      <w:r>
        <w:rPr>
          <w:rFonts w:hint="default" w:ascii="Times New Roman" w:hAnsi="Times New Roman" w:eastAsia="楷体_GB2312" w:cs="Times New Roman"/>
          <w:sz w:val="32"/>
          <w:szCs w:val="32"/>
          <w:lang w:val="en-US"/>
        </w:rPr>
        <w:t>2.1.1地形地貌</w:t>
      </w:r>
      <w:bookmarkEnd w:id="35"/>
      <w:bookmarkEnd w:id="36"/>
      <w:bookmarkEnd w:id="37"/>
      <w:bookmarkEnd w:id="38"/>
    </w:p>
    <w:p w14:paraId="2A8DCB3D">
      <w:pPr>
        <w:keepNext w:val="0"/>
        <w:keepLines w:val="0"/>
        <w:pageBreakBefore w:val="0"/>
        <w:widowControl w:val="0"/>
        <w:kinsoku/>
        <w:wordWrap/>
        <w:overflowPunct/>
        <w:topLinePunct/>
        <w:autoSpaceDE w:val="0"/>
        <w:autoSpaceDN w:val="0"/>
        <w:bidi w:val="0"/>
        <w:adjustRightInd w:val="0"/>
        <w:snapToGrid w:val="0"/>
        <w:spacing w:line="55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安居区地处川中丘陵腹地，地质构造简单，褶皱平缓，地貌类型单一，属中生代侏罗纪岩层，经流水侵蚀、切割、堆积形成侵蚀丘陵地貌，海拔高度在300-600米之间。全境岩层下部以石灰岩为主，上部以紫红色沙土、泥岩为主。</w:t>
      </w:r>
    </w:p>
    <w:p w14:paraId="1348F05A">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50" w:lineRule="exact"/>
        <w:ind w:left="0" w:firstLine="643" w:firstLineChars="200"/>
        <w:jc w:val="both"/>
        <w:textAlignment w:val="auto"/>
        <w:rPr>
          <w:rFonts w:hint="default" w:ascii="Times New Roman" w:hAnsi="Times New Roman" w:eastAsia="楷体_GB2312" w:cs="Times New Roman"/>
          <w:sz w:val="32"/>
          <w:szCs w:val="32"/>
          <w:lang w:val="en-US"/>
        </w:rPr>
      </w:pPr>
      <w:bookmarkStart w:id="39" w:name="1.4.3气候气象_"/>
      <w:bookmarkEnd w:id="39"/>
      <w:bookmarkStart w:id="40" w:name="_Toc14838"/>
      <w:bookmarkStart w:id="41" w:name="_Toc14367"/>
      <w:bookmarkStart w:id="42" w:name="_Toc20794"/>
      <w:bookmarkStart w:id="43" w:name="_Toc13945"/>
      <w:r>
        <w:rPr>
          <w:rFonts w:hint="default" w:ascii="Times New Roman" w:hAnsi="Times New Roman" w:eastAsia="楷体_GB2312" w:cs="Times New Roman"/>
          <w:sz w:val="32"/>
          <w:szCs w:val="32"/>
          <w:lang w:val="en-US"/>
        </w:rPr>
        <w:t>2.</w:t>
      </w:r>
      <w:r>
        <w:rPr>
          <w:rFonts w:hint="default" w:ascii="Times New Roman" w:hAnsi="Times New Roman" w:eastAsia="楷体_GB2312" w:cs="Times New Roman"/>
          <w:sz w:val="32"/>
          <w:szCs w:val="32"/>
          <w:lang w:val="en-US" w:eastAsia="zh-CN"/>
        </w:rPr>
        <w:t>1</w:t>
      </w:r>
      <w:r>
        <w:rPr>
          <w:rFonts w:hint="default" w:ascii="Times New Roman" w:hAnsi="Times New Roman" w:eastAsia="楷体_GB2312" w:cs="Times New Roman"/>
          <w:sz w:val="32"/>
          <w:szCs w:val="32"/>
          <w:lang w:val="en-US"/>
        </w:rPr>
        <w:t>.2气候气象</w:t>
      </w:r>
      <w:bookmarkEnd w:id="40"/>
      <w:bookmarkEnd w:id="41"/>
      <w:bookmarkEnd w:id="42"/>
      <w:bookmarkEnd w:id="43"/>
    </w:p>
    <w:p w14:paraId="6227AF6B">
      <w:pPr>
        <w:keepNext w:val="0"/>
        <w:keepLines w:val="0"/>
        <w:pageBreakBefore w:val="0"/>
        <w:widowControl w:val="0"/>
        <w:kinsoku/>
        <w:wordWrap/>
        <w:overflowPunct/>
        <w:topLinePunct/>
        <w:autoSpaceDE w:val="0"/>
        <w:autoSpaceDN w:val="0"/>
        <w:bidi w:val="0"/>
        <w:adjustRightInd w:val="0"/>
        <w:snapToGrid w:val="0"/>
        <w:spacing w:line="55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安居区属亚热带季风气候，气候温和、四季分明，无霜期长，热量充足，雨量充沛，湿度大，云雾多。7—8月平均气温26—28℃，12—2月平均气温6—8℃；降水集中在6—8月，4—5月和9—10月次之，11—3月降水较少。风速一年四季较小，10—12月定时观测2分钟最大风速1.6—10.2米每秒，静风频率5.4—12.6%，近地面盛行偏北风，约占43%；其次是偏南风，约占18%。</w:t>
      </w:r>
    </w:p>
    <w:p w14:paraId="0E124BB9">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50" w:lineRule="exact"/>
        <w:ind w:left="0" w:firstLine="643" w:firstLineChars="200"/>
        <w:jc w:val="both"/>
        <w:textAlignment w:val="auto"/>
        <w:rPr>
          <w:rFonts w:hint="default" w:ascii="Times New Roman" w:hAnsi="Times New Roman" w:eastAsia="楷体_GB2312" w:cs="Times New Roman"/>
          <w:sz w:val="32"/>
          <w:szCs w:val="32"/>
          <w:lang w:val="en-US"/>
        </w:rPr>
      </w:pPr>
      <w:bookmarkStart w:id="44" w:name="1.4.4水系水文_"/>
      <w:bookmarkEnd w:id="44"/>
      <w:bookmarkStart w:id="45" w:name="_Toc25649"/>
      <w:bookmarkStart w:id="46" w:name="_Toc7910"/>
      <w:bookmarkStart w:id="47" w:name="_Toc1037"/>
      <w:bookmarkStart w:id="48" w:name="_Toc31693"/>
      <w:r>
        <w:rPr>
          <w:rFonts w:hint="default" w:ascii="Times New Roman" w:hAnsi="Times New Roman" w:eastAsia="楷体_GB2312" w:cs="Times New Roman"/>
          <w:sz w:val="32"/>
          <w:szCs w:val="32"/>
          <w:lang w:val="en-US"/>
        </w:rPr>
        <w:t>2.</w:t>
      </w:r>
      <w:r>
        <w:rPr>
          <w:rFonts w:hint="default" w:ascii="Times New Roman" w:hAnsi="Times New Roman" w:eastAsia="楷体_GB2312" w:cs="Times New Roman"/>
          <w:sz w:val="32"/>
          <w:szCs w:val="32"/>
          <w:lang w:val="en-US" w:eastAsia="zh-CN"/>
        </w:rPr>
        <w:t>1</w:t>
      </w:r>
      <w:r>
        <w:rPr>
          <w:rFonts w:hint="default" w:ascii="Times New Roman" w:hAnsi="Times New Roman" w:eastAsia="楷体_GB2312" w:cs="Times New Roman"/>
          <w:sz w:val="32"/>
          <w:szCs w:val="32"/>
          <w:lang w:val="en-US"/>
        </w:rPr>
        <w:t>.3水系水文</w:t>
      </w:r>
      <w:bookmarkEnd w:id="45"/>
      <w:bookmarkEnd w:id="46"/>
      <w:bookmarkEnd w:id="47"/>
      <w:bookmarkEnd w:id="48"/>
    </w:p>
    <w:p w14:paraId="65B05E06">
      <w:pPr>
        <w:keepNext w:val="0"/>
        <w:keepLines w:val="0"/>
        <w:pageBreakBefore w:val="0"/>
        <w:widowControl w:val="0"/>
        <w:kinsoku/>
        <w:wordWrap/>
        <w:overflowPunct/>
        <w:topLinePunct/>
        <w:autoSpaceDE w:val="0"/>
        <w:autoSpaceDN w:val="0"/>
        <w:bidi w:val="0"/>
        <w:adjustRightInd w:val="0"/>
        <w:snapToGrid w:val="0"/>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琼江：涪江一级支流，位于涪江西岸，古名大安溪，安居溪，又称安居河。源于乐至县三星乡金马寺，经乐至县棺材函后入遂宁安居境，再由西向东，至保石镇的水井有南来的水井坝河汇入。过中兴镇后，经过麻子滩水库，至白马镇与南来的中兴场河水汇入；至白马镇有北来的双龙桥河水汇入；此后江水东南流，至白马镇的青峰有白河坝河水汇入。至石洞镇亭子坝村有北来的观音场河水汇入，至石洞镇有南来的石洞场河水汇入。至安居镇双河口村有西来的蟠龙河水汇入，至安居坝村有会龙河，玉丰河水汇入。安居镇以下河床渐宽，江水渐大。其后，至大安乡有大安河水汇入，于大安乡陈家坝下半边山出安居境。又经潼南区，至铜梁县安居镇汇入涪江。</w:t>
      </w:r>
    </w:p>
    <w:p w14:paraId="7A4112E0">
      <w:pPr>
        <w:keepNext w:val="0"/>
        <w:keepLines w:val="0"/>
        <w:pageBreakBefore w:val="0"/>
        <w:widowControl w:val="0"/>
        <w:kinsoku/>
        <w:wordWrap/>
        <w:overflowPunct/>
        <w:autoSpaceDE w:val="0"/>
        <w:autoSpaceDN w:val="0"/>
        <w:bidi w:val="0"/>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琼江分上、中、下游三段。安居区安居镇以上为上游，亦称白马河（白马以上又称拦江河，白马镇至安居镇称白安河）。上游河道蜿蜒曲折，以石质河床为主。白马镇以上河面狭窄，阶地不发育，谷坡陡峻；白马镇以下河面逐渐开阔，河谷稍宽。安居镇以下至潼南区太安镇为中游，始称琼江。中游河床系砂质粘土或粘质砂土，河道平缓，一级阶地开阔，河谷两侧多为缓丘平地和浅丘。潼南区太安镇至潼梁县安居镇为下游，河道较稳定，河面变窄。</w:t>
      </w:r>
    </w:p>
    <w:p w14:paraId="7F72ADF0">
      <w:pPr>
        <w:keepNext w:val="0"/>
        <w:keepLines w:val="0"/>
        <w:pageBreakBefore w:val="0"/>
        <w:widowControl w:val="0"/>
        <w:kinsoku/>
        <w:wordWrap/>
        <w:overflowPunct/>
        <w:autoSpaceDE w:val="0"/>
        <w:autoSpaceDN w:val="0"/>
        <w:bidi w:val="0"/>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琼江全长235km，全流域面积4560km²。市境内流程117km，流域面积1008.4km²，占全区幅员面积的81.2%，天然落差40m，河道平均比降0.34‰，琼江水量来源于自然降水，洪梏流量差异极大，枯水期时断流，最大洪峰流量可达2370m³/s，多年平均流量9.73m³/s。枯水期河面宽20～50m，平均流量约2m³/s左右，最小流量0.95m³/s；洪水期河面宽40～70m，最大洪峰流量2370m³/s；琼江洪、枯水位变幅一般为5m，最大10m。琼江水量来源于自然降水，如久旱不雨，即是洪水期，亦会出现枯水位。</w:t>
      </w:r>
    </w:p>
    <w:p w14:paraId="71CB44F4">
      <w:pPr>
        <w:keepNext w:val="0"/>
        <w:keepLines w:val="0"/>
        <w:pageBreakBefore w:val="0"/>
        <w:widowControl w:val="0"/>
        <w:kinsoku/>
        <w:wordWrap/>
        <w:overflowPunct/>
        <w:autoSpaceDE w:val="0"/>
        <w:autoSpaceDN w:val="0"/>
        <w:bidi w:val="0"/>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会龙河：琼江的一级支流，涪江的二级支流，位于琼江东岸。水有二源，一源于安居区横山镇的云峰，一源于横山镇南，二溪水南流均汇入白鸽咀水库，顺流南下至安居镇小河坝村与玉丰河水相汇流入琼江。全长20.5公里，流域面积147平方公里，多年平均流量0.38立方米/秒。</w:t>
      </w:r>
    </w:p>
    <w:p w14:paraId="79FB130A">
      <w:pPr>
        <w:keepNext w:val="0"/>
        <w:keepLines w:val="0"/>
        <w:pageBreakBefore w:val="0"/>
        <w:widowControl w:val="0"/>
        <w:kinsoku/>
        <w:wordWrap/>
        <w:overflowPunct/>
        <w:autoSpaceDE w:val="0"/>
        <w:autoSpaceDN w:val="0"/>
        <w:bidi w:val="0"/>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玉丰河：琼江的一级支流，涪江的二级支流，位于琼江的东岸，源于安居区玉丰镇境，汇集六条小溪水自东向西流至解元村与北来的聚贤河水相会，再南流至小河坝与会龙河相汇流入琼江。全长12公里，流域面积141平方公里，多年平均流量0.96立方米/秒。</w:t>
      </w:r>
    </w:p>
    <w:p w14:paraId="60647945">
      <w:pPr>
        <w:keepNext w:val="0"/>
        <w:keepLines w:val="0"/>
        <w:pageBreakBefore w:val="0"/>
        <w:widowControl w:val="0"/>
        <w:kinsoku/>
        <w:wordWrap/>
        <w:overflowPunct/>
        <w:autoSpaceDE w:val="0"/>
        <w:autoSpaceDN w:val="0"/>
        <w:bidi w:val="0"/>
        <w:spacing w:line="55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rPr>
        <w:t>西眉河发源于西眉镇田园村的东岳庙水库溢洪道，流经天台村、雷桥村、金乐村、石圣寺社区、长垭村，由银河村进入磨溪镇向阳村，流经白河村，在永灵村、黑白寺村与西眉河左支交汇（白家河，发源于船山区，从西眉镇竹林村入境），再流经登高村、福埝村、千秋村、猛虎村、老木垭村、石佛村，最后流入潼南区双江镇。</w:t>
      </w:r>
    </w:p>
    <w:p w14:paraId="7529D7A5">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50" w:lineRule="exact"/>
        <w:ind w:left="0" w:firstLine="643" w:firstLineChars="200"/>
        <w:jc w:val="both"/>
        <w:textAlignment w:val="auto"/>
        <w:rPr>
          <w:rFonts w:hint="default" w:ascii="Times New Roman" w:hAnsi="Times New Roman" w:eastAsia="楷体_GB2312" w:cs="Times New Roman"/>
          <w:sz w:val="32"/>
          <w:szCs w:val="32"/>
          <w:lang w:val="en-US"/>
        </w:rPr>
      </w:pPr>
      <w:bookmarkStart w:id="49" w:name="1.4.6主要资源_"/>
      <w:bookmarkEnd w:id="49"/>
      <w:bookmarkStart w:id="50" w:name="1.4.5社会经济_"/>
      <w:bookmarkEnd w:id="50"/>
      <w:r>
        <w:rPr>
          <w:rFonts w:hint="default" w:ascii="Times New Roman" w:hAnsi="Times New Roman" w:eastAsia="楷体_GB2312" w:cs="Times New Roman"/>
          <w:sz w:val="32"/>
          <w:szCs w:val="32"/>
          <w:lang w:val="en-US"/>
        </w:rPr>
        <w:t>2.</w:t>
      </w:r>
      <w:r>
        <w:rPr>
          <w:rFonts w:hint="default" w:ascii="Times New Roman" w:hAnsi="Times New Roman" w:eastAsia="楷体_GB2312" w:cs="Times New Roman"/>
          <w:sz w:val="32"/>
          <w:szCs w:val="32"/>
          <w:lang w:val="en-US" w:eastAsia="zh-CN"/>
        </w:rPr>
        <w:t>1</w:t>
      </w:r>
      <w:r>
        <w:rPr>
          <w:rFonts w:hint="default" w:ascii="Times New Roman" w:hAnsi="Times New Roman" w:eastAsia="楷体_GB2312" w:cs="Times New Roman"/>
          <w:sz w:val="32"/>
          <w:szCs w:val="32"/>
          <w:lang w:val="en-US"/>
        </w:rPr>
        <w:t>.</w:t>
      </w:r>
      <w:r>
        <w:rPr>
          <w:rFonts w:hint="default" w:ascii="Times New Roman" w:hAnsi="Times New Roman" w:eastAsia="楷体_GB2312" w:cs="Times New Roman"/>
          <w:sz w:val="32"/>
          <w:szCs w:val="32"/>
          <w:lang w:val="en-US" w:eastAsia="zh-CN"/>
        </w:rPr>
        <w:t>4</w:t>
      </w:r>
      <w:r>
        <w:rPr>
          <w:rFonts w:hint="default" w:ascii="Times New Roman" w:hAnsi="Times New Roman" w:eastAsia="楷体_GB2312" w:cs="Times New Roman"/>
          <w:sz w:val="32"/>
          <w:szCs w:val="32"/>
          <w:lang w:val="en-US"/>
        </w:rPr>
        <w:t>生物资源</w:t>
      </w:r>
    </w:p>
    <w:p w14:paraId="5F909DAA">
      <w:pPr>
        <w:keepNext w:val="0"/>
        <w:keepLines w:val="0"/>
        <w:pageBreakBefore w:val="0"/>
        <w:widowControl w:val="0"/>
        <w:kinsoku/>
        <w:wordWrap/>
        <w:overflowPunct/>
        <w:autoSpaceDE w:val="0"/>
        <w:autoSpaceDN w:val="0"/>
        <w:bidi w:val="0"/>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安居区境内地势平坦，土壤肥沃，适宜水稻、玉米、小麦等多种粮食作物；棉花、油料、</w:t>
      </w:r>
      <w:r>
        <w:rPr>
          <w:rFonts w:hint="eastAsia" w:ascii="Times New Roman" w:hAnsi="Times New Roman" w:eastAsia="仿宋_GB2312" w:cs="Times New Roman"/>
          <w:sz w:val="32"/>
          <w:szCs w:val="32"/>
          <w:lang w:val="en-US" w:eastAsia="zh-CN"/>
        </w:rPr>
        <w:t>甘蔗</w:t>
      </w:r>
      <w:r>
        <w:rPr>
          <w:rFonts w:hint="default" w:ascii="Times New Roman" w:hAnsi="Times New Roman" w:eastAsia="仿宋_GB2312" w:cs="Times New Roman"/>
          <w:sz w:val="32"/>
          <w:szCs w:val="32"/>
          <w:lang w:val="en-US"/>
        </w:rPr>
        <w:t>、海椒、麻竹笋、中药材等经济作物；柑桔、苹果、梨、桃等多种水果。安居区林地总面积41990.21公顷，森林覆盖率32.6%；全区共有木本植物110种，隶属于61科、66属。属国家保护植物的有水杉、攀枝花苏铁、银杏、鹅掌楸、翠柏、红豆树等，还有百年以上的黄桷树等古树。</w:t>
      </w:r>
    </w:p>
    <w:p w14:paraId="07C587A6">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50" w:lineRule="exact"/>
        <w:ind w:left="0" w:firstLine="643" w:firstLineChars="200"/>
        <w:jc w:val="both"/>
        <w:textAlignment w:val="auto"/>
        <w:rPr>
          <w:rFonts w:hint="default" w:ascii="Times New Roman" w:hAnsi="Times New Roman" w:eastAsia="楷体_GB2312" w:cs="Times New Roman"/>
          <w:sz w:val="32"/>
          <w:szCs w:val="32"/>
          <w:lang w:val="en-US"/>
        </w:rPr>
      </w:pPr>
      <w:r>
        <w:rPr>
          <w:rFonts w:hint="default" w:ascii="Times New Roman" w:hAnsi="Times New Roman" w:eastAsia="楷体_GB2312" w:cs="Times New Roman"/>
          <w:sz w:val="32"/>
          <w:szCs w:val="32"/>
          <w:lang w:val="en-US"/>
        </w:rPr>
        <w:t>2.</w:t>
      </w:r>
      <w:r>
        <w:rPr>
          <w:rFonts w:hint="default" w:ascii="Times New Roman" w:hAnsi="Times New Roman" w:eastAsia="楷体_GB2312" w:cs="Times New Roman"/>
          <w:sz w:val="32"/>
          <w:szCs w:val="32"/>
          <w:lang w:val="en-US" w:eastAsia="zh-CN"/>
        </w:rPr>
        <w:t>1.5</w:t>
      </w:r>
      <w:r>
        <w:rPr>
          <w:rFonts w:hint="default" w:ascii="Times New Roman" w:hAnsi="Times New Roman" w:eastAsia="楷体_GB2312" w:cs="Times New Roman"/>
          <w:sz w:val="32"/>
          <w:szCs w:val="32"/>
          <w:lang w:val="en-US"/>
        </w:rPr>
        <w:t>矿产资源</w:t>
      </w:r>
    </w:p>
    <w:p w14:paraId="61CB16D5">
      <w:pPr>
        <w:keepNext w:val="0"/>
        <w:keepLines w:val="0"/>
        <w:pageBreakBefore w:val="0"/>
        <w:widowControl w:val="0"/>
        <w:kinsoku/>
        <w:wordWrap/>
        <w:overflowPunct/>
        <w:autoSpaceDE w:val="0"/>
        <w:autoSpaceDN w:val="0"/>
        <w:bidi w:val="0"/>
        <w:spacing w:line="550" w:lineRule="exact"/>
        <w:ind w:firstLine="640" w:firstLineChars="200"/>
        <w:jc w:val="both"/>
        <w:textAlignment w:val="auto"/>
        <w:rPr>
          <w:rFonts w:hint="default" w:ascii="Times New Roman" w:hAnsi="Times New Roman" w:eastAsia="黑体" w:cs="Times New Roman"/>
          <w:b/>
          <w:bCs/>
          <w:sz w:val="32"/>
          <w:szCs w:val="32"/>
          <w:lang w:val="en-US"/>
        </w:rPr>
      </w:pPr>
      <w:r>
        <w:rPr>
          <w:rFonts w:hint="default" w:ascii="Times New Roman" w:hAnsi="Times New Roman" w:eastAsia="仿宋_GB2312" w:cs="Times New Roman"/>
          <w:sz w:val="32"/>
          <w:szCs w:val="32"/>
          <w:lang w:val="en-US"/>
        </w:rPr>
        <w:t>境内矿产资源以非金属矿产为主，天然气、盐卤、沙金、页岩等蕴藏极其丰富。天然气远景储量达10000亿立方米以上，探明地质储量4403.85亿立方米，中石油位于中国的天然气净化厂可净化处理天然气120亿立方米/年，生产液化气4500吨、轻油1900吨、硫磺18万吨。硫磺纯度达到99.99%，是硫化工的理想原料。</w:t>
      </w:r>
      <w:bookmarkStart w:id="51" w:name="1.5整治乡镇基本情况介绍_"/>
      <w:bookmarkEnd w:id="51"/>
      <w:bookmarkStart w:id="52" w:name="_bookmark5"/>
      <w:bookmarkEnd w:id="52"/>
      <w:bookmarkStart w:id="53" w:name="_Toc27571"/>
    </w:p>
    <w:p w14:paraId="43075B22">
      <w:pPr>
        <w:pStyle w:val="12"/>
        <w:keepNext w:val="0"/>
        <w:keepLines w:val="0"/>
        <w:pageBreakBefore w:val="0"/>
        <w:widowControl w:val="0"/>
        <w:kinsoku/>
        <w:wordWrap/>
        <w:overflowPunct/>
        <w:topLinePunct w:val="0"/>
        <w:autoSpaceDE w:val="0"/>
        <w:autoSpaceDN w:val="0"/>
        <w:bidi w:val="0"/>
        <w:adjustRightInd/>
        <w:snapToGrid/>
        <w:spacing w:line="550"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bidi="zh-CN"/>
        </w:rPr>
      </w:pPr>
      <w:bookmarkStart w:id="54" w:name="_Toc32185"/>
      <w:r>
        <w:rPr>
          <w:rFonts w:hint="default" w:ascii="Times New Roman" w:hAnsi="Times New Roman" w:eastAsia="黑体" w:cs="Times New Roman"/>
          <w:b w:val="0"/>
          <w:bCs w:val="0"/>
          <w:sz w:val="32"/>
          <w:szCs w:val="32"/>
          <w:lang w:val="en-US" w:eastAsia="zh-CN" w:bidi="zh-CN"/>
        </w:rPr>
        <w:t>2.2各片区情况</w:t>
      </w:r>
      <w:bookmarkEnd w:id="54"/>
    </w:p>
    <w:bookmarkEnd w:id="53"/>
    <w:p w14:paraId="7D0A4F24">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50" w:lineRule="exact"/>
        <w:ind w:lef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2.2.1城乡融合片</w:t>
      </w:r>
    </w:p>
    <w:p w14:paraId="33FFA080">
      <w:pPr>
        <w:keepNext w:val="0"/>
        <w:keepLines w:val="0"/>
        <w:pageBreakBefore w:val="0"/>
        <w:widowControl w:val="0"/>
        <w:kinsoku/>
        <w:wordWrap/>
        <w:overflowPunct/>
        <w:topLinePunct/>
        <w:autoSpaceDE w:val="0"/>
        <w:autoSpaceDN w:val="0"/>
        <w:bidi w:val="0"/>
        <w:adjustRightInd w:val="0"/>
        <w:snapToGrid w:val="0"/>
        <w:spacing w:line="550" w:lineRule="exact"/>
        <w:ind w:firstLine="640"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sz w:val="32"/>
          <w:szCs w:val="32"/>
          <w:lang w:val="en-US" w:eastAsia="zh-CN"/>
        </w:rPr>
        <w:t>片区内设有遂渝环线高速、遂内高速、国道G318、G247、省道S209、S207等道路，对外交较为便捷。片区内凤凰、柔刚街道属安居主城区，是安居区政治、经济文化中心。玉丰、聚贤、会龙三镇是融入“双城”的重要纽带，三家与安居同属琼江乡村振兴走廊核心区。</w:t>
      </w:r>
      <w:r>
        <w:rPr>
          <w:rFonts w:hint="eastAsia" w:ascii="Times New Roman" w:hAnsi="Times New Roman" w:eastAsia="仿宋_GB2312" w:cs="Times New Roman"/>
          <w:sz w:val="32"/>
          <w:szCs w:val="32"/>
          <w:lang w:val="en-US" w:eastAsia="zh-CN"/>
        </w:rPr>
        <w:t>截至</w:t>
      </w:r>
      <w:r>
        <w:rPr>
          <w:rFonts w:hint="default" w:ascii="Times New Roman" w:hAnsi="Times New Roman" w:eastAsia="仿宋_GB2312" w:cs="Times New Roman"/>
          <w:sz w:val="32"/>
          <w:szCs w:val="32"/>
          <w:lang w:val="en-US" w:eastAsia="zh-CN"/>
        </w:rPr>
        <w:t>2021年，片区户籍人口约25.03万人，常住人口约16.64万人。人口高度集中在县城，场镇及农村人口普遍较少。片区内净流出8.39万人，净流出率为33.52%，人口呈流出态势。区城镇人口合计约5.98万人，乡村人口合计约19.12万人，户籍人口城镇化率仅为23.65%，户籍人口城镇化率较低。60岁及以上人口占20.80%，老龄化趋势明显。片区内农业为主导产业，农业基础较好，农业特色初具态势。以优质粮油为主，种植规模大，产量较高。片区是优质粮油的重要生产基地。主要类型包括水稻、玉米、油菜和红薯。蔬菜水果中药材等特色产业逐渐凸显。安居镇、聚贤镇和会龙镇在蔬菜水果和中药材等特色产业的发展以经形成一定规模，具备一定的发展基础。农业园区化、规模化发展初具态势。三家大米现代农业园区获批省级农业产业园，建成集粮食烘干、农机服务、稻艺编制、农耕体验、教育教学于一体的综合型服务基地。会龙“524”红苕现代农业园区获批市级农业产业园，家庭农场培育逐见成效，全片区共计培育家庭农场522家。片区内商贸业以传统个体商贸服务为主，发展水平不高。历史文化资源转化不足，农旅融合欠佳。片区旅游景点较少，客流量不足，旅游形式较为初级。片区旅游景点主要有千亩芍药基地、龙婷生态庄园、妙思农场、黄娥古镇、凤舞琼花风景区、七彩明珠景区等，年均客流量较少，旅游接待除镇区内的酒店外，其余为农家乐形式，片区共计农家乐10余处。片区旅游形式主要为观光、垂钓、采摘，旅游产业发展阶段初级。</w:t>
      </w:r>
    </w:p>
    <w:p w14:paraId="0A009B84">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50" w:lineRule="exact"/>
        <w:ind w:left="0" w:firstLine="643"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2.2.2横山文农旅融合片</w:t>
      </w:r>
    </w:p>
    <w:p w14:paraId="09130918">
      <w:pPr>
        <w:keepNext w:val="0"/>
        <w:keepLines w:val="0"/>
        <w:pageBreakBefore w:val="0"/>
        <w:widowControl w:val="0"/>
        <w:kinsoku/>
        <w:wordWrap/>
        <w:overflowPunct/>
        <w:topLinePunct/>
        <w:autoSpaceDE w:val="0"/>
        <w:autoSpaceDN w:val="0"/>
        <w:bidi w:val="0"/>
        <w:adjustRightInd w:val="0"/>
        <w:snapToGrid w:val="0"/>
        <w:spacing w:line="55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横山文农旅融合片区位于安居区北部，南接聚贤镇、会龙镇，北靠大英区，西抵白马镇，东临遂宁市船山区。本片区西距成都市区约162公里，东距重庆市区约165公里，片区内有遂资眉高速公路，在横山镇设有出入口1个，片区内有省道S209、县道X010、X006等道路。</w:t>
      </w:r>
      <w:r>
        <w:rPr>
          <w:rFonts w:hint="eastAsia" w:ascii="Times New Roman" w:hAnsi="Times New Roman" w:eastAsia="仿宋_GB2312" w:cs="Times New Roman"/>
          <w:sz w:val="32"/>
          <w:szCs w:val="32"/>
          <w:lang w:val="en-US" w:eastAsia="zh-CN"/>
        </w:rPr>
        <w:t>截至</w:t>
      </w:r>
      <w:r>
        <w:rPr>
          <w:rFonts w:hint="default" w:ascii="Times New Roman" w:hAnsi="Times New Roman" w:eastAsia="仿宋_GB2312" w:cs="Times New Roman"/>
          <w:sz w:val="32"/>
          <w:szCs w:val="32"/>
          <w:lang w:val="en-US" w:eastAsia="zh-CN"/>
        </w:rPr>
        <w:t>2021年末，片区户籍人口约9.28万人，常住人口约2.99万人。片区依托沼气文化、公社文化、书院文化资源，大力发展粮油基础产业、莲藕特色产业、文旅融合产业。片区建成跨“两镇七村”的“一核两环三片四线七景”“凯歌公社1974”文农旅项目，打造跨镇联村协作田园综合体，争创4A级景区，打造省级乡村振兴文农旅示范新样板片区。</w:t>
      </w:r>
    </w:p>
    <w:p w14:paraId="0809820D">
      <w:pPr>
        <w:keepNext w:val="0"/>
        <w:keepLines w:val="0"/>
        <w:pageBreakBefore w:val="0"/>
        <w:widowControl w:val="0"/>
        <w:kinsoku/>
        <w:wordWrap/>
        <w:overflowPunct/>
        <w:topLinePunct/>
        <w:autoSpaceDE w:val="0"/>
        <w:autoSpaceDN w:val="0"/>
        <w:bidi w:val="0"/>
        <w:adjustRightInd w:val="0"/>
        <w:snapToGrid w:val="0"/>
        <w:spacing w:line="550" w:lineRule="exact"/>
        <w:ind w:firstLine="643"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楷体_GB2312" w:cs="Times New Roman"/>
          <w:b/>
          <w:bCs/>
          <w:sz w:val="32"/>
          <w:szCs w:val="32"/>
          <w:lang w:val="en-US" w:eastAsia="zh-CN" w:bidi="zh-CN"/>
        </w:rPr>
        <w:t>2.2.3莲花湖现代农业片区</w:t>
      </w:r>
    </w:p>
    <w:p w14:paraId="0F79DE91">
      <w:pPr>
        <w:keepNext w:val="0"/>
        <w:keepLines w:val="0"/>
        <w:pageBreakBefore w:val="0"/>
        <w:widowControl w:val="0"/>
        <w:kinsoku/>
        <w:wordWrap/>
        <w:overflowPunct/>
        <w:topLinePunct/>
        <w:autoSpaceDE w:val="0"/>
        <w:autoSpaceDN w:val="0"/>
        <w:bidi w:val="0"/>
        <w:adjustRightInd w:val="0"/>
        <w:snapToGrid w:val="0"/>
        <w:spacing w:line="55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莲花湖现代农业片区位于安居区西部，整体属于川中丘陵腹地，区位优势明显，位于成都1小时经济圈内，属成渝后花园。东接石洞镇，西连龙门镇，北通卓筒井镇，南达蟠龙镇。片区内水文资源丰富，莲花湖水域面积达10平方公里，四个镇区边界相连，特色产业突出，连片发展初具规模，农业基础良好。片区内遂资眉高速穿镜而过，设有遂资眉高速公路出入口2个，国道G318、县道X072、X006等7条主要交通道路，片区内部遂乐路、建设街、玉分路形成三角环线，对外交通主要依靠遂资眉高速、玉分路、遂乐路，交通便利较为通达。片区乡村旅游已渐成气候，拦江镇地处两市三县交界处，辐射带动白马镇、保石镇、中兴镇经济发展。</w:t>
      </w:r>
    </w:p>
    <w:p w14:paraId="7B53845E">
      <w:pPr>
        <w:keepNext w:val="0"/>
        <w:keepLines w:val="0"/>
        <w:pageBreakBefore w:val="0"/>
        <w:widowControl w:val="0"/>
        <w:kinsoku/>
        <w:wordWrap/>
        <w:overflowPunct/>
        <w:topLinePunct/>
        <w:autoSpaceDE w:val="0"/>
        <w:autoSpaceDN w:val="0"/>
        <w:bidi w:val="0"/>
        <w:adjustRightInd w:val="0"/>
        <w:snapToGrid w:val="0"/>
        <w:spacing w:line="55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片区三产主要以旅游服务以及传统个体商贸服务为主，发展水平不高，历史文化资源转化不足，农旅融合发展暂未形成气候，三产暂未成型。片区旅游景点资源保存较为完好，但客流量不足，旅游形式较为初级。水文资源、生态基底、历史文化底蕴较好，旅游资源后期可挖掘开发。片区莲花湖位于片区中心，结合产业发展，修建产业路，盘活整片乡村旅游，片区内还有毗庐寺省级文物保护单位，平宁国有林、雪山卫士谭东等文旅资源。旅游接待除镇区内的酒店外，其余为农家乐等形式，旅游形式主要为观光、垂钓、农场采摘等，旅游产业发展阶段较为初级。</w:t>
      </w:r>
    </w:p>
    <w:p w14:paraId="2488E183">
      <w:pPr>
        <w:keepNext w:val="0"/>
        <w:keepLines w:val="0"/>
        <w:pageBreakBefore w:val="0"/>
        <w:widowControl w:val="0"/>
        <w:kinsoku/>
        <w:wordWrap/>
        <w:overflowPunct/>
        <w:topLinePunct/>
        <w:autoSpaceDE w:val="0"/>
        <w:autoSpaceDN w:val="0"/>
        <w:bidi w:val="0"/>
        <w:adjustRightInd w:val="0"/>
        <w:snapToGrid w:val="0"/>
        <w:spacing w:line="550" w:lineRule="exact"/>
        <w:ind w:firstLine="643" w:firstLineChars="200"/>
        <w:jc w:val="both"/>
        <w:textAlignment w:val="auto"/>
        <w:rPr>
          <w:rFonts w:hint="default" w:ascii="Times New Roman" w:hAnsi="Times New Roman" w:eastAsia="楷体_GB2312" w:cs="Times New Roman"/>
          <w:b/>
          <w:bCs/>
          <w:sz w:val="32"/>
          <w:szCs w:val="32"/>
          <w:lang w:val="en-US" w:eastAsia="zh-CN" w:bidi="zh-CN"/>
        </w:rPr>
      </w:pPr>
      <w:r>
        <w:rPr>
          <w:rFonts w:hint="default" w:ascii="Times New Roman" w:hAnsi="Times New Roman" w:eastAsia="楷体_GB2312" w:cs="Times New Roman"/>
          <w:b/>
          <w:bCs/>
          <w:sz w:val="32"/>
          <w:szCs w:val="32"/>
          <w:lang w:val="en-US" w:eastAsia="zh-CN" w:bidi="zh-CN"/>
        </w:rPr>
        <w:t>2.2.4琼江生态种养片区</w:t>
      </w:r>
    </w:p>
    <w:p w14:paraId="2E50BF35">
      <w:pPr>
        <w:keepNext w:val="0"/>
        <w:keepLines w:val="0"/>
        <w:pageBreakBefore w:val="0"/>
        <w:widowControl w:val="0"/>
        <w:kinsoku/>
        <w:wordWrap/>
        <w:overflowPunct/>
        <w:topLinePunct/>
        <w:autoSpaceDE w:val="0"/>
        <w:autoSpaceDN w:val="0"/>
        <w:bidi w:val="0"/>
        <w:adjustRightInd w:val="0"/>
        <w:snapToGrid w:val="0"/>
        <w:spacing w:line="55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琼江生态种养片区辖3个镇，46个行政村，4个社区，368个村民小组，</w:t>
      </w:r>
      <w:r>
        <w:rPr>
          <w:rFonts w:hint="eastAsia" w:ascii="Times New Roman" w:hAnsi="Times New Roman" w:eastAsia="仿宋_GB2312" w:cs="Times New Roman"/>
          <w:sz w:val="32"/>
          <w:szCs w:val="32"/>
          <w:lang w:val="en-US" w:eastAsia="zh-CN"/>
        </w:rPr>
        <w:t>截至</w:t>
      </w:r>
      <w:r>
        <w:rPr>
          <w:rFonts w:hint="default" w:ascii="Times New Roman" w:hAnsi="Times New Roman" w:eastAsia="仿宋_GB2312" w:cs="Times New Roman"/>
          <w:sz w:val="32"/>
          <w:szCs w:val="32"/>
          <w:lang w:val="en-US" w:eastAsia="zh-CN"/>
        </w:rPr>
        <w:t>2021年末，片区户籍人口约12.34万，常住人口约6.1万。片区商贸旅游业以传统个体商贸服务为主，发展水平不高，历史文化资源转化不足，农旅融合欠佳，三产暂未成型。片区旅游景点较少，客流量不足，旅游形式较为初级。但片区水文资源、生态基底、历史文化底蕴较好，旅游资源可挖掘，后期待开发。片区东禅镇境内有东禅寺、伍先华故居（红色文化），分水镇内有分水白塔、境内石工号子被列入省级非物质文化遗产名录，石洞镇包含石洞古桥、梵慧寺摩崖造像及石刻，现有32龛造像及石刻碑记，共有造像数百余尊。旅游接待除镇区内的酒店外，其余为农家乐形式，旅游形式主要为观光、垂钓、采摘等，旅游产业发展阶段较为初级。</w:t>
      </w:r>
    </w:p>
    <w:p w14:paraId="7DAD33C6">
      <w:pPr>
        <w:keepNext w:val="0"/>
        <w:keepLines w:val="0"/>
        <w:pageBreakBefore w:val="0"/>
        <w:widowControl w:val="0"/>
        <w:kinsoku/>
        <w:wordWrap/>
        <w:overflowPunct/>
        <w:topLinePunct/>
        <w:autoSpaceDE w:val="0"/>
        <w:autoSpaceDN w:val="0"/>
        <w:bidi w:val="0"/>
        <w:adjustRightInd w:val="0"/>
        <w:snapToGrid w:val="0"/>
        <w:spacing w:line="550" w:lineRule="exact"/>
        <w:ind w:firstLine="643" w:firstLineChars="200"/>
        <w:jc w:val="both"/>
        <w:textAlignment w:val="auto"/>
        <w:rPr>
          <w:rFonts w:hint="default" w:ascii="Times New Roman" w:hAnsi="Times New Roman" w:eastAsia="楷体_GB2312" w:cs="Times New Roman"/>
          <w:b/>
          <w:bCs/>
          <w:sz w:val="32"/>
          <w:szCs w:val="32"/>
          <w:lang w:val="en-US" w:eastAsia="zh-CN" w:bidi="zh-CN"/>
        </w:rPr>
      </w:pPr>
      <w:r>
        <w:rPr>
          <w:rFonts w:hint="default" w:ascii="Times New Roman" w:hAnsi="Times New Roman" w:eastAsia="楷体_GB2312" w:cs="Times New Roman"/>
          <w:b/>
          <w:bCs/>
          <w:sz w:val="32"/>
          <w:szCs w:val="32"/>
          <w:lang w:val="en-US" w:eastAsia="zh-CN" w:bidi="zh-CN"/>
        </w:rPr>
        <w:t>2.2.5遂潼三产融合片区</w:t>
      </w:r>
    </w:p>
    <w:p w14:paraId="20C0EBA2">
      <w:pPr>
        <w:keepNext w:val="0"/>
        <w:keepLines w:val="0"/>
        <w:pageBreakBefore w:val="0"/>
        <w:widowControl w:val="0"/>
        <w:suppressLineNumbers w:val="0"/>
        <w:kinsoku/>
        <w:wordWrap/>
        <w:overflowPunct/>
        <w:autoSpaceDE w:val="0"/>
        <w:autoSpaceDN w:val="0"/>
        <w:bidi w:val="0"/>
        <w:spacing w:line="55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片区位于遂潼川渝毗邻地区一体化发展先行区总体方案确定现代产业创新走廊上，规划中的遂潼之心天然气综合利用片区（遂宁部分）位于片区内的磨溪镇。遂潼三产融合片区内天然气储量规模大，磨溪龙王庙组气藏跨四川省、重庆市，探明天然气地质储量达4403.83亿立方米，是迄今为止我国发现的单体规模最大的特大型海相整装气藏。位于磨溪镇内的中石油100亿立方米/年天然气净化厂已建成投产。现有1处省级文物保护单位，为十圣宫，位于西眉镇镇区边缘，片区内无自然保护地和风景名胜区。</w:t>
      </w:r>
    </w:p>
    <w:p w14:paraId="298DB8FF">
      <w:pPr>
        <w:keepNext w:val="0"/>
        <w:keepLines w:val="0"/>
        <w:widowControl/>
        <w:suppressLineNumbers w:val="0"/>
        <w:ind w:firstLine="560" w:firstLineChars="200"/>
        <w:jc w:val="left"/>
        <w:rPr>
          <w:rFonts w:hint="default" w:ascii="Times New Roman" w:hAnsi="Times New Roman" w:eastAsia="仿宋_GB2312" w:cs="Times New Roman"/>
        </w:rPr>
      </w:pPr>
    </w:p>
    <w:p w14:paraId="1EA2A3FE">
      <w:pPr>
        <w:topLinePunct/>
        <w:adjustRightInd w:val="0"/>
        <w:snapToGrid w:val="0"/>
        <w:spacing w:line="365" w:lineRule="auto"/>
        <w:ind w:firstLine="560" w:firstLineChars="200"/>
        <w:rPr>
          <w:rFonts w:hint="default" w:ascii="Times New Roman" w:hAnsi="Times New Roman" w:eastAsia="仿宋_GB2312" w:cs="Times New Roman"/>
          <w:lang w:val="en-US" w:eastAsia="zh-CN"/>
        </w:rPr>
      </w:pPr>
    </w:p>
    <w:p w14:paraId="0977C9D8">
      <w:pPr>
        <w:pStyle w:val="3"/>
        <w:numPr>
          <w:ilvl w:val="0"/>
          <w:numId w:val="0"/>
        </w:numPr>
        <w:tabs>
          <w:tab w:val="left" w:pos="1275"/>
          <w:tab w:val="center" w:pos="4152"/>
          <w:tab w:val="clear" w:pos="3260"/>
        </w:tabs>
        <w:spacing w:before="1"/>
        <w:jc w:val="left"/>
        <w:outlineLvl w:val="9"/>
        <w:rPr>
          <w:rFonts w:hint="default" w:ascii="Times New Roman" w:hAnsi="Times New Roman" w:eastAsia="黑体" w:cs="Times New Roman"/>
          <w:color w:val="00B050"/>
          <w:sz w:val="28"/>
          <w:szCs w:val="22"/>
          <w:lang w:val="en-US" w:eastAsia="zh-CN"/>
        </w:rPr>
        <w:sectPr>
          <w:footerReference r:id="rId5" w:type="default"/>
          <w:footerReference r:id="rId6" w:type="even"/>
          <w:pgSz w:w="11905" w:h="16838"/>
          <w:pgMar w:top="2098" w:right="1474" w:bottom="1984" w:left="1587" w:header="1020" w:footer="1417" w:gutter="0"/>
          <w:pgNumType w:fmt="decimal" w:start="1"/>
          <w:cols w:space="0" w:num="1"/>
          <w:rtlGutter w:val="0"/>
          <w:docGrid w:linePitch="0" w:charSpace="0"/>
        </w:sectPr>
      </w:pPr>
    </w:p>
    <w:p w14:paraId="257F9C04">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line="550" w:lineRule="exact"/>
        <w:ind w:leftChars="0"/>
        <w:jc w:val="center"/>
        <w:textAlignment w:val="auto"/>
        <w:rPr>
          <w:rFonts w:hint="default" w:ascii="Times New Roman" w:hAnsi="Times New Roman" w:eastAsia="方正小标宋简体" w:cs="Times New Roman"/>
          <w:b w:val="0"/>
          <w:bCs w:val="0"/>
          <w:sz w:val="44"/>
          <w:szCs w:val="44"/>
          <w:lang w:val="en-US" w:eastAsia="zh-CN"/>
        </w:rPr>
      </w:pPr>
      <w:bookmarkStart w:id="55" w:name="_第二章__项目整治区域范围及问题_"/>
      <w:bookmarkEnd w:id="55"/>
      <w:bookmarkStart w:id="56" w:name="第四章__项目整治内容设计和措施_"/>
      <w:bookmarkEnd w:id="56"/>
      <w:bookmarkStart w:id="57" w:name="_Toc951"/>
      <w:bookmarkStart w:id="58" w:name="_Toc4089"/>
      <w:bookmarkStart w:id="59" w:name="_Toc31264"/>
      <w:bookmarkStart w:id="60" w:name="_Toc10786"/>
      <w:bookmarkStart w:id="61" w:name="_Toc19688"/>
      <w:bookmarkStart w:id="62" w:name="_Toc17639"/>
      <w:r>
        <w:rPr>
          <w:rFonts w:hint="eastAsia" w:ascii="Times New Roman" w:hAnsi="Times New Roman" w:eastAsia="方正小标宋简体" w:cs="Times New Roman"/>
          <w:b w:val="0"/>
          <w:bCs w:val="0"/>
          <w:sz w:val="44"/>
          <w:szCs w:val="44"/>
          <w:lang w:val="en-US" w:eastAsia="zh-CN"/>
        </w:rPr>
        <w:t xml:space="preserve">第三章   </w:t>
      </w:r>
      <w:r>
        <w:rPr>
          <w:rFonts w:hint="default" w:ascii="Times New Roman" w:hAnsi="Times New Roman" w:eastAsia="方正小标宋简体" w:cs="Times New Roman"/>
          <w:b w:val="0"/>
          <w:bCs w:val="0"/>
          <w:sz w:val="44"/>
          <w:szCs w:val="44"/>
          <w:lang w:val="en-US" w:eastAsia="zh-CN"/>
        </w:rPr>
        <w:t>治理技术方案</w:t>
      </w:r>
      <w:bookmarkEnd w:id="57"/>
    </w:p>
    <w:p w14:paraId="05C81C0B">
      <w:pPr>
        <w:keepNext w:val="0"/>
        <w:keepLines w:val="0"/>
        <w:pageBreakBefore w:val="0"/>
        <w:widowControl w:val="0"/>
        <w:kinsoku/>
        <w:wordWrap/>
        <w:overflowPunct/>
        <w:topLinePunct w:val="0"/>
        <w:autoSpaceDE w:val="0"/>
        <w:autoSpaceDN w:val="0"/>
        <w:bidi w:val="0"/>
        <w:adjustRightInd/>
        <w:snapToGrid/>
        <w:spacing w:line="550" w:lineRule="exact"/>
        <w:textAlignment w:val="auto"/>
        <w:rPr>
          <w:rFonts w:hint="default" w:ascii="Times New Roman" w:hAnsi="Times New Roman" w:cs="Times New Roman"/>
          <w:sz w:val="32"/>
          <w:szCs w:val="32"/>
          <w:lang w:val="en-US" w:eastAsia="zh-CN"/>
        </w:rPr>
      </w:pPr>
    </w:p>
    <w:p w14:paraId="68B915F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outlineLvl w:val="1"/>
        <w:rPr>
          <w:rFonts w:hint="default" w:ascii="Times New Roman" w:hAnsi="Times New Roman" w:eastAsia="黑体" w:cs="Times New Roman"/>
          <w:b w:val="0"/>
          <w:bCs w:val="0"/>
          <w:sz w:val="32"/>
          <w:szCs w:val="32"/>
          <w:lang w:val="en-US" w:eastAsia="zh-CN" w:bidi="zh-CN"/>
        </w:rPr>
      </w:pPr>
      <w:bookmarkStart w:id="63" w:name="_Toc8120"/>
      <w:r>
        <w:rPr>
          <w:rFonts w:hint="default" w:ascii="Times New Roman" w:hAnsi="Times New Roman" w:eastAsia="黑体" w:cs="Times New Roman"/>
          <w:b w:val="0"/>
          <w:bCs w:val="0"/>
          <w:sz w:val="32"/>
          <w:szCs w:val="32"/>
          <w:lang w:val="en-US" w:eastAsia="zh-CN" w:bidi="zh-CN"/>
        </w:rPr>
        <w:t>3.1治理方式的选择</w:t>
      </w:r>
      <w:bookmarkEnd w:id="58"/>
      <w:bookmarkEnd w:id="59"/>
      <w:bookmarkEnd w:id="63"/>
    </w:p>
    <w:p w14:paraId="3F1B7C21">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规划根据每个村落实际情况和居民接受程度，采取污染治理和资源有效利用，多元化的污水治理模式，提高污水资源化利用水平，降低治理成本，从而使农村生活污水治理有效的推进。根据农村生活污水处理终端模式的分类、特点及适用条件各不相同，主要由包括纳厂处理、集中处理、分散处理、资源化利用四类。</w:t>
      </w:r>
    </w:p>
    <w:p w14:paraId="4D709E05">
      <w:pPr>
        <w:pStyle w:val="12"/>
        <w:keepNext w:val="0"/>
        <w:keepLines w:val="0"/>
        <w:pageBreakBefore w:val="0"/>
        <w:widowControl w:val="0"/>
        <w:kinsoku/>
        <w:wordWrap/>
        <w:overflowPunct/>
        <w:topLinePunct w:val="0"/>
        <w:autoSpaceDE w:val="0"/>
        <w:autoSpaceDN w:val="0"/>
        <w:bidi w:val="0"/>
        <w:adjustRightInd/>
        <w:snapToGrid/>
        <w:spacing w:line="550" w:lineRule="exact"/>
        <w:ind w:right="374" w:firstLine="643" w:firstLineChars="200"/>
        <w:jc w:val="both"/>
        <w:textAlignment w:val="auto"/>
        <w:rPr>
          <w:rFonts w:hint="default" w:ascii="Times New Roman" w:hAnsi="Times New Roman" w:eastAsia="楷体_GB2312" w:cs="Times New Roman"/>
          <w:b/>
          <w:bCs/>
          <w:sz w:val="32"/>
          <w:szCs w:val="32"/>
          <w:lang w:val="en-US"/>
        </w:rPr>
      </w:pPr>
      <w:r>
        <w:rPr>
          <w:rFonts w:hint="default" w:ascii="Times New Roman" w:hAnsi="Times New Roman" w:eastAsia="楷体_GB2312" w:cs="Times New Roman"/>
          <w:b/>
          <w:bCs/>
          <w:sz w:val="32"/>
          <w:szCs w:val="32"/>
          <w:lang w:val="en-US"/>
        </w:rPr>
        <w:t>（1）纳</w:t>
      </w:r>
      <w:r>
        <w:rPr>
          <w:rFonts w:hint="default" w:ascii="Times New Roman" w:hAnsi="Times New Roman" w:eastAsia="楷体_GB2312" w:cs="Times New Roman"/>
          <w:b/>
          <w:bCs/>
          <w:sz w:val="32"/>
          <w:szCs w:val="32"/>
          <w:lang w:val="en-US" w:eastAsia="zh-CN"/>
        </w:rPr>
        <w:t>管</w:t>
      </w:r>
      <w:r>
        <w:rPr>
          <w:rFonts w:hint="default" w:ascii="Times New Roman" w:hAnsi="Times New Roman" w:eastAsia="楷体_GB2312" w:cs="Times New Roman"/>
          <w:b/>
          <w:bCs/>
          <w:sz w:val="32"/>
          <w:szCs w:val="32"/>
          <w:lang w:val="en-US"/>
        </w:rPr>
        <w:t>处理</w:t>
      </w:r>
    </w:p>
    <w:p w14:paraId="4E04BCF3">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将具有纳</w:t>
      </w:r>
      <w:r>
        <w:rPr>
          <w:rFonts w:hint="default" w:ascii="Times New Roman" w:hAnsi="Times New Roman" w:eastAsia="仿宋_GB2312" w:cs="Times New Roman"/>
          <w:sz w:val="32"/>
          <w:szCs w:val="32"/>
          <w:lang w:val="en-US" w:eastAsia="zh-CN"/>
        </w:rPr>
        <w:t>管</w:t>
      </w:r>
      <w:r>
        <w:rPr>
          <w:rFonts w:hint="default" w:ascii="Times New Roman" w:hAnsi="Times New Roman" w:eastAsia="仿宋_GB2312" w:cs="Times New Roman"/>
          <w:sz w:val="32"/>
          <w:szCs w:val="32"/>
          <w:lang w:val="en-US"/>
        </w:rPr>
        <w:t>条件的村庄或一定区域内产生的生活污水进行收集，重点进行完善管网建设，将该区域污水接入城市污水处理管道系统中，此方法具有处理厂规模大，水质、水量稳定，单位基建投资和运行费用低，易于集中管理等优点。适用于距离市政管网近（一般3公里以内），具备施工条件且附近污水处理厂有接纳能力的村庄。</w:t>
      </w:r>
    </w:p>
    <w:p w14:paraId="6D20D988">
      <w:pPr>
        <w:pStyle w:val="12"/>
        <w:keepNext w:val="0"/>
        <w:keepLines w:val="0"/>
        <w:pageBreakBefore w:val="0"/>
        <w:widowControl w:val="0"/>
        <w:kinsoku/>
        <w:wordWrap/>
        <w:overflowPunct/>
        <w:topLinePunct w:val="0"/>
        <w:autoSpaceDE w:val="0"/>
        <w:autoSpaceDN w:val="0"/>
        <w:bidi w:val="0"/>
        <w:adjustRightInd/>
        <w:snapToGrid/>
        <w:spacing w:line="550" w:lineRule="exact"/>
        <w:ind w:right="374" w:firstLine="643" w:firstLineChars="200"/>
        <w:jc w:val="both"/>
        <w:textAlignment w:val="auto"/>
        <w:rPr>
          <w:rFonts w:hint="default" w:ascii="Times New Roman" w:hAnsi="Times New Roman" w:eastAsia="楷体_GB2312" w:cs="Times New Roman"/>
          <w:b/>
          <w:bCs/>
          <w:sz w:val="32"/>
          <w:szCs w:val="32"/>
          <w:lang w:val="en-US"/>
        </w:rPr>
      </w:pPr>
      <w:r>
        <w:rPr>
          <w:rFonts w:hint="default" w:ascii="Times New Roman" w:hAnsi="Times New Roman" w:eastAsia="楷体_GB2312" w:cs="Times New Roman"/>
          <w:b/>
          <w:bCs/>
          <w:sz w:val="32"/>
          <w:szCs w:val="32"/>
          <w:lang w:val="en-US"/>
        </w:rPr>
        <w:t>（2）集中处理</w:t>
      </w:r>
    </w:p>
    <w:p w14:paraId="6DA62DC5">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通过较大范围的管网，对村庄或一定区域内产生的生活污水进行收集并建处理设施集中处理的方式。统一建设小型污水处理站，水质相对稳定，运行稳定，抗负荷冲击能力强，出水水质好。适用于人口相对集中的村、管网施工难度不大的村庄。</w:t>
      </w:r>
    </w:p>
    <w:p w14:paraId="603DC570">
      <w:pPr>
        <w:pStyle w:val="12"/>
        <w:keepNext w:val="0"/>
        <w:keepLines w:val="0"/>
        <w:pageBreakBefore w:val="0"/>
        <w:widowControl w:val="0"/>
        <w:kinsoku/>
        <w:wordWrap/>
        <w:overflowPunct/>
        <w:topLinePunct w:val="0"/>
        <w:autoSpaceDE w:val="0"/>
        <w:autoSpaceDN w:val="0"/>
        <w:bidi w:val="0"/>
        <w:adjustRightInd/>
        <w:snapToGrid/>
        <w:spacing w:line="550" w:lineRule="exact"/>
        <w:ind w:right="374" w:firstLine="643" w:firstLineChars="200"/>
        <w:jc w:val="both"/>
        <w:textAlignment w:val="auto"/>
        <w:rPr>
          <w:rFonts w:hint="default" w:ascii="Times New Roman" w:hAnsi="Times New Roman" w:eastAsia="楷体_GB2312" w:cs="Times New Roman"/>
          <w:b/>
          <w:bCs/>
          <w:sz w:val="32"/>
          <w:szCs w:val="32"/>
          <w:lang w:val="en-US"/>
        </w:rPr>
      </w:pPr>
      <w:r>
        <w:rPr>
          <w:rFonts w:hint="default" w:ascii="Times New Roman" w:hAnsi="Times New Roman" w:eastAsia="楷体_GB2312" w:cs="Times New Roman"/>
          <w:b/>
          <w:bCs/>
          <w:sz w:val="32"/>
          <w:szCs w:val="32"/>
          <w:lang w:val="en-US"/>
        </w:rPr>
        <w:t>（3）分散处理</w:t>
      </w:r>
    </w:p>
    <w:p w14:paraId="36E5C58F">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对单户或多户农村住户产生的生活污水通过收集后单独使用处理设施进行处理的方式，一般日处理能力小于5吨。该治理模式具有布局灵活、节约管网铺设成本、施工简单等特点，适用于地形复杂、地质条件差、布局分散、污水不易集中收集的村庄。</w:t>
      </w:r>
    </w:p>
    <w:p w14:paraId="4290FDE9">
      <w:pPr>
        <w:pStyle w:val="12"/>
        <w:keepNext w:val="0"/>
        <w:keepLines w:val="0"/>
        <w:pageBreakBefore w:val="0"/>
        <w:widowControl w:val="0"/>
        <w:kinsoku/>
        <w:wordWrap/>
        <w:overflowPunct/>
        <w:topLinePunct w:val="0"/>
        <w:autoSpaceDE w:val="0"/>
        <w:autoSpaceDN w:val="0"/>
        <w:bidi w:val="0"/>
        <w:adjustRightInd/>
        <w:snapToGrid/>
        <w:spacing w:line="550" w:lineRule="exact"/>
        <w:ind w:right="374" w:firstLine="643" w:firstLineChars="200"/>
        <w:jc w:val="both"/>
        <w:textAlignment w:val="auto"/>
        <w:rPr>
          <w:rFonts w:hint="default" w:ascii="Times New Roman" w:hAnsi="Times New Roman" w:eastAsia="楷体_GB2312" w:cs="Times New Roman"/>
          <w:b/>
          <w:bCs/>
          <w:sz w:val="32"/>
          <w:szCs w:val="32"/>
          <w:lang w:val="en-US"/>
        </w:rPr>
      </w:pPr>
      <w:r>
        <w:rPr>
          <w:rFonts w:hint="default" w:ascii="Times New Roman" w:hAnsi="Times New Roman" w:eastAsia="楷体_GB2312" w:cs="Times New Roman"/>
          <w:b/>
          <w:bCs/>
          <w:sz w:val="32"/>
          <w:szCs w:val="32"/>
          <w:lang w:val="en-US"/>
        </w:rPr>
        <w:t>（4）资源化利用</w:t>
      </w:r>
    </w:p>
    <w:p w14:paraId="29910907">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针对农村人口极少，以传统收集粪便的村，可考虑进行资源化利用。可对厕所进行必要的改进，如建带化粪池的公共厕所等，为农林生态系统消纳使用。化粪池或沼气池的污水可作为农肥使用，当不做农肥使用时，宜接污水设施或纳入村落管网处理后再排放，厨房用水目前一般排向房屋外周边的明沟，宜用管道收集排入化粪池。平时洗漱、洗衣污水等污水宜纳入排水系统进行处理。</w:t>
      </w:r>
    </w:p>
    <w:p w14:paraId="217BF8B1">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outlineLvl w:val="1"/>
        <w:rPr>
          <w:rFonts w:hint="default" w:ascii="Times New Roman" w:hAnsi="Times New Roman" w:eastAsia="黑体" w:cs="Times New Roman"/>
          <w:b w:val="0"/>
          <w:bCs w:val="0"/>
          <w:sz w:val="32"/>
          <w:szCs w:val="32"/>
          <w:lang w:val="en-US" w:eastAsia="zh-CN" w:bidi="zh-CN"/>
        </w:rPr>
      </w:pPr>
      <w:bookmarkStart w:id="64" w:name="_Toc10296"/>
      <w:bookmarkStart w:id="65" w:name="_Toc23447"/>
      <w:bookmarkStart w:id="66" w:name="_Toc8694"/>
      <w:r>
        <w:rPr>
          <w:rFonts w:hint="default" w:ascii="Times New Roman" w:hAnsi="Times New Roman" w:eastAsia="黑体" w:cs="Times New Roman"/>
          <w:b w:val="0"/>
          <w:bCs w:val="0"/>
          <w:sz w:val="32"/>
          <w:szCs w:val="32"/>
          <w:lang w:val="en-US" w:eastAsia="zh-CN" w:bidi="zh-CN"/>
        </w:rPr>
        <w:t>3.2排水体制的选择</w:t>
      </w:r>
      <w:bookmarkEnd w:id="64"/>
      <w:bookmarkEnd w:id="65"/>
      <w:bookmarkEnd w:id="66"/>
    </w:p>
    <w:p w14:paraId="4999B3FC">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本次农村生活污水处理规划采用的排水体制为雨污分流制。新建污水收集系统必须为完全分流制。已建成的合流制污水收集系统的地方，应依据自身条件尽快改造为分流制；目前确实无法改造的，宜采用截流式合流制。</w:t>
      </w:r>
    </w:p>
    <w:p w14:paraId="652309CE">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采用分流制排水系统的村庄，应敷设独立的污水收集管网，雨水收集可根据各地实际采用沟渠、管道收集或就地自然排放。雨水收集应充分利用地形以自流方式及时就近排入池塘、河流等水体。</w:t>
      </w:r>
    </w:p>
    <w:p w14:paraId="21A7C324">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采用截流式合流制排水系统，应在进入处理设施前的主干管上设置截流井或其它截流措施，晴天的污水和下雨初期的雨污混合水输送到污水处理设施处理后排放，混合污水超过截流管输水能力后溢流排入水体。</w:t>
      </w:r>
    </w:p>
    <w:p w14:paraId="6FC14200">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规划农村地区按雨污分流体制建设，主要根据村庄经济情况确定改造时序。</w:t>
      </w:r>
    </w:p>
    <w:p w14:paraId="188CC49C">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outlineLvl w:val="1"/>
        <w:rPr>
          <w:rFonts w:hint="default" w:ascii="Times New Roman" w:hAnsi="Times New Roman" w:eastAsia="黑体" w:cs="Times New Roman"/>
          <w:b w:val="0"/>
          <w:bCs w:val="0"/>
          <w:sz w:val="32"/>
          <w:szCs w:val="32"/>
          <w:lang w:val="en-US" w:eastAsia="zh-CN" w:bidi="zh-CN"/>
        </w:rPr>
      </w:pPr>
      <w:bookmarkStart w:id="67" w:name="_Toc19614"/>
      <w:bookmarkStart w:id="68" w:name="_Toc14313"/>
      <w:bookmarkStart w:id="69" w:name="_Toc6980"/>
      <w:r>
        <w:rPr>
          <w:rFonts w:hint="default" w:ascii="Times New Roman" w:hAnsi="Times New Roman" w:eastAsia="黑体" w:cs="Times New Roman"/>
          <w:b w:val="0"/>
          <w:bCs w:val="0"/>
          <w:sz w:val="32"/>
          <w:szCs w:val="32"/>
          <w:lang w:val="en-US" w:eastAsia="zh-CN" w:bidi="zh-CN"/>
        </w:rPr>
        <w:t>3.3排放标准</w:t>
      </w:r>
      <w:bookmarkEnd w:id="67"/>
      <w:bookmarkEnd w:id="68"/>
      <w:bookmarkEnd w:id="69"/>
    </w:p>
    <w:p w14:paraId="2764A551">
      <w:pPr>
        <w:pStyle w:val="12"/>
        <w:keepNext w:val="0"/>
        <w:keepLines w:val="0"/>
        <w:pageBreakBefore w:val="0"/>
        <w:widowControl w:val="0"/>
        <w:kinsoku/>
        <w:wordWrap/>
        <w:overflowPunct/>
        <w:topLinePunct w:val="0"/>
        <w:autoSpaceDE w:val="0"/>
        <w:autoSpaceDN w:val="0"/>
        <w:bidi w:val="0"/>
        <w:adjustRightInd/>
        <w:snapToGrid/>
        <w:spacing w:line="550" w:lineRule="exact"/>
        <w:ind w:right="374"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农村生活污水处理后，排放标准应符合现行四川省出台的相关排放标准，并应满足区域水功能区划和水环境治理目标要求。设计处理规模500m</w:t>
      </w:r>
      <w:r>
        <w:rPr>
          <w:rFonts w:hint="default" w:ascii="Times New Roman" w:hAnsi="Times New Roman" w:eastAsia="仿宋_GB2312" w:cs="Times New Roman"/>
          <w:sz w:val="32"/>
          <w:szCs w:val="32"/>
          <w:vertAlign w:val="superscript"/>
          <w:lang w:val="en-US" w:eastAsia="zh-CN"/>
        </w:rPr>
        <w:t>3</w:t>
      </w:r>
      <w:r>
        <w:rPr>
          <w:rFonts w:hint="default" w:ascii="Times New Roman" w:hAnsi="Times New Roman" w:eastAsia="仿宋_GB2312" w:cs="Times New Roman"/>
          <w:sz w:val="32"/>
          <w:szCs w:val="32"/>
          <w:lang w:val="en-US" w:eastAsia="zh-CN"/>
        </w:rPr>
        <w:t>/d（含）以上的农村生活污水处理设施，水污染物排放参照《城镇污水处理厂污染物排放标准》（GB18918）执行。设计处理规模500m</w:t>
      </w:r>
      <w:r>
        <w:rPr>
          <w:rFonts w:hint="default" w:ascii="Times New Roman" w:hAnsi="Times New Roman" w:eastAsia="仿宋_GB2312" w:cs="Times New Roman"/>
          <w:sz w:val="32"/>
          <w:szCs w:val="32"/>
          <w:vertAlign w:val="superscript"/>
          <w:lang w:val="en-US" w:eastAsia="zh-CN"/>
        </w:rPr>
        <w:t>3</w:t>
      </w:r>
      <w:r>
        <w:rPr>
          <w:rFonts w:hint="default" w:ascii="Times New Roman" w:hAnsi="Times New Roman" w:eastAsia="仿宋_GB2312" w:cs="Times New Roman"/>
          <w:sz w:val="32"/>
          <w:szCs w:val="32"/>
          <w:lang w:val="en-US" w:eastAsia="zh-CN"/>
        </w:rPr>
        <w:t>/d（不含）以下的农村生活污水处理设施，水污染物排放参照《农村生活污水处理设施水污染物排放标准》（DB51/2626-2019）中相关要求执行，详细见下表。</w:t>
      </w:r>
    </w:p>
    <w:p w14:paraId="4FE82F34">
      <w:pPr>
        <w:pStyle w:val="12"/>
        <w:keepNext w:val="0"/>
        <w:keepLines w:val="0"/>
        <w:pageBreakBefore w:val="0"/>
        <w:widowControl w:val="0"/>
        <w:kinsoku/>
        <w:wordWrap/>
        <w:overflowPunct/>
        <w:topLinePunct w:val="0"/>
        <w:autoSpaceDE w:val="0"/>
        <w:autoSpaceDN w:val="0"/>
        <w:bidi w:val="0"/>
        <w:adjustRightInd/>
        <w:snapToGrid/>
        <w:spacing w:line="550" w:lineRule="exact"/>
        <w:ind w:right="374" w:firstLine="640" w:firstLineChars="200"/>
        <w:jc w:val="both"/>
        <w:textAlignment w:val="auto"/>
        <w:rPr>
          <w:rFonts w:hint="default" w:ascii="Times New Roman" w:hAnsi="Times New Roman" w:eastAsia="仿宋_GB2312" w:cs="Times New Roman"/>
          <w:sz w:val="32"/>
          <w:szCs w:val="32"/>
          <w:lang w:val="en-US" w:eastAsia="zh-CN"/>
        </w:rPr>
      </w:pPr>
    </w:p>
    <w:p w14:paraId="5C7BCB0B">
      <w:pPr>
        <w:pStyle w:val="12"/>
        <w:keepNext w:val="0"/>
        <w:keepLines w:val="0"/>
        <w:pageBreakBefore w:val="0"/>
        <w:widowControl w:val="0"/>
        <w:kinsoku/>
        <w:wordWrap/>
        <w:overflowPunct/>
        <w:topLinePunct w:val="0"/>
        <w:autoSpaceDE w:val="0"/>
        <w:autoSpaceDN w:val="0"/>
        <w:bidi w:val="0"/>
        <w:adjustRightInd/>
        <w:snapToGrid/>
        <w:spacing w:line="550" w:lineRule="exact"/>
        <w:ind w:right="374" w:firstLine="640" w:firstLineChars="200"/>
        <w:jc w:val="both"/>
        <w:textAlignment w:val="auto"/>
        <w:rPr>
          <w:rFonts w:hint="default" w:ascii="Times New Roman" w:hAnsi="Times New Roman" w:eastAsia="仿宋_GB2312" w:cs="Times New Roman"/>
          <w:sz w:val="32"/>
          <w:szCs w:val="32"/>
          <w:lang w:val="en-US" w:eastAsia="zh-CN"/>
        </w:rPr>
      </w:pPr>
    </w:p>
    <w:p w14:paraId="6827BB1A">
      <w:pPr>
        <w:pStyle w:val="12"/>
        <w:spacing w:before="1" w:line="384" w:lineRule="auto"/>
        <w:ind w:right="374"/>
        <w:jc w:val="center"/>
        <w:rPr>
          <w:rFonts w:hint="default" w:ascii="Times New Roman" w:hAnsi="Times New Roman" w:cs="Times New Roman"/>
          <w:b/>
          <w:bCs/>
          <w:sz w:val="32"/>
          <w:szCs w:val="32"/>
          <w:lang w:val="en-US"/>
        </w:rPr>
      </w:pPr>
      <w:r>
        <w:rPr>
          <w:rFonts w:hint="default" w:ascii="Times New Roman" w:hAnsi="Times New Roman" w:eastAsia="仿宋_GB2312" w:cs="Times New Roman"/>
          <w:b/>
          <w:bCs/>
          <w:sz w:val="32"/>
          <w:szCs w:val="32"/>
          <w:lang w:val="en-US"/>
        </w:rPr>
        <w:t>表</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.3-1排放标准分级表（DB51/2626-2019）</w:t>
      </w:r>
    </w:p>
    <w:tbl>
      <w:tblPr>
        <w:tblStyle w:val="24"/>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4"/>
        <w:gridCol w:w="1826"/>
        <w:gridCol w:w="1744"/>
        <w:gridCol w:w="1914"/>
      </w:tblGrid>
      <w:tr w14:paraId="78A6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blHeader/>
          <w:jc w:val="center"/>
        </w:trPr>
        <w:tc>
          <w:tcPr>
            <w:tcW w:w="4014" w:type="dxa"/>
            <w:vMerge w:val="restart"/>
            <w:vAlign w:val="center"/>
          </w:tcPr>
          <w:p w14:paraId="1067B185">
            <w:pPr>
              <w:pStyle w:val="40"/>
              <w:rPr>
                <w:rFonts w:hint="default" w:ascii="Times New Roman" w:hAnsi="Times New Roman" w:cs="Times New Roman"/>
                <w:b/>
                <w:kern w:val="2"/>
                <w:sz w:val="24"/>
                <w:szCs w:val="24"/>
                <w:lang w:val="en-US"/>
              </w:rPr>
            </w:pPr>
            <w:r>
              <w:rPr>
                <w:rFonts w:hint="default" w:ascii="Times New Roman" w:hAnsi="Times New Roman" w:eastAsia="仿宋_GB2312" w:cs="Times New Roman"/>
                <w:b/>
                <w:kern w:val="2"/>
                <w:sz w:val="24"/>
                <w:szCs w:val="24"/>
                <w:lang w:val="en-US"/>
              </w:rPr>
              <w:t>设计处理规模</w:t>
            </w:r>
          </w:p>
        </w:tc>
        <w:tc>
          <w:tcPr>
            <w:tcW w:w="5484" w:type="dxa"/>
            <w:gridSpan w:val="3"/>
            <w:vAlign w:val="center"/>
          </w:tcPr>
          <w:p w14:paraId="62022DBD">
            <w:pPr>
              <w:pStyle w:val="40"/>
              <w:rPr>
                <w:rFonts w:hint="default" w:ascii="Times New Roman" w:hAnsi="Times New Roman" w:cs="Times New Roman"/>
                <w:b/>
                <w:kern w:val="2"/>
                <w:sz w:val="24"/>
                <w:szCs w:val="24"/>
              </w:rPr>
            </w:pPr>
            <w:r>
              <w:rPr>
                <w:rFonts w:hint="default" w:ascii="Times New Roman" w:hAnsi="Times New Roman" w:eastAsia="仿宋_GB2312" w:cs="Times New Roman"/>
                <w:b/>
                <w:kern w:val="2"/>
                <w:sz w:val="24"/>
                <w:szCs w:val="24"/>
              </w:rPr>
              <w:t>出水直接排入的水域功能类别</w:t>
            </w:r>
          </w:p>
        </w:tc>
      </w:tr>
      <w:tr w14:paraId="6322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4014" w:type="dxa"/>
            <w:vMerge w:val="continue"/>
            <w:vAlign w:val="center"/>
          </w:tcPr>
          <w:p w14:paraId="73C61A38">
            <w:pPr>
              <w:pStyle w:val="40"/>
              <w:rPr>
                <w:rFonts w:hint="default" w:ascii="Times New Roman" w:hAnsi="Times New Roman" w:cs="Times New Roman"/>
                <w:b/>
                <w:kern w:val="2"/>
                <w:sz w:val="24"/>
                <w:szCs w:val="24"/>
                <w:lang w:val="en-US"/>
              </w:rPr>
            </w:pPr>
          </w:p>
        </w:tc>
        <w:tc>
          <w:tcPr>
            <w:tcW w:w="1826" w:type="dxa"/>
            <w:vAlign w:val="center"/>
          </w:tcPr>
          <w:p w14:paraId="4C08C8DE">
            <w:pPr>
              <w:pStyle w:val="40"/>
              <w:rPr>
                <w:rFonts w:hint="default" w:ascii="Times New Roman" w:hAnsi="Times New Roman" w:cs="Times New Roman"/>
                <w:b/>
                <w:kern w:val="2"/>
                <w:sz w:val="24"/>
                <w:szCs w:val="24"/>
                <w:lang w:val="en-US"/>
              </w:rPr>
            </w:pPr>
            <w:r>
              <w:rPr>
                <w:rFonts w:hint="default" w:ascii="Times New Roman" w:hAnsi="Times New Roman" w:eastAsia="仿宋_GB2312" w:cs="Times New Roman"/>
                <w:b/>
                <w:kern w:val="2"/>
                <w:sz w:val="24"/>
                <w:szCs w:val="24"/>
                <w:lang w:val="en-US"/>
              </w:rPr>
              <w:t>Ⅱ、Ⅲ类水域</w:t>
            </w:r>
          </w:p>
        </w:tc>
        <w:tc>
          <w:tcPr>
            <w:tcW w:w="1744" w:type="dxa"/>
            <w:vAlign w:val="center"/>
          </w:tcPr>
          <w:p w14:paraId="2A532F28">
            <w:pPr>
              <w:pStyle w:val="40"/>
              <w:rPr>
                <w:rFonts w:hint="default" w:ascii="Times New Roman" w:hAnsi="Times New Roman" w:eastAsia="仿宋_GB2312" w:cs="Times New Roman"/>
                <w:b/>
                <w:kern w:val="2"/>
                <w:sz w:val="24"/>
                <w:szCs w:val="24"/>
                <w:lang w:val="en-US" w:eastAsia="zh-CN"/>
              </w:rPr>
            </w:pPr>
            <w:r>
              <w:rPr>
                <w:rFonts w:hint="default" w:ascii="Times New Roman" w:hAnsi="Times New Roman" w:eastAsia="仿宋_GB2312" w:cs="Times New Roman"/>
                <w:b/>
                <w:kern w:val="2"/>
                <w:sz w:val="24"/>
                <w:szCs w:val="24"/>
                <w:lang w:val="en-US"/>
              </w:rPr>
              <w:t>Ⅳ、Ⅴ类水域</w:t>
            </w:r>
          </w:p>
        </w:tc>
        <w:tc>
          <w:tcPr>
            <w:tcW w:w="1914" w:type="dxa"/>
            <w:vAlign w:val="center"/>
          </w:tcPr>
          <w:p w14:paraId="7B527193">
            <w:pPr>
              <w:pStyle w:val="40"/>
              <w:rPr>
                <w:rFonts w:hint="default" w:ascii="Times New Roman" w:hAnsi="Times New Roman" w:cs="Times New Roman"/>
                <w:b/>
                <w:kern w:val="2"/>
                <w:sz w:val="24"/>
                <w:szCs w:val="24"/>
                <w:lang w:val="en-US"/>
              </w:rPr>
            </w:pPr>
            <w:r>
              <w:rPr>
                <w:rFonts w:hint="default" w:ascii="Times New Roman" w:hAnsi="Times New Roman" w:eastAsia="仿宋_GB2312" w:cs="Times New Roman"/>
                <w:b/>
                <w:kern w:val="2"/>
                <w:sz w:val="24"/>
                <w:szCs w:val="24"/>
                <w:lang w:val="en-US"/>
              </w:rPr>
              <w:t>其他功能未明确水域</w:t>
            </w:r>
          </w:p>
        </w:tc>
      </w:tr>
      <w:tr w14:paraId="2FFA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014" w:type="dxa"/>
            <w:vAlign w:val="center"/>
          </w:tcPr>
          <w:p w14:paraId="6CF1CC70">
            <w:pPr>
              <w:pStyle w:val="40"/>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100m</w:t>
            </w:r>
            <w:r>
              <w:rPr>
                <w:rFonts w:hint="default" w:ascii="Times New Roman" w:hAnsi="Times New Roman" w:eastAsia="仿宋_GB2312" w:cs="Times New Roman"/>
                <w:sz w:val="24"/>
                <w:szCs w:val="24"/>
                <w:vertAlign w:val="superscript"/>
                <w:lang w:val="en-US"/>
              </w:rPr>
              <w:t>3</w:t>
            </w:r>
            <w:r>
              <w:rPr>
                <w:rFonts w:hint="default" w:ascii="Times New Roman" w:hAnsi="Times New Roman" w:eastAsia="仿宋_GB2312" w:cs="Times New Roman"/>
                <w:sz w:val="24"/>
                <w:szCs w:val="24"/>
                <w:lang w:val="en-US"/>
              </w:rPr>
              <w:t>/d（含）~500m</w:t>
            </w:r>
            <w:r>
              <w:rPr>
                <w:rFonts w:hint="default" w:ascii="Times New Roman" w:hAnsi="Times New Roman" w:eastAsia="仿宋_GB2312" w:cs="Times New Roman"/>
                <w:sz w:val="24"/>
                <w:szCs w:val="24"/>
                <w:vertAlign w:val="superscript"/>
                <w:lang w:val="en-US"/>
              </w:rPr>
              <w:t>3</w:t>
            </w:r>
            <w:r>
              <w:rPr>
                <w:rFonts w:hint="default" w:ascii="Times New Roman" w:hAnsi="Times New Roman" w:eastAsia="仿宋_GB2312" w:cs="Times New Roman"/>
                <w:sz w:val="24"/>
                <w:szCs w:val="24"/>
                <w:lang w:val="en-US"/>
              </w:rPr>
              <w:t>/d（不含）</w:t>
            </w:r>
          </w:p>
        </w:tc>
        <w:tc>
          <w:tcPr>
            <w:tcW w:w="1826" w:type="dxa"/>
            <w:vAlign w:val="center"/>
          </w:tcPr>
          <w:p w14:paraId="537E2A72">
            <w:pPr>
              <w:pStyle w:val="40"/>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一级标准</w:t>
            </w:r>
          </w:p>
        </w:tc>
        <w:tc>
          <w:tcPr>
            <w:tcW w:w="1744" w:type="dxa"/>
            <w:vAlign w:val="center"/>
          </w:tcPr>
          <w:p w14:paraId="1E0012A6">
            <w:pPr>
              <w:pStyle w:val="40"/>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二级标准</w:t>
            </w:r>
          </w:p>
        </w:tc>
        <w:tc>
          <w:tcPr>
            <w:tcW w:w="1914" w:type="dxa"/>
            <w:vAlign w:val="center"/>
          </w:tcPr>
          <w:p w14:paraId="662D2887">
            <w:pPr>
              <w:pStyle w:val="40"/>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二级标准</w:t>
            </w:r>
          </w:p>
        </w:tc>
      </w:tr>
      <w:tr w14:paraId="0824C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014" w:type="dxa"/>
            <w:vAlign w:val="center"/>
          </w:tcPr>
          <w:p w14:paraId="04739D9E">
            <w:pPr>
              <w:pStyle w:val="40"/>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20m</w:t>
            </w:r>
            <w:r>
              <w:rPr>
                <w:rFonts w:hint="default" w:ascii="Times New Roman" w:hAnsi="Times New Roman" w:eastAsia="仿宋_GB2312" w:cs="Times New Roman"/>
                <w:sz w:val="24"/>
                <w:szCs w:val="24"/>
                <w:vertAlign w:val="superscript"/>
                <w:lang w:val="en-US"/>
              </w:rPr>
              <w:t>3</w:t>
            </w:r>
            <w:r>
              <w:rPr>
                <w:rFonts w:hint="default" w:ascii="Times New Roman" w:hAnsi="Times New Roman" w:eastAsia="仿宋_GB2312" w:cs="Times New Roman"/>
                <w:sz w:val="24"/>
                <w:szCs w:val="24"/>
                <w:lang w:val="en-US"/>
              </w:rPr>
              <w:t>/d（含）~100m</w:t>
            </w:r>
            <w:r>
              <w:rPr>
                <w:rFonts w:hint="default" w:ascii="Times New Roman" w:hAnsi="Times New Roman" w:eastAsia="仿宋_GB2312" w:cs="Times New Roman"/>
                <w:sz w:val="24"/>
                <w:szCs w:val="24"/>
                <w:vertAlign w:val="superscript"/>
                <w:lang w:val="en-US"/>
              </w:rPr>
              <w:t>3</w:t>
            </w:r>
            <w:r>
              <w:rPr>
                <w:rFonts w:hint="default" w:ascii="Times New Roman" w:hAnsi="Times New Roman" w:eastAsia="仿宋_GB2312" w:cs="Times New Roman"/>
                <w:sz w:val="24"/>
                <w:szCs w:val="24"/>
                <w:lang w:val="en-US"/>
              </w:rPr>
              <w:t>/d（不含）</w:t>
            </w:r>
          </w:p>
        </w:tc>
        <w:tc>
          <w:tcPr>
            <w:tcW w:w="1826" w:type="dxa"/>
            <w:vAlign w:val="center"/>
          </w:tcPr>
          <w:p w14:paraId="2F797F8B">
            <w:pPr>
              <w:pStyle w:val="40"/>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一级标准</w:t>
            </w:r>
          </w:p>
        </w:tc>
        <w:tc>
          <w:tcPr>
            <w:tcW w:w="1744" w:type="dxa"/>
            <w:vAlign w:val="center"/>
          </w:tcPr>
          <w:p w14:paraId="42B260A6">
            <w:pPr>
              <w:pStyle w:val="40"/>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二级标准</w:t>
            </w:r>
          </w:p>
        </w:tc>
        <w:tc>
          <w:tcPr>
            <w:tcW w:w="1914" w:type="dxa"/>
            <w:vAlign w:val="center"/>
          </w:tcPr>
          <w:p w14:paraId="37CD51D4">
            <w:pPr>
              <w:pStyle w:val="40"/>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三级标准</w:t>
            </w:r>
          </w:p>
        </w:tc>
      </w:tr>
      <w:tr w14:paraId="62F8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014" w:type="dxa"/>
            <w:vAlign w:val="center"/>
          </w:tcPr>
          <w:p w14:paraId="76543055">
            <w:pPr>
              <w:pStyle w:val="40"/>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＜20m</w:t>
            </w:r>
            <w:r>
              <w:rPr>
                <w:rFonts w:hint="default" w:ascii="Times New Roman" w:hAnsi="Times New Roman" w:eastAsia="仿宋_GB2312" w:cs="Times New Roman"/>
                <w:sz w:val="24"/>
                <w:szCs w:val="24"/>
                <w:vertAlign w:val="superscript"/>
                <w:lang w:val="en-US"/>
              </w:rPr>
              <w:t>3</w:t>
            </w:r>
            <w:r>
              <w:rPr>
                <w:rFonts w:hint="default" w:ascii="Times New Roman" w:hAnsi="Times New Roman" w:eastAsia="仿宋_GB2312" w:cs="Times New Roman"/>
                <w:sz w:val="24"/>
                <w:szCs w:val="24"/>
                <w:lang w:val="en-US"/>
              </w:rPr>
              <w:t>/d</w:t>
            </w:r>
          </w:p>
        </w:tc>
        <w:tc>
          <w:tcPr>
            <w:tcW w:w="5484" w:type="dxa"/>
            <w:gridSpan w:val="3"/>
            <w:vAlign w:val="center"/>
          </w:tcPr>
          <w:p w14:paraId="778C2D38">
            <w:pPr>
              <w:pStyle w:val="40"/>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三级标准</w:t>
            </w:r>
          </w:p>
        </w:tc>
      </w:tr>
      <w:tr w14:paraId="0BCD5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498" w:type="dxa"/>
            <w:gridSpan w:val="4"/>
            <w:vAlign w:val="center"/>
          </w:tcPr>
          <w:p w14:paraId="73A80021">
            <w:pPr>
              <w:pStyle w:val="40"/>
              <w:jc w:val="both"/>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注：岷江、沱江流域重点控制区域内设计处理规模20m</w:t>
            </w:r>
            <w:r>
              <w:rPr>
                <w:rFonts w:hint="default" w:ascii="Times New Roman" w:hAnsi="Times New Roman" w:eastAsia="仿宋_GB2312" w:cs="Times New Roman"/>
                <w:sz w:val="24"/>
                <w:szCs w:val="24"/>
                <w:vertAlign w:val="superscript"/>
                <w:lang w:val="en-US"/>
              </w:rPr>
              <w:t>3</w:t>
            </w:r>
            <w:r>
              <w:rPr>
                <w:rFonts w:hint="default" w:ascii="Times New Roman" w:hAnsi="Times New Roman" w:eastAsia="仿宋_GB2312" w:cs="Times New Roman"/>
                <w:sz w:val="24"/>
                <w:szCs w:val="24"/>
                <w:lang w:val="en-US"/>
              </w:rPr>
              <w:t>/d（含）以上的农村生活污水处理设施基于以上标准分级上调一级（最高不得超过一级标准）</w:t>
            </w:r>
          </w:p>
        </w:tc>
      </w:tr>
    </w:tbl>
    <w:p w14:paraId="56D81F87">
      <w:pPr>
        <w:pStyle w:val="12"/>
        <w:spacing w:before="1" w:line="384" w:lineRule="auto"/>
        <w:ind w:right="374" w:firstLine="640" w:firstLineChars="200"/>
        <w:rPr>
          <w:rFonts w:hint="default" w:ascii="Times New Roman" w:hAnsi="Times New Roman" w:eastAsia="仿宋_GB2312" w:cs="Times New Roman"/>
          <w:sz w:val="32"/>
          <w:szCs w:val="32"/>
          <w:lang w:val="en-US"/>
        </w:rPr>
      </w:pPr>
    </w:p>
    <w:p w14:paraId="46E02F79">
      <w:pPr>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lang w:val="en-US"/>
        </w:rPr>
        <w:br w:type="page"/>
      </w:r>
    </w:p>
    <w:p w14:paraId="224F5F4B">
      <w:pPr>
        <w:pStyle w:val="12"/>
        <w:keepNext w:val="0"/>
        <w:keepLines w:val="0"/>
        <w:pageBreakBefore w:val="0"/>
        <w:widowControl w:val="0"/>
        <w:kinsoku/>
        <w:wordWrap/>
        <w:overflowPunct/>
        <w:topLinePunct w:val="0"/>
        <w:autoSpaceDE w:val="0"/>
        <w:autoSpaceDN w:val="0"/>
        <w:bidi w:val="0"/>
        <w:adjustRightInd/>
        <w:snapToGrid/>
        <w:spacing w:line="576" w:lineRule="exact"/>
        <w:ind w:right="0"/>
        <w:jc w:val="center"/>
        <w:textAlignment w:val="auto"/>
        <w:rPr>
          <w:rFonts w:hint="default" w:ascii="Times New Roman" w:hAnsi="Times New Roman" w:cs="Times New Roman"/>
          <w:sz w:val="32"/>
          <w:szCs w:val="32"/>
          <w:lang w:val="en-US"/>
        </w:rPr>
      </w:pPr>
      <w:r>
        <w:rPr>
          <w:rFonts w:hint="default" w:ascii="Times New Roman" w:hAnsi="Times New Roman" w:eastAsia="仿宋_GB2312" w:cs="Times New Roman"/>
          <w:b/>
          <w:bCs/>
          <w:sz w:val="32"/>
          <w:szCs w:val="32"/>
          <w:lang w:val="en-US"/>
        </w:rPr>
        <w:t>表</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.3-2水污染物最高允许排放浓度（DB51/2626-2019）单位：mg/L</w:t>
      </w:r>
    </w:p>
    <w:tbl>
      <w:tblPr>
        <w:tblStyle w:val="23"/>
        <w:tblW w:w="94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9"/>
        <w:gridCol w:w="2571"/>
        <w:gridCol w:w="2034"/>
        <w:gridCol w:w="1966"/>
        <w:gridCol w:w="1966"/>
      </w:tblGrid>
      <w:tr w14:paraId="29083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59" w:type="dxa"/>
            <w:vAlign w:val="center"/>
          </w:tcPr>
          <w:p w14:paraId="3D92DE2B">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序号</w:t>
            </w:r>
          </w:p>
        </w:tc>
        <w:tc>
          <w:tcPr>
            <w:tcW w:w="2571" w:type="dxa"/>
            <w:vAlign w:val="center"/>
          </w:tcPr>
          <w:p w14:paraId="0CFC4E3A">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控制项目名称</w:t>
            </w:r>
          </w:p>
        </w:tc>
        <w:tc>
          <w:tcPr>
            <w:tcW w:w="2034" w:type="dxa"/>
            <w:vAlign w:val="center"/>
          </w:tcPr>
          <w:p w14:paraId="22050225">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一级标准</w:t>
            </w:r>
          </w:p>
        </w:tc>
        <w:tc>
          <w:tcPr>
            <w:tcW w:w="1966" w:type="dxa"/>
            <w:vAlign w:val="center"/>
          </w:tcPr>
          <w:p w14:paraId="37EBD312">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二级标准</w:t>
            </w:r>
          </w:p>
        </w:tc>
        <w:tc>
          <w:tcPr>
            <w:tcW w:w="1966" w:type="dxa"/>
            <w:vAlign w:val="center"/>
          </w:tcPr>
          <w:p w14:paraId="33F7FE39">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三级</w:t>
            </w:r>
          </w:p>
        </w:tc>
      </w:tr>
      <w:tr w14:paraId="550A8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59" w:type="dxa"/>
            <w:vAlign w:val="center"/>
          </w:tcPr>
          <w:p w14:paraId="5681083F">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w:t>
            </w:r>
          </w:p>
        </w:tc>
        <w:tc>
          <w:tcPr>
            <w:tcW w:w="2571" w:type="dxa"/>
            <w:vAlign w:val="center"/>
          </w:tcPr>
          <w:p w14:paraId="0C9228F2">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PH（无量纲）</w:t>
            </w:r>
          </w:p>
        </w:tc>
        <w:tc>
          <w:tcPr>
            <w:tcW w:w="5966" w:type="dxa"/>
            <w:gridSpan w:val="3"/>
            <w:vAlign w:val="center"/>
          </w:tcPr>
          <w:p w14:paraId="729A28AD">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6～9</w:t>
            </w:r>
          </w:p>
        </w:tc>
      </w:tr>
      <w:tr w14:paraId="21524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59" w:type="dxa"/>
            <w:vAlign w:val="center"/>
          </w:tcPr>
          <w:p w14:paraId="40CD76A8">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w:t>
            </w:r>
          </w:p>
        </w:tc>
        <w:tc>
          <w:tcPr>
            <w:tcW w:w="2571" w:type="dxa"/>
            <w:vAlign w:val="center"/>
          </w:tcPr>
          <w:p w14:paraId="27326A31">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化学需氧量（CODcr）</w:t>
            </w:r>
          </w:p>
        </w:tc>
        <w:tc>
          <w:tcPr>
            <w:tcW w:w="2034" w:type="dxa"/>
            <w:vAlign w:val="center"/>
          </w:tcPr>
          <w:p w14:paraId="7A3DC44E">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60</w:t>
            </w:r>
          </w:p>
        </w:tc>
        <w:tc>
          <w:tcPr>
            <w:tcW w:w="1966" w:type="dxa"/>
            <w:vAlign w:val="center"/>
          </w:tcPr>
          <w:p w14:paraId="152CA51B">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80</w:t>
            </w:r>
          </w:p>
        </w:tc>
        <w:tc>
          <w:tcPr>
            <w:tcW w:w="1966" w:type="dxa"/>
            <w:vAlign w:val="center"/>
          </w:tcPr>
          <w:p w14:paraId="26B55A8A">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100</w:t>
            </w:r>
          </w:p>
        </w:tc>
      </w:tr>
      <w:tr w14:paraId="49670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59" w:type="dxa"/>
            <w:vAlign w:val="center"/>
          </w:tcPr>
          <w:p w14:paraId="428BEC78">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w:t>
            </w:r>
          </w:p>
        </w:tc>
        <w:tc>
          <w:tcPr>
            <w:tcW w:w="2571" w:type="dxa"/>
            <w:vAlign w:val="center"/>
          </w:tcPr>
          <w:p w14:paraId="249CE57C">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悬浮物（SS）</w:t>
            </w:r>
          </w:p>
        </w:tc>
        <w:tc>
          <w:tcPr>
            <w:tcW w:w="2034" w:type="dxa"/>
            <w:vAlign w:val="center"/>
          </w:tcPr>
          <w:p w14:paraId="4D5D4477">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20</w:t>
            </w:r>
          </w:p>
        </w:tc>
        <w:tc>
          <w:tcPr>
            <w:tcW w:w="1966" w:type="dxa"/>
            <w:vAlign w:val="center"/>
          </w:tcPr>
          <w:p w14:paraId="6F865601">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30</w:t>
            </w:r>
          </w:p>
        </w:tc>
        <w:tc>
          <w:tcPr>
            <w:tcW w:w="1966" w:type="dxa"/>
            <w:vAlign w:val="center"/>
          </w:tcPr>
          <w:p w14:paraId="602DA270">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40</w:t>
            </w:r>
          </w:p>
        </w:tc>
      </w:tr>
      <w:tr w14:paraId="79668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59" w:type="dxa"/>
            <w:vAlign w:val="center"/>
          </w:tcPr>
          <w:p w14:paraId="3F53D414">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4</w:t>
            </w:r>
          </w:p>
        </w:tc>
        <w:tc>
          <w:tcPr>
            <w:tcW w:w="2571" w:type="dxa"/>
            <w:vAlign w:val="center"/>
          </w:tcPr>
          <w:p w14:paraId="4223BE68">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氨氮（以N计）</w:t>
            </w:r>
          </w:p>
        </w:tc>
        <w:tc>
          <w:tcPr>
            <w:tcW w:w="2034" w:type="dxa"/>
            <w:vAlign w:val="center"/>
          </w:tcPr>
          <w:p w14:paraId="346795D7">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8（15）</w:t>
            </w:r>
            <w:r>
              <w:rPr>
                <w:rFonts w:hint="default" w:ascii="Times New Roman" w:hAnsi="Times New Roman" w:eastAsia="仿宋_GB2312" w:cs="Times New Roman"/>
                <w:b/>
                <w:bCs/>
                <w:sz w:val="24"/>
                <w:szCs w:val="24"/>
                <w:vertAlign w:val="superscript"/>
                <w:lang w:val="en-US"/>
              </w:rPr>
              <w:t>a</w:t>
            </w:r>
          </w:p>
        </w:tc>
        <w:tc>
          <w:tcPr>
            <w:tcW w:w="1966" w:type="dxa"/>
            <w:vAlign w:val="center"/>
          </w:tcPr>
          <w:p w14:paraId="3E3C9873">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15</w:t>
            </w:r>
          </w:p>
        </w:tc>
        <w:tc>
          <w:tcPr>
            <w:tcW w:w="1966" w:type="dxa"/>
            <w:vAlign w:val="center"/>
          </w:tcPr>
          <w:p w14:paraId="2AF1FF43">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25</w:t>
            </w:r>
          </w:p>
        </w:tc>
      </w:tr>
      <w:tr w14:paraId="39704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59" w:type="dxa"/>
            <w:vAlign w:val="center"/>
          </w:tcPr>
          <w:p w14:paraId="537625F8">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w:t>
            </w:r>
          </w:p>
        </w:tc>
        <w:tc>
          <w:tcPr>
            <w:tcW w:w="2571" w:type="dxa"/>
            <w:vAlign w:val="center"/>
          </w:tcPr>
          <w:p w14:paraId="4AF0B2B3">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总氮（以N计）</w:t>
            </w:r>
          </w:p>
        </w:tc>
        <w:tc>
          <w:tcPr>
            <w:tcW w:w="2034" w:type="dxa"/>
            <w:vAlign w:val="center"/>
          </w:tcPr>
          <w:p w14:paraId="716EB4E5">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20</w:t>
            </w:r>
          </w:p>
        </w:tc>
        <w:tc>
          <w:tcPr>
            <w:tcW w:w="1966" w:type="dxa"/>
            <w:vAlign w:val="center"/>
          </w:tcPr>
          <w:p w14:paraId="6C7E3182">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w:t>
            </w:r>
          </w:p>
        </w:tc>
        <w:tc>
          <w:tcPr>
            <w:tcW w:w="1966" w:type="dxa"/>
            <w:vAlign w:val="center"/>
          </w:tcPr>
          <w:p w14:paraId="5DA3CABD">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w:t>
            </w:r>
          </w:p>
        </w:tc>
      </w:tr>
      <w:tr w14:paraId="76E96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59" w:type="dxa"/>
            <w:vAlign w:val="center"/>
          </w:tcPr>
          <w:p w14:paraId="70C2887A">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6</w:t>
            </w:r>
          </w:p>
        </w:tc>
        <w:tc>
          <w:tcPr>
            <w:tcW w:w="2571" w:type="dxa"/>
            <w:vAlign w:val="center"/>
          </w:tcPr>
          <w:p w14:paraId="42E40935">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总磷（以P计）</w:t>
            </w:r>
          </w:p>
        </w:tc>
        <w:tc>
          <w:tcPr>
            <w:tcW w:w="2034" w:type="dxa"/>
            <w:vAlign w:val="center"/>
          </w:tcPr>
          <w:p w14:paraId="37DBCB37">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1.5</w:t>
            </w:r>
          </w:p>
        </w:tc>
        <w:tc>
          <w:tcPr>
            <w:tcW w:w="1966" w:type="dxa"/>
            <w:vAlign w:val="center"/>
          </w:tcPr>
          <w:p w14:paraId="06483B26">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w:t>
            </w:r>
          </w:p>
        </w:tc>
        <w:tc>
          <w:tcPr>
            <w:tcW w:w="1966" w:type="dxa"/>
            <w:vAlign w:val="center"/>
          </w:tcPr>
          <w:p w14:paraId="353566BE">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4</w:t>
            </w:r>
          </w:p>
        </w:tc>
      </w:tr>
      <w:tr w14:paraId="04229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59" w:type="dxa"/>
            <w:vAlign w:val="center"/>
          </w:tcPr>
          <w:p w14:paraId="7E511067">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7</w:t>
            </w:r>
          </w:p>
        </w:tc>
        <w:tc>
          <w:tcPr>
            <w:tcW w:w="2571" w:type="dxa"/>
            <w:vAlign w:val="center"/>
          </w:tcPr>
          <w:p w14:paraId="60E3BD81">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动植物油（b）</w:t>
            </w:r>
          </w:p>
        </w:tc>
        <w:tc>
          <w:tcPr>
            <w:tcW w:w="2034" w:type="dxa"/>
            <w:vAlign w:val="center"/>
          </w:tcPr>
          <w:p w14:paraId="5F04DC5F">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w:t>
            </w:r>
          </w:p>
        </w:tc>
        <w:tc>
          <w:tcPr>
            <w:tcW w:w="1966" w:type="dxa"/>
            <w:vAlign w:val="center"/>
          </w:tcPr>
          <w:p w14:paraId="5384BF21">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w:t>
            </w:r>
          </w:p>
        </w:tc>
        <w:tc>
          <w:tcPr>
            <w:tcW w:w="1966" w:type="dxa"/>
            <w:vAlign w:val="center"/>
          </w:tcPr>
          <w:p w14:paraId="132233F1">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10</w:t>
            </w:r>
          </w:p>
        </w:tc>
      </w:tr>
      <w:tr w14:paraId="50BD6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496" w:type="dxa"/>
            <w:gridSpan w:val="5"/>
            <w:vAlign w:val="center"/>
          </w:tcPr>
          <w:p w14:paraId="38A4549E">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firstLine="720" w:firstLineChars="300"/>
              <w:jc w:val="both"/>
              <w:textAlignment w:val="auto"/>
              <w:rPr>
                <w:rFonts w:hint="default" w:ascii="Times New Roman" w:hAnsi="Times New Roman" w:eastAsia="仿宋_GB2312" w:cs="Times New Roman"/>
                <w:sz w:val="24"/>
                <w:szCs w:val="24"/>
                <w:lang w:val="en-US"/>
              </w:rPr>
            </w:pPr>
            <w:r>
              <w:rPr>
                <w:rFonts w:hint="default" w:ascii="Times New Roman" w:hAnsi="Times New Roman" w:eastAsia="仿宋_GB2312" w:cs="Times New Roman"/>
                <w:sz w:val="24"/>
                <w:szCs w:val="24"/>
                <w:lang w:val="en-US"/>
              </w:rPr>
              <w:t>注：a括号外的数值为水温＞12℃的控制指标，括号内的数值为水温≤12℃的控制指标。</w:t>
            </w:r>
          </w:p>
          <w:p w14:paraId="502DB158">
            <w:pPr>
              <w:pStyle w:val="29"/>
              <w:keepNext w:val="0"/>
              <w:keepLines w:val="0"/>
              <w:pageBreakBefore w:val="0"/>
              <w:widowControl w:val="0"/>
              <w:kinsoku/>
              <w:wordWrap/>
              <w:overflowPunct/>
              <w:topLinePunct w:val="0"/>
              <w:autoSpaceDE w:val="0"/>
              <w:autoSpaceDN w:val="0"/>
              <w:bidi w:val="0"/>
              <w:adjustRightInd/>
              <w:snapToGrid/>
              <w:spacing w:line="240" w:lineRule="exact"/>
              <w:ind w:left="0" w:right="0" w:firstLine="1200" w:firstLineChars="500"/>
              <w:jc w:val="both"/>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b动植物油指标仅针对含提供餐饮服务的农村旅游项目生活污水的处理设施执行。</w:t>
            </w:r>
          </w:p>
        </w:tc>
      </w:tr>
    </w:tbl>
    <w:p w14:paraId="1FF6F025">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560" w:firstLineChars="200"/>
        <w:textAlignment w:val="auto"/>
        <w:rPr>
          <w:rFonts w:hint="default" w:ascii="Times New Roman" w:hAnsi="Times New Roman" w:eastAsia="仿宋_GB2312" w:cs="Times New Roman"/>
          <w:lang w:val="en-US"/>
        </w:rPr>
      </w:pPr>
    </w:p>
    <w:p w14:paraId="09DA3128">
      <w:pPr>
        <w:pStyle w:val="12"/>
        <w:keepNext w:val="0"/>
        <w:keepLines w:val="0"/>
        <w:pageBreakBefore w:val="0"/>
        <w:widowControl w:val="0"/>
        <w:kinsoku/>
        <w:wordWrap/>
        <w:overflowPunct/>
        <w:topLinePunct w:val="0"/>
        <w:autoSpaceDE w:val="0"/>
        <w:autoSpaceDN w:val="0"/>
        <w:bidi w:val="0"/>
        <w:adjustRightInd/>
        <w:snapToGrid/>
        <w:spacing w:line="576" w:lineRule="exact"/>
        <w:ind w:right="0"/>
        <w:jc w:val="center"/>
        <w:textAlignment w:val="auto"/>
        <w:rPr>
          <w:rFonts w:hint="default" w:ascii="Times New Roman" w:hAnsi="Times New Roman" w:cs="Times New Roman"/>
          <w:sz w:val="32"/>
          <w:szCs w:val="32"/>
          <w:lang w:val="en-US"/>
        </w:rPr>
      </w:pPr>
      <w:r>
        <w:rPr>
          <w:rFonts w:hint="default" w:ascii="Times New Roman" w:hAnsi="Times New Roman" w:eastAsia="仿宋_GB2312" w:cs="Times New Roman"/>
          <w:b/>
          <w:bCs/>
          <w:sz w:val="32"/>
          <w:szCs w:val="32"/>
          <w:lang w:val="en-US"/>
        </w:rPr>
        <w:t>表</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.3-3水污染物最高允许排放浓度（GB18918-2002）</w:t>
      </w:r>
      <w:r>
        <w:rPr>
          <w:rFonts w:hint="default" w:ascii="Times New Roman" w:hAnsi="Times New Roman" w:eastAsia="仿宋_GB2312" w:cs="Times New Roman"/>
          <w:b/>
          <w:bCs/>
          <w:sz w:val="32"/>
          <w:szCs w:val="32"/>
          <w:lang w:val="en-US"/>
        </w:rPr>
        <w:tab/>
      </w:r>
      <w:r>
        <w:rPr>
          <w:rFonts w:hint="default" w:ascii="Times New Roman" w:hAnsi="Times New Roman" w:eastAsia="仿宋_GB2312" w:cs="Times New Roman"/>
          <w:b/>
          <w:bCs/>
          <w:sz w:val="32"/>
          <w:szCs w:val="32"/>
          <w:lang w:val="en-US"/>
        </w:rPr>
        <w:t>单位：mg/L</w:t>
      </w:r>
    </w:p>
    <w:tbl>
      <w:tblPr>
        <w:tblStyle w:val="23"/>
        <w:tblW w:w="96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
        <w:gridCol w:w="1516"/>
        <w:gridCol w:w="2625"/>
        <w:gridCol w:w="977"/>
        <w:gridCol w:w="1231"/>
        <w:gridCol w:w="1228"/>
        <w:gridCol w:w="1228"/>
      </w:tblGrid>
      <w:tr w14:paraId="43270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Merge w:val="restart"/>
            <w:vAlign w:val="center"/>
          </w:tcPr>
          <w:p w14:paraId="269FE243">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序号</w:t>
            </w:r>
          </w:p>
        </w:tc>
        <w:tc>
          <w:tcPr>
            <w:tcW w:w="4141" w:type="dxa"/>
            <w:gridSpan w:val="2"/>
            <w:vMerge w:val="restart"/>
            <w:vAlign w:val="center"/>
          </w:tcPr>
          <w:p w14:paraId="55357E1A">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基本控制项目</w:t>
            </w:r>
          </w:p>
        </w:tc>
        <w:tc>
          <w:tcPr>
            <w:tcW w:w="2208" w:type="dxa"/>
            <w:gridSpan w:val="2"/>
            <w:vAlign w:val="center"/>
          </w:tcPr>
          <w:p w14:paraId="322DCBE1">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一级标准</w:t>
            </w:r>
          </w:p>
        </w:tc>
        <w:tc>
          <w:tcPr>
            <w:tcW w:w="1228" w:type="dxa"/>
            <w:vMerge w:val="restart"/>
            <w:vAlign w:val="center"/>
          </w:tcPr>
          <w:p w14:paraId="3D20427D">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二级标准</w:t>
            </w:r>
          </w:p>
        </w:tc>
        <w:tc>
          <w:tcPr>
            <w:tcW w:w="1228" w:type="dxa"/>
            <w:vMerge w:val="restart"/>
            <w:vAlign w:val="center"/>
          </w:tcPr>
          <w:p w14:paraId="4ACF008E">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三级标准</w:t>
            </w:r>
          </w:p>
        </w:tc>
      </w:tr>
      <w:tr w14:paraId="1F356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Merge w:val="continue"/>
            <w:tcBorders>
              <w:top w:val="nil"/>
            </w:tcBorders>
            <w:vAlign w:val="center"/>
          </w:tcPr>
          <w:p w14:paraId="54755135">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val="en-US"/>
              </w:rPr>
            </w:pPr>
          </w:p>
        </w:tc>
        <w:tc>
          <w:tcPr>
            <w:tcW w:w="4141" w:type="dxa"/>
            <w:gridSpan w:val="2"/>
            <w:vMerge w:val="continue"/>
            <w:tcBorders>
              <w:top w:val="nil"/>
            </w:tcBorders>
            <w:vAlign w:val="center"/>
          </w:tcPr>
          <w:p w14:paraId="1853489B">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val="en-US"/>
              </w:rPr>
            </w:pPr>
          </w:p>
        </w:tc>
        <w:tc>
          <w:tcPr>
            <w:tcW w:w="977" w:type="dxa"/>
            <w:vAlign w:val="center"/>
          </w:tcPr>
          <w:p w14:paraId="1723F708">
            <w:pPr>
              <w:pStyle w:val="29"/>
              <w:keepNext w:val="0"/>
              <w:keepLines w:val="0"/>
              <w:pageBreakBefore w:val="0"/>
              <w:widowControl w:val="0"/>
              <w:kinsoku/>
              <w:wordWrap/>
              <w:overflowPunct/>
              <w:topLinePunct w:val="0"/>
              <w:autoSpaceDE w:val="0"/>
              <w:autoSpaceDN w:val="0"/>
              <w:bidi w:val="0"/>
              <w:adjustRightInd/>
              <w:snapToGrid/>
              <w:spacing w:line="280" w:lineRule="exact"/>
              <w:ind w:left="188" w:right="18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A标准</w:t>
            </w:r>
          </w:p>
        </w:tc>
        <w:tc>
          <w:tcPr>
            <w:tcW w:w="1231" w:type="dxa"/>
            <w:vAlign w:val="center"/>
          </w:tcPr>
          <w:p w14:paraId="132CF217">
            <w:pPr>
              <w:pStyle w:val="29"/>
              <w:keepNext w:val="0"/>
              <w:keepLines w:val="0"/>
              <w:pageBreakBefore w:val="0"/>
              <w:widowControl w:val="0"/>
              <w:kinsoku/>
              <w:wordWrap/>
              <w:overflowPunct/>
              <w:topLinePunct w:val="0"/>
              <w:autoSpaceDE w:val="0"/>
              <w:autoSpaceDN w:val="0"/>
              <w:bidi w:val="0"/>
              <w:adjustRightInd/>
              <w:snapToGrid/>
              <w:spacing w:line="280" w:lineRule="exact"/>
              <w:ind w:left="188" w:right="18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B标准</w:t>
            </w:r>
          </w:p>
        </w:tc>
        <w:tc>
          <w:tcPr>
            <w:tcW w:w="1228" w:type="dxa"/>
            <w:vMerge w:val="continue"/>
            <w:tcBorders>
              <w:top w:val="nil"/>
            </w:tcBorders>
            <w:vAlign w:val="center"/>
          </w:tcPr>
          <w:p w14:paraId="3ADE8731">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val="en-US"/>
              </w:rPr>
            </w:pPr>
          </w:p>
        </w:tc>
        <w:tc>
          <w:tcPr>
            <w:tcW w:w="1228" w:type="dxa"/>
            <w:vMerge w:val="continue"/>
            <w:tcBorders>
              <w:top w:val="nil"/>
            </w:tcBorders>
            <w:vAlign w:val="center"/>
          </w:tcPr>
          <w:p w14:paraId="44AA225D">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val="en-US"/>
              </w:rPr>
            </w:pPr>
          </w:p>
        </w:tc>
      </w:tr>
      <w:tr w14:paraId="40172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Align w:val="center"/>
          </w:tcPr>
          <w:p w14:paraId="25E19A52">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w:t>
            </w:r>
          </w:p>
        </w:tc>
        <w:tc>
          <w:tcPr>
            <w:tcW w:w="4141" w:type="dxa"/>
            <w:gridSpan w:val="2"/>
            <w:vAlign w:val="center"/>
          </w:tcPr>
          <w:p w14:paraId="6AC1CC86">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化学需氧量（COD）</w:t>
            </w:r>
          </w:p>
        </w:tc>
        <w:tc>
          <w:tcPr>
            <w:tcW w:w="977" w:type="dxa"/>
            <w:vAlign w:val="center"/>
          </w:tcPr>
          <w:p w14:paraId="01EE6D9E">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50</w:t>
            </w:r>
          </w:p>
        </w:tc>
        <w:tc>
          <w:tcPr>
            <w:tcW w:w="1231" w:type="dxa"/>
            <w:vAlign w:val="center"/>
          </w:tcPr>
          <w:p w14:paraId="0173091F">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60</w:t>
            </w:r>
          </w:p>
        </w:tc>
        <w:tc>
          <w:tcPr>
            <w:tcW w:w="1228" w:type="dxa"/>
            <w:vAlign w:val="center"/>
          </w:tcPr>
          <w:p w14:paraId="2F0B5E1C">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100</w:t>
            </w:r>
          </w:p>
        </w:tc>
        <w:tc>
          <w:tcPr>
            <w:tcW w:w="1228" w:type="dxa"/>
            <w:vAlign w:val="center"/>
          </w:tcPr>
          <w:p w14:paraId="5D742AA1">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120①</w:t>
            </w:r>
          </w:p>
        </w:tc>
      </w:tr>
      <w:tr w14:paraId="19792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Align w:val="center"/>
          </w:tcPr>
          <w:p w14:paraId="33423144">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w:t>
            </w:r>
          </w:p>
        </w:tc>
        <w:tc>
          <w:tcPr>
            <w:tcW w:w="4141" w:type="dxa"/>
            <w:gridSpan w:val="2"/>
            <w:vAlign w:val="center"/>
          </w:tcPr>
          <w:p w14:paraId="1D9D9EC4">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生化需氧量（BOD5）</w:t>
            </w:r>
          </w:p>
        </w:tc>
        <w:tc>
          <w:tcPr>
            <w:tcW w:w="977" w:type="dxa"/>
            <w:vAlign w:val="center"/>
          </w:tcPr>
          <w:p w14:paraId="14B74395">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10</w:t>
            </w:r>
          </w:p>
        </w:tc>
        <w:tc>
          <w:tcPr>
            <w:tcW w:w="1231" w:type="dxa"/>
            <w:vAlign w:val="center"/>
          </w:tcPr>
          <w:p w14:paraId="06D64675">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20</w:t>
            </w:r>
          </w:p>
        </w:tc>
        <w:tc>
          <w:tcPr>
            <w:tcW w:w="1228" w:type="dxa"/>
            <w:vAlign w:val="center"/>
          </w:tcPr>
          <w:p w14:paraId="51A3FCCE">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30</w:t>
            </w:r>
          </w:p>
        </w:tc>
        <w:tc>
          <w:tcPr>
            <w:tcW w:w="1228" w:type="dxa"/>
            <w:vAlign w:val="center"/>
          </w:tcPr>
          <w:p w14:paraId="0132B2A7">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60①</w:t>
            </w:r>
          </w:p>
        </w:tc>
      </w:tr>
      <w:tr w14:paraId="35A1E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Align w:val="center"/>
          </w:tcPr>
          <w:p w14:paraId="2B55ECC5">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w:t>
            </w:r>
          </w:p>
        </w:tc>
        <w:tc>
          <w:tcPr>
            <w:tcW w:w="4141" w:type="dxa"/>
            <w:gridSpan w:val="2"/>
            <w:vAlign w:val="center"/>
          </w:tcPr>
          <w:p w14:paraId="6B9A26BB">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悬浮物（SS）</w:t>
            </w:r>
          </w:p>
        </w:tc>
        <w:tc>
          <w:tcPr>
            <w:tcW w:w="977" w:type="dxa"/>
            <w:vAlign w:val="center"/>
          </w:tcPr>
          <w:p w14:paraId="0261A1CC">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10</w:t>
            </w:r>
          </w:p>
        </w:tc>
        <w:tc>
          <w:tcPr>
            <w:tcW w:w="1231" w:type="dxa"/>
            <w:vAlign w:val="center"/>
          </w:tcPr>
          <w:p w14:paraId="6F5CC925">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20</w:t>
            </w:r>
          </w:p>
        </w:tc>
        <w:tc>
          <w:tcPr>
            <w:tcW w:w="1228" w:type="dxa"/>
            <w:vAlign w:val="center"/>
          </w:tcPr>
          <w:p w14:paraId="32939EB8">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30</w:t>
            </w:r>
          </w:p>
        </w:tc>
        <w:tc>
          <w:tcPr>
            <w:tcW w:w="1228" w:type="dxa"/>
            <w:vAlign w:val="center"/>
          </w:tcPr>
          <w:p w14:paraId="4377731E">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50</w:t>
            </w:r>
          </w:p>
        </w:tc>
      </w:tr>
      <w:tr w14:paraId="47AC1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Align w:val="center"/>
          </w:tcPr>
          <w:p w14:paraId="56908518">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4</w:t>
            </w:r>
          </w:p>
        </w:tc>
        <w:tc>
          <w:tcPr>
            <w:tcW w:w="4141" w:type="dxa"/>
            <w:gridSpan w:val="2"/>
            <w:vAlign w:val="center"/>
          </w:tcPr>
          <w:p w14:paraId="5431D00D">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动植物油</w:t>
            </w:r>
          </w:p>
        </w:tc>
        <w:tc>
          <w:tcPr>
            <w:tcW w:w="977" w:type="dxa"/>
            <w:vAlign w:val="center"/>
          </w:tcPr>
          <w:p w14:paraId="213A6EDE">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w:t>
            </w:r>
          </w:p>
        </w:tc>
        <w:tc>
          <w:tcPr>
            <w:tcW w:w="1231" w:type="dxa"/>
            <w:vAlign w:val="center"/>
          </w:tcPr>
          <w:p w14:paraId="162A5A8D">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w:t>
            </w:r>
          </w:p>
        </w:tc>
        <w:tc>
          <w:tcPr>
            <w:tcW w:w="1228" w:type="dxa"/>
            <w:vAlign w:val="center"/>
          </w:tcPr>
          <w:p w14:paraId="2E9493FB">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w:t>
            </w:r>
          </w:p>
        </w:tc>
        <w:tc>
          <w:tcPr>
            <w:tcW w:w="1228" w:type="dxa"/>
            <w:vAlign w:val="center"/>
          </w:tcPr>
          <w:p w14:paraId="11B08C14">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20</w:t>
            </w:r>
          </w:p>
        </w:tc>
      </w:tr>
      <w:tr w14:paraId="6E69C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Align w:val="center"/>
          </w:tcPr>
          <w:p w14:paraId="7055FDDF">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w:t>
            </w:r>
          </w:p>
        </w:tc>
        <w:tc>
          <w:tcPr>
            <w:tcW w:w="4141" w:type="dxa"/>
            <w:gridSpan w:val="2"/>
            <w:vAlign w:val="center"/>
          </w:tcPr>
          <w:p w14:paraId="3B2880BE">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石油类</w:t>
            </w:r>
          </w:p>
        </w:tc>
        <w:tc>
          <w:tcPr>
            <w:tcW w:w="977" w:type="dxa"/>
            <w:vAlign w:val="center"/>
          </w:tcPr>
          <w:p w14:paraId="1F2C7F28">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w:t>
            </w:r>
          </w:p>
        </w:tc>
        <w:tc>
          <w:tcPr>
            <w:tcW w:w="1231" w:type="dxa"/>
            <w:vAlign w:val="center"/>
          </w:tcPr>
          <w:p w14:paraId="4D214023">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w:t>
            </w:r>
          </w:p>
        </w:tc>
        <w:tc>
          <w:tcPr>
            <w:tcW w:w="1228" w:type="dxa"/>
            <w:vAlign w:val="center"/>
          </w:tcPr>
          <w:p w14:paraId="1D3E5C78">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w:t>
            </w:r>
          </w:p>
        </w:tc>
        <w:tc>
          <w:tcPr>
            <w:tcW w:w="1228" w:type="dxa"/>
            <w:vAlign w:val="center"/>
          </w:tcPr>
          <w:p w14:paraId="1AF458F1">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15</w:t>
            </w:r>
          </w:p>
        </w:tc>
      </w:tr>
      <w:tr w14:paraId="0B9A8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Align w:val="center"/>
          </w:tcPr>
          <w:p w14:paraId="7D3D9E1C">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6</w:t>
            </w:r>
          </w:p>
        </w:tc>
        <w:tc>
          <w:tcPr>
            <w:tcW w:w="4141" w:type="dxa"/>
            <w:gridSpan w:val="2"/>
            <w:vAlign w:val="center"/>
          </w:tcPr>
          <w:p w14:paraId="4DD3A49A">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阴离子表面活性剂</w:t>
            </w:r>
          </w:p>
        </w:tc>
        <w:tc>
          <w:tcPr>
            <w:tcW w:w="977" w:type="dxa"/>
            <w:vAlign w:val="center"/>
          </w:tcPr>
          <w:p w14:paraId="0AAACAA4">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0.5</w:t>
            </w:r>
          </w:p>
        </w:tc>
        <w:tc>
          <w:tcPr>
            <w:tcW w:w="1231" w:type="dxa"/>
            <w:vAlign w:val="center"/>
          </w:tcPr>
          <w:p w14:paraId="05754E38">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w:t>
            </w:r>
          </w:p>
        </w:tc>
        <w:tc>
          <w:tcPr>
            <w:tcW w:w="1228" w:type="dxa"/>
            <w:vAlign w:val="center"/>
          </w:tcPr>
          <w:p w14:paraId="2192F7A0">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w:t>
            </w:r>
          </w:p>
        </w:tc>
        <w:tc>
          <w:tcPr>
            <w:tcW w:w="1228" w:type="dxa"/>
            <w:vAlign w:val="center"/>
          </w:tcPr>
          <w:p w14:paraId="53478F78">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w:t>
            </w:r>
          </w:p>
        </w:tc>
      </w:tr>
      <w:tr w14:paraId="2FCA5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Align w:val="center"/>
          </w:tcPr>
          <w:p w14:paraId="3D226810">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7</w:t>
            </w:r>
          </w:p>
        </w:tc>
        <w:tc>
          <w:tcPr>
            <w:tcW w:w="4141" w:type="dxa"/>
            <w:gridSpan w:val="2"/>
            <w:vAlign w:val="center"/>
          </w:tcPr>
          <w:p w14:paraId="259A21CC">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总氮（以N计）</w:t>
            </w:r>
          </w:p>
        </w:tc>
        <w:tc>
          <w:tcPr>
            <w:tcW w:w="977" w:type="dxa"/>
            <w:vAlign w:val="center"/>
          </w:tcPr>
          <w:p w14:paraId="57565795">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15</w:t>
            </w:r>
          </w:p>
        </w:tc>
        <w:tc>
          <w:tcPr>
            <w:tcW w:w="1231" w:type="dxa"/>
            <w:vAlign w:val="center"/>
          </w:tcPr>
          <w:p w14:paraId="4F9593E6">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20</w:t>
            </w:r>
          </w:p>
        </w:tc>
        <w:tc>
          <w:tcPr>
            <w:tcW w:w="1228" w:type="dxa"/>
            <w:vAlign w:val="center"/>
          </w:tcPr>
          <w:p w14:paraId="3A0B7102">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w:t>
            </w:r>
          </w:p>
        </w:tc>
        <w:tc>
          <w:tcPr>
            <w:tcW w:w="1228" w:type="dxa"/>
            <w:vAlign w:val="center"/>
          </w:tcPr>
          <w:p w14:paraId="2DAF880C">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w:t>
            </w:r>
          </w:p>
        </w:tc>
      </w:tr>
      <w:tr w14:paraId="3F605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Align w:val="center"/>
          </w:tcPr>
          <w:p w14:paraId="0ACCE834">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8</w:t>
            </w:r>
          </w:p>
        </w:tc>
        <w:tc>
          <w:tcPr>
            <w:tcW w:w="4141" w:type="dxa"/>
            <w:gridSpan w:val="2"/>
            <w:vAlign w:val="center"/>
          </w:tcPr>
          <w:p w14:paraId="7D8B6C9A">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氨氮（以N计）②</w:t>
            </w:r>
          </w:p>
        </w:tc>
        <w:tc>
          <w:tcPr>
            <w:tcW w:w="977" w:type="dxa"/>
            <w:vAlign w:val="center"/>
          </w:tcPr>
          <w:p w14:paraId="2152979E">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5（8）</w:t>
            </w:r>
          </w:p>
        </w:tc>
        <w:tc>
          <w:tcPr>
            <w:tcW w:w="1231" w:type="dxa"/>
            <w:vAlign w:val="center"/>
          </w:tcPr>
          <w:p w14:paraId="75BD031F">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8（15）</w:t>
            </w:r>
          </w:p>
        </w:tc>
        <w:tc>
          <w:tcPr>
            <w:tcW w:w="1228" w:type="dxa"/>
            <w:vAlign w:val="center"/>
          </w:tcPr>
          <w:p w14:paraId="6A150A28">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25（30）</w:t>
            </w:r>
          </w:p>
        </w:tc>
        <w:tc>
          <w:tcPr>
            <w:tcW w:w="1228" w:type="dxa"/>
            <w:vAlign w:val="center"/>
          </w:tcPr>
          <w:p w14:paraId="47B9DE43">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w:t>
            </w:r>
          </w:p>
        </w:tc>
      </w:tr>
      <w:tr w14:paraId="0A918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Merge w:val="restart"/>
            <w:vAlign w:val="center"/>
          </w:tcPr>
          <w:p w14:paraId="7CFC4C5F">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9</w:t>
            </w:r>
          </w:p>
        </w:tc>
        <w:tc>
          <w:tcPr>
            <w:tcW w:w="1516" w:type="dxa"/>
            <w:vMerge w:val="restart"/>
            <w:vAlign w:val="center"/>
          </w:tcPr>
          <w:p w14:paraId="489CF7DE">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总磷（以P计）</w:t>
            </w:r>
          </w:p>
        </w:tc>
        <w:tc>
          <w:tcPr>
            <w:tcW w:w="2625" w:type="dxa"/>
            <w:vAlign w:val="center"/>
          </w:tcPr>
          <w:p w14:paraId="2B6BF45F">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2005年12月31日前建设的</w:t>
            </w:r>
          </w:p>
        </w:tc>
        <w:tc>
          <w:tcPr>
            <w:tcW w:w="977" w:type="dxa"/>
            <w:vAlign w:val="center"/>
          </w:tcPr>
          <w:p w14:paraId="197A178A">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w:t>
            </w:r>
          </w:p>
        </w:tc>
        <w:tc>
          <w:tcPr>
            <w:tcW w:w="1231" w:type="dxa"/>
            <w:vAlign w:val="center"/>
          </w:tcPr>
          <w:p w14:paraId="37D8F184">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1.5</w:t>
            </w:r>
          </w:p>
        </w:tc>
        <w:tc>
          <w:tcPr>
            <w:tcW w:w="1228" w:type="dxa"/>
            <w:vAlign w:val="center"/>
          </w:tcPr>
          <w:p w14:paraId="7B25A5C1">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w:t>
            </w:r>
          </w:p>
        </w:tc>
        <w:tc>
          <w:tcPr>
            <w:tcW w:w="1228" w:type="dxa"/>
            <w:vAlign w:val="center"/>
          </w:tcPr>
          <w:p w14:paraId="7188BB21">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w:t>
            </w:r>
          </w:p>
        </w:tc>
      </w:tr>
      <w:tr w14:paraId="21D07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Merge w:val="continue"/>
            <w:tcBorders>
              <w:top w:val="nil"/>
            </w:tcBorders>
            <w:vAlign w:val="center"/>
          </w:tcPr>
          <w:p w14:paraId="17F09504">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val="en-US"/>
              </w:rPr>
            </w:pPr>
          </w:p>
        </w:tc>
        <w:tc>
          <w:tcPr>
            <w:tcW w:w="1516" w:type="dxa"/>
            <w:vMerge w:val="continue"/>
            <w:tcBorders>
              <w:top w:val="nil"/>
            </w:tcBorders>
            <w:vAlign w:val="center"/>
          </w:tcPr>
          <w:p w14:paraId="345AD7D3">
            <w:pPr>
              <w:keepNext w:val="0"/>
              <w:keepLines w:val="0"/>
              <w:pageBreakBefore w:val="0"/>
              <w:widowControl w:val="0"/>
              <w:kinsoku/>
              <w:wordWrap/>
              <w:overflowPunct/>
              <w:topLinePunct w:val="0"/>
              <w:autoSpaceDE w:val="0"/>
              <w:autoSpaceDN w:val="0"/>
              <w:bidi w:val="0"/>
              <w:adjustRightInd/>
              <w:snapToGrid/>
              <w:spacing w:line="280" w:lineRule="exact"/>
              <w:jc w:val="center"/>
              <w:textAlignment w:val="auto"/>
              <w:rPr>
                <w:rFonts w:hint="default" w:ascii="Times New Roman" w:hAnsi="Times New Roman" w:cs="Times New Roman"/>
                <w:sz w:val="24"/>
                <w:szCs w:val="24"/>
                <w:lang w:val="en-US"/>
              </w:rPr>
            </w:pPr>
          </w:p>
        </w:tc>
        <w:tc>
          <w:tcPr>
            <w:tcW w:w="2625" w:type="dxa"/>
            <w:vAlign w:val="center"/>
          </w:tcPr>
          <w:p w14:paraId="00D1DD8E">
            <w:pPr>
              <w:pStyle w:val="29"/>
              <w:keepNext w:val="0"/>
              <w:keepLines w:val="0"/>
              <w:pageBreakBefore w:val="0"/>
              <w:widowControl w:val="0"/>
              <w:kinsoku/>
              <w:wordWrap/>
              <w:overflowPunct/>
              <w:topLinePunct w:val="0"/>
              <w:autoSpaceDE w:val="0"/>
              <w:autoSpaceDN w:val="0"/>
              <w:bidi w:val="0"/>
              <w:adjustRightInd/>
              <w:snapToGrid/>
              <w:spacing w:line="280" w:lineRule="exact"/>
              <w:ind w:left="9"/>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2006年1月1日起建设的</w:t>
            </w:r>
          </w:p>
        </w:tc>
        <w:tc>
          <w:tcPr>
            <w:tcW w:w="977" w:type="dxa"/>
            <w:vAlign w:val="center"/>
          </w:tcPr>
          <w:p w14:paraId="1743279A">
            <w:pPr>
              <w:pStyle w:val="29"/>
              <w:keepNext w:val="0"/>
              <w:keepLines w:val="0"/>
              <w:pageBreakBefore w:val="0"/>
              <w:widowControl w:val="0"/>
              <w:kinsoku/>
              <w:wordWrap/>
              <w:overflowPunct/>
              <w:topLinePunct w:val="0"/>
              <w:autoSpaceDE w:val="0"/>
              <w:autoSpaceDN w:val="0"/>
              <w:bidi w:val="0"/>
              <w:adjustRightInd/>
              <w:snapToGrid/>
              <w:spacing w:line="280" w:lineRule="exact"/>
              <w:ind w:left="188" w:right="18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0.5</w:t>
            </w:r>
          </w:p>
        </w:tc>
        <w:tc>
          <w:tcPr>
            <w:tcW w:w="1231" w:type="dxa"/>
            <w:vAlign w:val="center"/>
          </w:tcPr>
          <w:p w14:paraId="76E024B5">
            <w:pPr>
              <w:pStyle w:val="29"/>
              <w:keepNext w:val="0"/>
              <w:keepLines w:val="0"/>
              <w:pageBreakBefore w:val="0"/>
              <w:widowControl w:val="0"/>
              <w:kinsoku/>
              <w:wordWrap/>
              <w:overflowPunct/>
              <w:topLinePunct w:val="0"/>
              <w:autoSpaceDE w:val="0"/>
              <w:autoSpaceDN w:val="0"/>
              <w:bidi w:val="0"/>
              <w:adjustRightInd/>
              <w:snapToGrid/>
              <w:spacing w:line="280" w:lineRule="exact"/>
              <w:ind w:left="7"/>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w:t>
            </w:r>
          </w:p>
        </w:tc>
        <w:tc>
          <w:tcPr>
            <w:tcW w:w="1228" w:type="dxa"/>
            <w:vAlign w:val="center"/>
          </w:tcPr>
          <w:p w14:paraId="1460D93C">
            <w:pPr>
              <w:pStyle w:val="29"/>
              <w:keepNext w:val="0"/>
              <w:keepLines w:val="0"/>
              <w:pageBreakBefore w:val="0"/>
              <w:widowControl w:val="0"/>
              <w:kinsoku/>
              <w:wordWrap/>
              <w:overflowPunct/>
              <w:topLinePunct w:val="0"/>
              <w:autoSpaceDE w:val="0"/>
              <w:autoSpaceDN w:val="0"/>
              <w:bidi w:val="0"/>
              <w:adjustRightInd/>
              <w:snapToGrid/>
              <w:spacing w:line="280" w:lineRule="exact"/>
              <w:ind w:left="7"/>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w:t>
            </w:r>
          </w:p>
        </w:tc>
        <w:tc>
          <w:tcPr>
            <w:tcW w:w="1228" w:type="dxa"/>
            <w:vAlign w:val="center"/>
          </w:tcPr>
          <w:p w14:paraId="183DC345">
            <w:pPr>
              <w:pStyle w:val="29"/>
              <w:keepNext w:val="0"/>
              <w:keepLines w:val="0"/>
              <w:pageBreakBefore w:val="0"/>
              <w:widowControl w:val="0"/>
              <w:kinsoku/>
              <w:wordWrap/>
              <w:overflowPunct/>
              <w:topLinePunct w:val="0"/>
              <w:autoSpaceDE w:val="0"/>
              <w:autoSpaceDN w:val="0"/>
              <w:bidi w:val="0"/>
              <w:adjustRightInd/>
              <w:snapToGrid/>
              <w:spacing w:line="280" w:lineRule="exact"/>
              <w:ind w:left="7"/>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w:t>
            </w:r>
          </w:p>
        </w:tc>
      </w:tr>
      <w:tr w14:paraId="76B4C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Align w:val="center"/>
          </w:tcPr>
          <w:p w14:paraId="4E05EFAC">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10</w:t>
            </w:r>
          </w:p>
        </w:tc>
        <w:tc>
          <w:tcPr>
            <w:tcW w:w="4141" w:type="dxa"/>
            <w:gridSpan w:val="2"/>
            <w:vAlign w:val="center"/>
          </w:tcPr>
          <w:p w14:paraId="474A583E">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色度（稀释倍数）</w:t>
            </w:r>
          </w:p>
        </w:tc>
        <w:tc>
          <w:tcPr>
            <w:tcW w:w="977" w:type="dxa"/>
            <w:vAlign w:val="center"/>
          </w:tcPr>
          <w:p w14:paraId="7F78C218">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30</w:t>
            </w:r>
          </w:p>
        </w:tc>
        <w:tc>
          <w:tcPr>
            <w:tcW w:w="1231" w:type="dxa"/>
            <w:vAlign w:val="center"/>
          </w:tcPr>
          <w:p w14:paraId="72EFD6FD">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30</w:t>
            </w:r>
          </w:p>
        </w:tc>
        <w:tc>
          <w:tcPr>
            <w:tcW w:w="1228" w:type="dxa"/>
            <w:vAlign w:val="center"/>
          </w:tcPr>
          <w:p w14:paraId="3A940BD4">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40</w:t>
            </w:r>
          </w:p>
        </w:tc>
        <w:tc>
          <w:tcPr>
            <w:tcW w:w="1228" w:type="dxa"/>
            <w:vAlign w:val="center"/>
          </w:tcPr>
          <w:p w14:paraId="3E460BCA">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50</w:t>
            </w:r>
          </w:p>
        </w:tc>
      </w:tr>
      <w:tr w14:paraId="36E53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Align w:val="center"/>
          </w:tcPr>
          <w:p w14:paraId="77CEF1BB">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11</w:t>
            </w:r>
          </w:p>
        </w:tc>
        <w:tc>
          <w:tcPr>
            <w:tcW w:w="4141" w:type="dxa"/>
            <w:gridSpan w:val="2"/>
            <w:vAlign w:val="center"/>
          </w:tcPr>
          <w:p w14:paraId="56D2ACDE">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pH</w:t>
            </w:r>
          </w:p>
        </w:tc>
        <w:tc>
          <w:tcPr>
            <w:tcW w:w="4664" w:type="dxa"/>
            <w:gridSpan w:val="4"/>
            <w:vAlign w:val="center"/>
          </w:tcPr>
          <w:p w14:paraId="1361A83A">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6-9</w:t>
            </w:r>
          </w:p>
        </w:tc>
      </w:tr>
      <w:tr w14:paraId="60C3D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2" w:type="dxa"/>
            <w:vAlign w:val="center"/>
          </w:tcPr>
          <w:p w14:paraId="23517CEF">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12</w:t>
            </w:r>
          </w:p>
        </w:tc>
        <w:tc>
          <w:tcPr>
            <w:tcW w:w="4141" w:type="dxa"/>
            <w:gridSpan w:val="2"/>
            <w:vAlign w:val="center"/>
          </w:tcPr>
          <w:p w14:paraId="72AF1DD3">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粪大肠菌群数（个/L）</w:t>
            </w:r>
          </w:p>
        </w:tc>
        <w:tc>
          <w:tcPr>
            <w:tcW w:w="977" w:type="dxa"/>
            <w:vAlign w:val="center"/>
          </w:tcPr>
          <w:p w14:paraId="350B9CD1">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10</w:t>
            </w:r>
            <w:r>
              <w:rPr>
                <w:rFonts w:hint="default" w:ascii="Times New Roman" w:hAnsi="Times New Roman" w:eastAsia="仿宋_GB2312" w:cs="Times New Roman"/>
                <w:sz w:val="24"/>
                <w:szCs w:val="24"/>
                <w:vertAlign w:val="superscript"/>
                <w:lang w:val="en-US"/>
              </w:rPr>
              <w:t>3</w:t>
            </w:r>
          </w:p>
        </w:tc>
        <w:tc>
          <w:tcPr>
            <w:tcW w:w="1231" w:type="dxa"/>
            <w:vAlign w:val="center"/>
          </w:tcPr>
          <w:p w14:paraId="21D6EB76">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10</w:t>
            </w:r>
            <w:r>
              <w:rPr>
                <w:rFonts w:hint="default" w:ascii="Times New Roman" w:hAnsi="Times New Roman" w:eastAsia="仿宋_GB2312" w:cs="Times New Roman"/>
                <w:sz w:val="24"/>
                <w:szCs w:val="24"/>
                <w:vertAlign w:val="superscript"/>
                <w:lang w:val="en-US"/>
              </w:rPr>
              <w:t>4</w:t>
            </w:r>
          </w:p>
        </w:tc>
        <w:tc>
          <w:tcPr>
            <w:tcW w:w="1228" w:type="dxa"/>
            <w:vAlign w:val="center"/>
          </w:tcPr>
          <w:p w14:paraId="06D753BA">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10</w:t>
            </w:r>
            <w:r>
              <w:rPr>
                <w:rFonts w:hint="default" w:ascii="Times New Roman" w:hAnsi="Times New Roman" w:eastAsia="仿宋_GB2312" w:cs="Times New Roman"/>
                <w:sz w:val="24"/>
                <w:szCs w:val="24"/>
                <w:vertAlign w:val="superscript"/>
                <w:lang w:val="en-US"/>
              </w:rPr>
              <w:t>4</w:t>
            </w:r>
          </w:p>
        </w:tc>
        <w:tc>
          <w:tcPr>
            <w:tcW w:w="1228" w:type="dxa"/>
            <w:vAlign w:val="center"/>
          </w:tcPr>
          <w:p w14:paraId="0C831946">
            <w:pPr>
              <w:pStyle w:val="29"/>
              <w:keepNext w:val="0"/>
              <w:keepLines w:val="0"/>
              <w:pageBreakBefore w:val="0"/>
              <w:widowControl w:val="0"/>
              <w:kinsoku/>
              <w:wordWrap/>
              <w:overflowPunct/>
              <w:topLinePunct w:val="0"/>
              <w:autoSpaceDE w:val="0"/>
              <w:autoSpaceDN w:val="0"/>
              <w:bidi w:val="0"/>
              <w:adjustRightInd/>
              <w:snapToGrid/>
              <w:spacing w:before="57" w:line="280" w:lineRule="exact"/>
              <w:ind w:left="218"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w:t>
            </w:r>
          </w:p>
        </w:tc>
      </w:tr>
      <w:tr w14:paraId="63CCE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9657" w:type="dxa"/>
            <w:gridSpan w:val="7"/>
            <w:vAlign w:val="center"/>
          </w:tcPr>
          <w:p w14:paraId="1F591CA3">
            <w:pPr>
              <w:pStyle w:val="29"/>
              <w:keepNext w:val="0"/>
              <w:keepLines w:val="0"/>
              <w:pageBreakBefore w:val="0"/>
              <w:widowControl w:val="0"/>
              <w:kinsoku/>
              <w:wordWrap/>
              <w:overflowPunct/>
              <w:topLinePunct w:val="0"/>
              <w:autoSpaceDE w:val="0"/>
              <w:autoSpaceDN w:val="0"/>
              <w:bidi w:val="0"/>
              <w:adjustRightInd/>
              <w:snapToGrid/>
              <w:spacing w:before="57" w:line="280" w:lineRule="exact"/>
              <w:ind w:right="211"/>
              <w:jc w:val="center"/>
              <w:textAlignment w:val="auto"/>
              <w:rPr>
                <w:rFonts w:hint="default" w:ascii="Times New Roman" w:hAnsi="Times New Roman" w:eastAsia="仿宋_GB2312" w:cs="Times New Roman"/>
                <w:sz w:val="24"/>
                <w:szCs w:val="24"/>
                <w:lang w:val="en-US"/>
              </w:rPr>
            </w:pPr>
            <w:r>
              <w:rPr>
                <w:rFonts w:hint="default" w:ascii="Times New Roman" w:hAnsi="Times New Roman" w:eastAsia="仿宋_GB2312" w:cs="Times New Roman"/>
                <w:sz w:val="24"/>
                <w:szCs w:val="24"/>
                <w:lang w:val="en-US"/>
              </w:rPr>
              <w:t>①下列情况下按去除率指标执行：当进水COD大于350mg/L时，去除率应大于60%；BOD大于160mg/L时，去除率应大于50%。</w:t>
            </w:r>
          </w:p>
          <w:p w14:paraId="55CEE426">
            <w:pPr>
              <w:pStyle w:val="29"/>
              <w:keepNext w:val="0"/>
              <w:keepLines w:val="0"/>
              <w:pageBreakBefore w:val="0"/>
              <w:widowControl w:val="0"/>
              <w:kinsoku/>
              <w:wordWrap/>
              <w:overflowPunct/>
              <w:topLinePunct w:val="0"/>
              <w:autoSpaceDE w:val="0"/>
              <w:autoSpaceDN w:val="0"/>
              <w:bidi w:val="0"/>
              <w:adjustRightInd/>
              <w:snapToGrid/>
              <w:spacing w:before="57" w:line="280" w:lineRule="exact"/>
              <w:ind w:right="211"/>
              <w:jc w:val="center"/>
              <w:textAlignment w:val="auto"/>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②括号外数值为水温&gt;120C时的控制指标，括号内数值为水温≤120C时的控制指标。</w:t>
            </w:r>
          </w:p>
        </w:tc>
      </w:tr>
    </w:tbl>
    <w:p w14:paraId="1B5096F6">
      <w:pPr>
        <w:ind w:firstLine="560" w:firstLineChars="200"/>
        <w:jc w:val="both"/>
        <w:rPr>
          <w:rFonts w:hint="default" w:ascii="Times New Roman" w:hAnsi="Times New Roman" w:eastAsia="仿宋_GB2312" w:cs="Times New Roman"/>
          <w:lang w:val="en-US" w:eastAsia="zh-CN"/>
        </w:rPr>
      </w:pPr>
      <w:bookmarkStart w:id="70" w:name="_Toc10872"/>
      <w:bookmarkStart w:id="71" w:name="_Toc17336"/>
    </w:p>
    <w:p w14:paraId="251DD3E1">
      <w:pPr>
        <w:keepNext w:val="0"/>
        <w:keepLines w:val="0"/>
        <w:pageBreakBefore w:val="0"/>
        <w:widowControl w:val="0"/>
        <w:kinsoku/>
        <w:wordWrap/>
        <w:overflowPunct/>
        <w:topLinePunct w:val="0"/>
        <w:autoSpaceDE w:val="0"/>
        <w:autoSpaceDN w:val="0"/>
        <w:bidi w:val="0"/>
        <w:adjustRightInd/>
        <w:snapToGrid/>
        <w:spacing w:line="576"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备注：若尾水要资源化再生利用，应满足国家或地方相应的标准或要求。其中，用于农田、林地、草地等施肥的，应符合施肥的相关标准和要求；用于农田灌溉的，相关控制指标应满足GB5084规定；用于渔业的，相关控制指标应满足GB11607和GB3097规定；用于景观环境的，相关控制指标应满足GB/T18921规定。</w:t>
      </w:r>
    </w:p>
    <w:p w14:paraId="7C646331">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outlineLvl w:val="1"/>
        <w:rPr>
          <w:rFonts w:hint="default" w:ascii="Times New Roman" w:hAnsi="Times New Roman" w:eastAsia="黑体" w:cs="Times New Roman"/>
          <w:b w:val="0"/>
          <w:bCs w:val="0"/>
          <w:sz w:val="32"/>
          <w:szCs w:val="32"/>
          <w:lang w:val="en-US" w:eastAsia="zh-CN" w:bidi="zh-CN"/>
        </w:rPr>
      </w:pPr>
      <w:bookmarkStart w:id="72" w:name="_Toc443"/>
      <w:r>
        <w:rPr>
          <w:rFonts w:hint="default" w:ascii="Times New Roman" w:hAnsi="Times New Roman" w:eastAsia="黑体" w:cs="Times New Roman"/>
          <w:b w:val="0"/>
          <w:bCs w:val="0"/>
          <w:sz w:val="32"/>
          <w:szCs w:val="32"/>
          <w:lang w:val="en-US" w:eastAsia="zh-CN" w:bidi="zh-CN"/>
        </w:rPr>
        <w:t>3.4污水处理工艺的选择</w:t>
      </w:r>
      <w:bookmarkEnd w:id="70"/>
      <w:bookmarkEnd w:id="71"/>
      <w:bookmarkEnd w:id="72"/>
    </w:p>
    <w:p w14:paraId="44CDFBFC">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firstLine="643" w:firstLineChars="200"/>
        <w:textAlignment w:val="auto"/>
        <w:rPr>
          <w:rFonts w:hint="default" w:ascii="Times New Roman" w:hAnsi="Times New Roman" w:eastAsia="楷体_GB2312" w:cs="Times New Roman"/>
          <w:sz w:val="32"/>
          <w:szCs w:val="32"/>
          <w:lang w:val="en-US"/>
        </w:rPr>
      </w:pPr>
      <w:bookmarkStart w:id="73" w:name="_Toc27273"/>
      <w:bookmarkStart w:id="74" w:name="_Toc26312"/>
      <w:r>
        <w:rPr>
          <w:rFonts w:hint="default" w:ascii="Times New Roman" w:hAnsi="Times New Roman" w:eastAsia="楷体_GB2312" w:cs="Times New Roman"/>
          <w:sz w:val="32"/>
          <w:szCs w:val="32"/>
          <w:lang w:val="en-US"/>
        </w:rPr>
        <w:t>3.4.1工艺选择原则</w:t>
      </w:r>
      <w:bookmarkEnd w:id="73"/>
      <w:bookmarkEnd w:id="74"/>
    </w:p>
    <w:p w14:paraId="01133C41">
      <w:pPr>
        <w:keepNext w:val="0"/>
        <w:keepLines w:val="0"/>
        <w:pageBreakBefore w:val="0"/>
        <w:widowControl w:val="0"/>
        <w:kinsoku/>
        <w:wordWrap/>
        <w:overflowPunct/>
        <w:topLinePunct w:val="0"/>
        <w:autoSpaceDE w:val="0"/>
        <w:autoSpaceDN w:val="0"/>
        <w:bidi w:val="0"/>
        <w:adjustRightInd/>
        <w:snapToGrid/>
        <w:spacing w:line="576"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农村污水处理工艺在选择的时候，要遵循技术成熟、处理效果稳定，确保出水水质，基建投资和运行费用低，运行管理方便、运转灵活，技术及设备先进、可靠且可行等选择原则。</w:t>
      </w:r>
    </w:p>
    <w:p w14:paraId="178A63E6">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1、采用的工艺运行可靠、技术成熟、处理效果良好，能保证出水水质达到排放标准，从而解决污水对水资源及城市环境的影响。</w:t>
      </w:r>
    </w:p>
    <w:p w14:paraId="6A9FFF78">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2、采用的工艺投资省、污水处理厂占地面积小，能耗少，运行费用低。</w:t>
      </w:r>
    </w:p>
    <w:p w14:paraId="22692D48">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3、安全稳妥的处理处置污泥，节省投资，避免二次污染。</w:t>
      </w:r>
    </w:p>
    <w:p w14:paraId="133BD1BC">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4、所采用的工艺应运转灵活，能适应一定的水质、水量的变化。</w:t>
      </w:r>
    </w:p>
    <w:p w14:paraId="62E7631E">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5、操作管理简便有效。</w:t>
      </w:r>
    </w:p>
    <w:p w14:paraId="4B4D1EB3">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sz w:val="32"/>
          <w:szCs w:val="32"/>
          <w:lang w:val="en-US"/>
        </w:rPr>
        <w:t>6、提高项目社会效益、环境效益及综合经济效益。</w:t>
      </w:r>
      <w:bookmarkStart w:id="75" w:name="_Toc6186"/>
      <w:bookmarkStart w:id="76" w:name="_Toc1219"/>
    </w:p>
    <w:p w14:paraId="27706AE5">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50" w:lineRule="exact"/>
        <w:ind w:left="0" w:firstLine="643" w:firstLineChars="200"/>
        <w:textAlignment w:val="auto"/>
        <w:rPr>
          <w:rFonts w:hint="default" w:ascii="Times New Roman" w:hAnsi="Times New Roman" w:eastAsia="楷体_GB2312" w:cs="Times New Roman"/>
          <w:sz w:val="32"/>
          <w:szCs w:val="32"/>
          <w:lang w:val="en-US"/>
        </w:rPr>
      </w:pPr>
      <w:r>
        <w:rPr>
          <w:rFonts w:hint="default" w:ascii="Times New Roman" w:hAnsi="Times New Roman" w:eastAsia="楷体_GB2312" w:cs="Times New Roman"/>
          <w:sz w:val="32"/>
          <w:szCs w:val="32"/>
          <w:lang w:val="en-US"/>
        </w:rPr>
        <w:t>3.4.2农村污水主要处理工艺简介</w:t>
      </w:r>
      <w:bookmarkEnd w:id="75"/>
      <w:bookmarkEnd w:id="76"/>
    </w:p>
    <w:p w14:paraId="69D1A985">
      <w:pPr>
        <w:keepNext w:val="0"/>
        <w:keepLines w:val="0"/>
        <w:pageBreakBefore w:val="0"/>
        <w:widowControl w:val="0"/>
        <w:kinsoku/>
        <w:wordWrap/>
        <w:overflowPunct/>
        <w:topLinePunct w:val="0"/>
        <w:autoSpaceDE w:val="0"/>
        <w:autoSpaceDN w:val="0"/>
        <w:bidi w:val="0"/>
        <w:adjustRightInd/>
        <w:snapToGrid/>
        <w:spacing w:line="550" w:lineRule="exact"/>
        <w:ind w:firstLine="643" w:firstLineChars="200"/>
        <w:jc w:val="both"/>
        <w:textAlignment w:val="auto"/>
        <w:rPr>
          <w:rFonts w:hint="default" w:ascii="Times New Roman" w:hAnsi="Times New Roman" w:eastAsia="楷体_GB2312" w:cs="Times New Roman"/>
          <w:b/>
          <w:bCs/>
          <w:sz w:val="32"/>
          <w:szCs w:val="32"/>
          <w:lang w:val="en-US"/>
        </w:rPr>
      </w:pPr>
      <w:r>
        <w:rPr>
          <w:rFonts w:hint="default" w:ascii="Times New Roman" w:hAnsi="Times New Roman" w:eastAsia="楷体_GB2312" w:cs="Times New Roman"/>
          <w:b/>
          <w:bCs/>
          <w:sz w:val="32"/>
          <w:szCs w:val="32"/>
          <w:lang w:val="en-US"/>
        </w:rPr>
        <w:t>（一）农村污水处理集中处理工艺</w:t>
      </w:r>
    </w:p>
    <w:p w14:paraId="42A2F607">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（1）A</w:t>
      </w:r>
      <w:r>
        <w:rPr>
          <w:rFonts w:hint="default" w:ascii="Times New Roman" w:hAnsi="Times New Roman" w:eastAsia="仿宋_GB2312" w:cs="Times New Roman"/>
          <w:sz w:val="32"/>
          <w:szCs w:val="32"/>
          <w:vertAlign w:val="superscript"/>
          <w:lang w:val="en-US"/>
        </w:rPr>
        <w:t>2</w:t>
      </w:r>
      <w:r>
        <w:rPr>
          <w:rFonts w:hint="default" w:ascii="Times New Roman" w:hAnsi="Times New Roman" w:eastAsia="仿宋_GB2312" w:cs="Times New Roman"/>
          <w:sz w:val="32"/>
          <w:szCs w:val="32"/>
          <w:lang w:val="en-US"/>
        </w:rPr>
        <w:t>/O工艺</w:t>
      </w:r>
    </w:p>
    <w:p w14:paraId="03EC3153">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A</w:t>
      </w:r>
      <w:r>
        <w:rPr>
          <w:rFonts w:hint="default" w:ascii="Times New Roman" w:hAnsi="Times New Roman" w:eastAsia="仿宋_GB2312" w:cs="Times New Roman"/>
          <w:sz w:val="32"/>
          <w:szCs w:val="32"/>
          <w:vertAlign w:val="superscript"/>
          <w:lang w:val="en-US"/>
        </w:rPr>
        <w:t>2</w:t>
      </w:r>
      <w:r>
        <w:rPr>
          <w:rFonts w:hint="default" w:ascii="Times New Roman" w:hAnsi="Times New Roman" w:eastAsia="仿宋_GB2312" w:cs="Times New Roman"/>
          <w:sz w:val="32"/>
          <w:szCs w:val="32"/>
          <w:lang w:val="en-US"/>
        </w:rPr>
        <w:t>/O工艺是厌氧-缺氧-好氧工艺的简称，具有良好的脱氮除磷效果。厌氧区主要功能是释放磷，需要碳源和沉淀池含磷污泥回流；缺氧区功能是反硝化脱氮，需要碳源和好氧区的硝态氮混合液内回流；好氧（曝气）区功能是去除有机物、硝化和吸收磷，混合液回流到缺氧区；沉淀池功能是泥水分离，污泥一部分回流至厌氧区，一部分剩余污泥排放（除磷），上清液作为处理水排放。</w:t>
      </w:r>
    </w:p>
    <w:p w14:paraId="57CFE3A0">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该工艺的特点：①污染物去除效率高，运行稳定，有较好的耐冲击负荷；②污泥沉降性能好；③厌氧、缺氧、好氧三种不同的环境条件和不同种类微生物菌群的有机配合，能同时具有去除有机物、脱氮除磷的功能；④污泥含磷浓度高，具有较高的肥效；⑤运行无须投药，A段仅需轻缓搅拌，运行费用低；⑥脱氮效果受回流比影响较大，除磷效果则受回流污泥中夹带溶解氧和硝态氮的影响，因为脱氮除磷效果不可能很高。</w:t>
      </w:r>
    </w:p>
    <w:p w14:paraId="0CD46953">
      <w:pPr>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目前采用的A</w:t>
      </w:r>
      <w:r>
        <w:rPr>
          <w:rFonts w:hint="default" w:ascii="Times New Roman" w:hAnsi="Times New Roman" w:eastAsia="仿宋_GB2312" w:cs="Times New Roman"/>
          <w:sz w:val="32"/>
          <w:szCs w:val="32"/>
          <w:vertAlign w:val="superscript"/>
          <w:lang w:val="en-US"/>
        </w:rPr>
        <w:t>2</w:t>
      </w:r>
      <w:r>
        <w:rPr>
          <w:rFonts w:hint="default" w:ascii="Times New Roman" w:hAnsi="Times New Roman" w:eastAsia="仿宋_GB2312" w:cs="Times New Roman"/>
          <w:sz w:val="32"/>
          <w:szCs w:val="32"/>
          <w:lang w:val="en-US"/>
        </w:rPr>
        <w:t>/O工艺是一种集成化、模块化的污水生物处理系统，适用于出水水质要求高、用地紧张的新型农村社区，以及接入民宿、农家乐等水量大、水质差的生活污水处理系统。在实际运行中常与人工湿地配合使用，可加强脱氮除磷效果。</w:t>
      </w:r>
    </w:p>
    <w:p w14:paraId="72BACA1D">
      <w:pPr>
        <w:pStyle w:val="2"/>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bidi="ar-SA"/>
        </w:rPr>
        <w:drawing>
          <wp:anchor distT="0" distB="0" distL="114300" distR="114300" simplePos="0" relativeHeight="251659264" behindDoc="0" locked="0" layoutInCell="1" allowOverlap="1">
            <wp:simplePos x="0" y="0"/>
            <wp:positionH relativeFrom="column">
              <wp:posOffset>252095</wp:posOffset>
            </wp:positionH>
            <wp:positionV relativeFrom="paragraph">
              <wp:posOffset>35560</wp:posOffset>
            </wp:positionV>
            <wp:extent cx="5043805" cy="1778635"/>
            <wp:effectExtent l="0" t="0" r="4445" b="12065"/>
            <wp:wrapNone/>
            <wp:docPr id="2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3"/>
                    <pic:cNvPicPr>
                      <a:picLocks noChangeAspect="1"/>
                    </pic:cNvPicPr>
                  </pic:nvPicPr>
                  <pic:blipFill>
                    <a:blip r:embed="rId19" cstate="print"/>
                    <a:stretch>
                      <a:fillRect/>
                    </a:stretch>
                  </pic:blipFill>
                  <pic:spPr>
                    <a:xfrm>
                      <a:off x="0" y="0"/>
                      <a:ext cx="5043805" cy="1778635"/>
                    </a:xfrm>
                    <a:prstGeom prst="rect">
                      <a:avLst/>
                    </a:prstGeom>
                    <a:noFill/>
                    <a:ln>
                      <a:noFill/>
                    </a:ln>
                  </pic:spPr>
                </pic:pic>
              </a:graphicData>
            </a:graphic>
          </wp:anchor>
        </w:drawing>
      </w:r>
    </w:p>
    <w:p w14:paraId="77AA2CCF">
      <w:pPr>
        <w:pStyle w:val="2"/>
        <w:rPr>
          <w:rFonts w:hint="default" w:ascii="Times New Roman" w:hAnsi="Times New Roman" w:eastAsia="仿宋_GB2312" w:cs="Times New Roman"/>
          <w:sz w:val="32"/>
          <w:szCs w:val="32"/>
          <w:lang w:val="en-US"/>
        </w:rPr>
      </w:pPr>
    </w:p>
    <w:p w14:paraId="17325466">
      <w:pPr>
        <w:pStyle w:val="2"/>
        <w:rPr>
          <w:rFonts w:hint="default" w:ascii="Times New Roman" w:hAnsi="Times New Roman" w:cs="Times New Roman"/>
          <w:lang w:val="en-US"/>
        </w:rPr>
      </w:pPr>
    </w:p>
    <w:p w14:paraId="68E078C0">
      <w:pPr>
        <w:pStyle w:val="12"/>
        <w:keepNext w:val="0"/>
        <w:keepLines w:val="0"/>
        <w:pageBreakBefore w:val="0"/>
        <w:widowControl w:val="0"/>
        <w:kinsoku/>
        <w:wordWrap/>
        <w:overflowPunct/>
        <w:topLinePunct w:val="0"/>
        <w:autoSpaceDE w:val="0"/>
        <w:autoSpaceDN w:val="0"/>
        <w:bidi w:val="0"/>
        <w:adjustRightInd/>
        <w:snapToGrid/>
        <w:spacing w:line="576" w:lineRule="exact"/>
        <w:ind w:right="374" w:firstLine="640" w:firstLineChars="200"/>
        <w:jc w:val="both"/>
        <w:textAlignment w:val="auto"/>
        <w:rPr>
          <w:rFonts w:hint="default" w:ascii="Times New Roman" w:hAnsi="Times New Roman" w:eastAsia="仿宋_GB2312" w:cs="Times New Roman"/>
          <w:sz w:val="32"/>
          <w:szCs w:val="32"/>
        </w:rPr>
      </w:pPr>
    </w:p>
    <w:p w14:paraId="3150FCF6">
      <w:pPr>
        <w:keepNext w:val="0"/>
        <w:keepLines w:val="0"/>
        <w:pageBreakBefore w:val="0"/>
        <w:widowControl w:val="0"/>
        <w:kinsoku/>
        <w:wordWrap/>
        <w:overflowPunct/>
        <w:topLinePunct w:val="0"/>
        <w:autoSpaceDE w:val="0"/>
        <w:autoSpaceDN w:val="0"/>
        <w:bidi w:val="0"/>
        <w:adjustRightInd/>
        <w:snapToGrid/>
        <w:spacing w:line="576" w:lineRule="exact"/>
        <w:jc w:val="center"/>
        <w:textAlignment w:val="auto"/>
        <w:rPr>
          <w:rFonts w:hint="default" w:ascii="Times New Roman" w:hAnsi="Times New Roman" w:eastAsia="仿宋_GB2312" w:cs="Times New Roman"/>
          <w:b/>
          <w:bCs/>
          <w:sz w:val="32"/>
          <w:szCs w:val="32"/>
        </w:rPr>
      </w:pPr>
    </w:p>
    <w:p w14:paraId="4C16E179">
      <w:pPr>
        <w:keepNext w:val="0"/>
        <w:keepLines w:val="0"/>
        <w:pageBreakBefore w:val="0"/>
        <w:widowControl w:val="0"/>
        <w:kinsoku/>
        <w:wordWrap/>
        <w:overflowPunct/>
        <w:topLinePunct w:val="0"/>
        <w:autoSpaceDE w:val="0"/>
        <w:autoSpaceDN w:val="0"/>
        <w:bidi w:val="0"/>
        <w:adjustRightInd/>
        <w:snapToGrid/>
        <w:spacing w:line="576" w:lineRule="exact"/>
        <w:jc w:val="center"/>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.4-1A</w:t>
      </w:r>
      <w:r>
        <w:rPr>
          <w:rFonts w:hint="default" w:ascii="Times New Roman" w:hAnsi="Times New Roman" w:eastAsia="仿宋_GB2312" w:cs="Times New Roman"/>
          <w:b/>
          <w:bCs/>
          <w:sz w:val="32"/>
          <w:szCs w:val="32"/>
          <w:vertAlign w:val="superscript"/>
          <w:lang w:val="en-US"/>
        </w:rPr>
        <w:t>2</w:t>
      </w:r>
      <w:r>
        <w:rPr>
          <w:rFonts w:hint="default" w:ascii="Times New Roman" w:hAnsi="Times New Roman" w:eastAsia="仿宋_GB2312" w:cs="Times New Roman"/>
          <w:b/>
          <w:bCs/>
          <w:sz w:val="32"/>
          <w:szCs w:val="32"/>
          <w:lang w:val="en-US"/>
        </w:rPr>
        <w:t>/O工艺流程图</w:t>
      </w:r>
    </w:p>
    <w:p w14:paraId="6ACD5C4D">
      <w:pPr>
        <w:pStyle w:val="12"/>
        <w:keepNext w:val="0"/>
        <w:keepLines w:val="0"/>
        <w:pageBreakBefore w:val="0"/>
        <w:widowControl w:val="0"/>
        <w:kinsoku/>
        <w:wordWrap/>
        <w:overflowPunct/>
        <w:topLinePunct w:val="0"/>
        <w:autoSpaceDE w:val="0"/>
        <w:autoSpaceDN w:val="0"/>
        <w:bidi w:val="0"/>
        <w:adjustRightInd/>
        <w:snapToGrid/>
        <w:spacing w:line="520" w:lineRule="exact"/>
        <w:ind w:right="374" w:firstLine="640" w:firstLineChars="200"/>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（2）A/O工艺</w:t>
      </w:r>
    </w:p>
    <w:p w14:paraId="74817581">
      <w:pPr>
        <w:pStyle w:val="12"/>
        <w:keepNext w:val="0"/>
        <w:keepLines w:val="0"/>
        <w:pageBreakBefore w:val="0"/>
        <w:widowControl w:val="0"/>
        <w:kinsoku/>
        <w:wordWrap/>
        <w:overflowPunct/>
        <w:topLinePunct w:val="0"/>
        <w:autoSpaceDE w:val="0"/>
        <w:autoSpaceDN w:val="0"/>
        <w:bidi w:val="0"/>
        <w:adjustRightInd/>
        <w:snapToGrid/>
        <w:spacing w:line="520"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A/O工艺法也叫厌氧好氧工艺法，A是缺氧段，用于脱氮；O是好氧段，用于除水中的有机物。缺氧好氧共同作用除磷。该工艺的特点：①流程简单，无需外加碳源与后曝气池，以原污水为碳源，建设和运行费用较低；②反硝化在前，硝化在后，设内循环，以原污水中的有机底物作为碳源，效果好，反硝化反应充分；③曝气池在后，使反硝化残留物得以进一步去除，提高了处理水水质；O段的前段采用强曝气，后段减少气量，使内循环液的DO含量降低，以保证A段的缺氧状态。④A段搅拌，只起使污泥悬浮，而避免DO的增加。</w:t>
      </w:r>
    </w:p>
    <w:p w14:paraId="0FE6582B">
      <w:pPr>
        <w:pStyle w:val="12"/>
        <w:keepNext w:val="0"/>
        <w:keepLines w:val="0"/>
        <w:pageBreakBefore w:val="0"/>
        <w:widowControl w:val="0"/>
        <w:kinsoku/>
        <w:wordWrap/>
        <w:overflowPunct/>
        <w:topLinePunct w:val="0"/>
        <w:autoSpaceDE w:val="0"/>
        <w:autoSpaceDN w:val="0"/>
        <w:bidi w:val="0"/>
        <w:adjustRightInd/>
        <w:snapToGrid/>
        <w:spacing w:line="520"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A/O法脱氮工艺的优点：①系统简单，运行费低，占地小；②以原污水中的含碳有机物和内源代谢产物为碳源，节省了投加外碳源的费用；③好氧池在后，可进一步去除有机物；④缺氧池在先，由于反硝化消耗了部分碳源有机物，可减轻好氧池负荷；⑤反硝化产生的碱度可补偿硝化过程对碱度的消耗。</w:t>
      </w:r>
    </w:p>
    <w:p w14:paraId="7B9FD209">
      <w:pPr>
        <w:pStyle w:val="12"/>
        <w:keepNext w:val="0"/>
        <w:keepLines w:val="0"/>
        <w:pageBreakBefore w:val="0"/>
        <w:widowControl w:val="0"/>
        <w:kinsoku/>
        <w:wordWrap/>
        <w:overflowPunct/>
        <w:topLinePunct w:val="0"/>
        <w:autoSpaceDE w:val="0"/>
        <w:autoSpaceDN w:val="0"/>
        <w:bidi w:val="0"/>
        <w:adjustRightInd/>
        <w:snapToGrid/>
        <w:spacing w:line="520"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A/O法脱氮工艺的缺点：①由于没有独立的污泥回流系统，从而不能培养出具有独特功能的污泥，难降解物质的降解率较低；②若要提高脱氮效率，必须加大内循环比，因而加大运行费用；③内循环液来自曝气池，含有一定的DO，使A段难以保持理想的缺氧状态，影响反硝化效果，脱氮率很难达到90%。</w:t>
      </w:r>
    </w:p>
    <w:p w14:paraId="2FB92317">
      <w:pPr>
        <w:pStyle w:val="12"/>
        <w:keepNext w:val="0"/>
        <w:keepLines w:val="0"/>
        <w:pageBreakBefore w:val="0"/>
        <w:widowControl w:val="0"/>
        <w:kinsoku/>
        <w:wordWrap/>
        <w:overflowPunct/>
        <w:topLinePunct w:val="0"/>
        <w:autoSpaceDE w:val="0"/>
        <w:autoSpaceDN w:val="0"/>
        <w:bidi w:val="0"/>
        <w:adjustRightInd/>
        <w:snapToGrid/>
        <w:spacing w:line="520"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目前采用的A/O工艺是一种集成化、模块化的污水生物处理系统，适用于出水水质要求高、用地紧张的新型农村社区，以及接入民宿、农家乐等水量大、水质差的生活污水处理系统。在实际运行中常与人工湿地配合使用，可加强脱氮除磷效果。</w:t>
      </w:r>
    </w:p>
    <w:p w14:paraId="46329A6D">
      <w:pPr>
        <w:pStyle w:val="12"/>
        <w:keepNext w:val="0"/>
        <w:keepLines w:val="0"/>
        <w:pageBreakBefore w:val="0"/>
        <w:widowControl w:val="0"/>
        <w:kinsoku/>
        <w:wordWrap/>
        <w:overflowPunct/>
        <w:topLinePunct w:val="0"/>
        <w:autoSpaceDE w:val="0"/>
        <w:autoSpaceDN w:val="0"/>
        <w:bidi w:val="0"/>
        <w:adjustRightInd/>
        <w:snapToGrid/>
        <w:spacing w:before="1" w:line="520" w:lineRule="exact"/>
        <w:ind w:right="374" w:firstLine="560" w:firstLineChars="200"/>
        <w:jc w:val="center"/>
        <w:textAlignment w:val="auto"/>
        <w:rPr>
          <w:rFonts w:hint="default" w:ascii="Times New Roman" w:hAnsi="Times New Roman" w:eastAsia="仿宋_GB2312" w:cs="Times New Roman"/>
          <w:lang w:val="en-US"/>
        </w:rPr>
      </w:pPr>
      <w:r>
        <w:rPr>
          <w:rFonts w:hint="default" w:ascii="Times New Roman" w:hAnsi="Times New Roman" w:eastAsia="仿宋_GB2312" w:cs="Times New Roman"/>
          <w:lang w:val="en-US" w:bidi="ar-SA"/>
        </w:rPr>
        <w:drawing>
          <wp:anchor distT="0" distB="0" distL="114300" distR="114300" simplePos="0" relativeHeight="251660288" behindDoc="0" locked="0" layoutInCell="1" allowOverlap="1">
            <wp:simplePos x="0" y="0"/>
            <wp:positionH relativeFrom="column">
              <wp:posOffset>227965</wp:posOffset>
            </wp:positionH>
            <wp:positionV relativeFrom="paragraph">
              <wp:posOffset>211455</wp:posOffset>
            </wp:positionV>
            <wp:extent cx="4997450" cy="1760220"/>
            <wp:effectExtent l="0" t="0" r="12700" b="11430"/>
            <wp:wrapNone/>
            <wp:docPr id="2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4"/>
                    <pic:cNvPicPr>
                      <a:picLocks noChangeAspect="1"/>
                    </pic:cNvPicPr>
                  </pic:nvPicPr>
                  <pic:blipFill>
                    <a:blip r:embed="rId20" cstate="print"/>
                    <a:stretch>
                      <a:fillRect/>
                    </a:stretch>
                  </pic:blipFill>
                  <pic:spPr>
                    <a:xfrm>
                      <a:off x="0" y="0"/>
                      <a:ext cx="4997450" cy="1760220"/>
                    </a:xfrm>
                    <a:prstGeom prst="rect">
                      <a:avLst/>
                    </a:prstGeom>
                    <a:noFill/>
                    <a:ln>
                      <a:noFill/>
                    </a:ln>
                  </pic:spPr>
                </pic:pic>
              </a:graphicData>
            </a:graphic>
          </wp:anchor>
        </w:drawing>
      </w:r>
    </w:p>
    <w:p w14:paraId="60A9B5D2">
      <w:pPr>
        <w:jc w:val="center"/>
        <w:rPr>
          <w:rFonts w:hint="default" w:ascii="Times New Roman" w:hAnsi="Times New Roman" w:eastAsia="仿宋_GB2312" w:cs="Times New Roman"/>
          <w:b/>
          <w:bCs/>
        </w:rPr>
      </w:pPr>
    </w:p>
    <w:p w14:paraId="6ADDC5D1">
      <w:pPr>
        <w:jc w:val="center"/>
        <w:rPr>
          <w:rFonts w:hint="default" w:ascii="Times New Roman" w:hAnsi="Times New Roman" w:eastAsia="仿宋_GB2312" w:cs="Times New Roman"/>
          <w:b/>
          <w:bCs/>
          <w:sz w:val="32"/>
          <w:szCs w:val="32"/>
        </w:rPr>
      </w:pPr>
    </w:p>
    <w:p w14:paraId="21BC652B">
      <w:pPr>
        <w:jc w:val="center"/>
        <w:rPr>
          <w:rFonts w:hint="default" w:ascii="Times New Roman" w:hAnsi="Times New Roman" w:eastAsia="仿宋_GB2312" w:cs="Times New Roman"/>
          <w:b/>
          <w:bCs/>
          <w:sz w:val="32"/>
          <w:szCs w:val="32"/>
        </w:rPr>
      </w:pPr>
    </w:p>
    <w:p w14:paraId="0A3FD788">
      <w:pPr>
        <w:jc w:val="center"/>
        <w:rPr>
          <w:rFonts w:hint="default" w:ascii="Times New Roman" w:hAnsi="Times New Roman" w:eastAsia="仿宋_GB2312" w:cs="Times New Roman"/>
          <w:b/>
          <w:bCs/>
          <w:sz w:val="32"/>
          <w:szCs w:val="32"/>
        </w:rPr>
      </w:pPr>
    </w:p>
    <w:p w14:paraId="5DE3506D">
      <w:pPr>
        <w:jc w:val="center"/>
        <w:rPr>
          <w:rFonts w:hint="default" w:ascii="Times New Roman" w:hAnsi="Times New Roman" w:eastAsia="仿宋_GB2312" w:cs="Times New Roman"/>
          <w:b/>
          <w:bCs/>
          <w:sz w:val="32"/>
          <w:szCs w:val="32"/>
        </w:rPr>
      </w:pPr>
    </w:p>
    <w:p w14:paraId="0BEF6F6D">
      <w:pPr>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.4-2A/O工艺流程图</w:t>
      </w:r>
    </w:p>
    <w:p w14:paraId="2DF43D7A">
      <w:pPr>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br w:type="page"/>
      </w:r>
    </w:p>
    <w:p w14:paraId="39B00394">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（3）MBR膜工艺</w:t>
      </w:r>
    </w:p>
    <w:p w14:paraId="08E44384">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膜生物反应器(MembraneBio-Reactor)工艺是膜分离技术与生物技术有机结合的新型废水处理技术。它利用膜分离设备将生化反应池中的活性污泥和大分子有机物质截留住，省掉二沉池。活性污泥浓度因此大大提高，水力停留时间(HRT)和污泥停留时间(SRT)可以分别控制，而难降解的物质在反应器中不断反应、降解。因此，膜生物反应器(MBR)工艺通过膜分离技术大大强化了生物反应器的功能。该技术是一种先进的污水处理技术，其核心是基于浸入式高强中空纤维膜分离和生物反应技术，将悬浮生长生物反应器与超滤膜分离系统一体化，用超滤膜分离方法替代了传统活性污泥处理系统中的二沉池和砂滤系统。其特点是处理水水质非常好，悬浮固体、CODcr、NH</w:t>
      </w:r>
      <w:r>
        <w:rPr>
          <w:rFonts w:hint="default" w:ascii="Times New Roman" w:hAnsi="Times New Roman" w:eastAsia="仿宋_GB2312" w:cs="Times New Roman"/>
          <w:sz w:val="32"/>
          <w:szCs w:val="32"/>
          <w:vertAlign w:val="subscript"/>
          <w:lang w:val="en-US"/>
        </w:rPr>
        <w:t>3</w:t>
      </w:r>
      <w:r>
        <w:rPr>
          <w:rFonts w:hint="default" w:ascii="Times New Roman" w:hAnsi="Times New Roman" w:eastAsia="仿宋_GB2312" w:cs="Times New Roman"/>
          <w:sz w:val="32"/>
          <w:szCs w:val="32"/>
          <w:lang w:val="en-US"/>
        </w:rPr>
        <w:t>-N、BOD</w:t>
      </w:r>
      <w:r>
        <w:rPr>
          <w:rFonts w:hint="default" w:ascii="Times New Roman" w:hAnsi="Times New Roman" w:eastAsia="仿宋_GB2312" w:cs="Times New Roman"/>
          <w:sz w:val="32"/>
          <w:szCs w:val="32"/>
          <w:vertAlign w:val="subscript"/>
          <w:lang w:val="en-US"/>
        </w:rPr>
        <w:t>5</w:t>
      </w:r>
      <w:r>
        <w:rPr>
          <w:rFonts w:hint="default" w:ascii="Times New Roman" w:hAnsi="Times New Roman" w:eastAsia="仿宋_GB2312" w:cs="Times New Roman"/>
          <w:sz w:val="32"/>
          <w:szCs w:val="32"/>
          <w:lang w:val="en-US"/>
        </w:rPr>
        <w:t>和浊度很低，可直接回用作杂用水。</w:t>
      </w:r>
    </w:p>
    <w:p w14:paraId="2698C2F9">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超滤膜通常是直接浸没在曝气池中，直接与生物反应混合液接触，通过过滤泵的负压抽吸使滤后水通过外压式中空纤维膜达到固液分离的作用。在过滤过程中，通过鼓风机在膜的底部通入空气。一方面气流上升产生的湍流对中空纤维膜的外表面产生擦洗作用，从而可连续清除掉膜表面上粘附的固体物质，防止或降低膜的污染或堵塞；另一方面这种气流同时也具有曝气作用，可提供生物降解所需要的大部分耗氧量。生物降解所需要的其余部分氧还要通过扩散曝气系统来完成。生物反应中产生的过量污泥直接从超滤膜池中排出。</w:t>
      </w:r>
    </w:p>
    <w:p w14:paraId="6CB8E87A">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反应器在MBR污水处理和中水回用工程的应用中具有以下十分突出的优点：①MBR膜生物反应器的污染物去除效率高，处理出水水质好；②MBR膜生物反应器的污泥浓度高，装置容积负荷大，占地面积小；③MBR膜生物反应器有利于增殖缓慢或高效微生物的截留，提高系统的硝化效果和对难降解有机物的处理能力；④MBR膜生物反应器的剩余污泥产生量低；⑤MBR膜生物反应器易于实现自动控制，操作管理方便；⑥经处理后排放水SS和浊度都接近于零，可实现回用。</w:t>
      </w:r>
    </w:p>
    <w:p w14:paraId="171FADC2">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lang w:val="en-US"/>
        </w:rPr>
      </w:pPr>
      <w:r>
        <w:rPr>
          <w:rFonts w:hint="default" w:ascii="Times New Roman" w:hAnsi="Times New Roman" w:eastAsia="仿宋_GB2312" w:cs="Times New Roman"/>
          <w:sz w:val="32"/>
          <w:szCs w:val="32"/>
          <w:lang w:val="en-US"/>
        </w:rPr>
        <w:t>MBR膜处理装置在农村污水治理中，有工艺简单，不需要二沉池，占地小且自动化程度高，耐冲击负荷，出水也稳定，剩余污泥产生量低，出水水质可达回用标准，但投资成本较高。可用于水资相对源匮乏或对出水要求较高的村庄。</w:t>
      </w:r>
    </w:p>
    <w:p w14:paraId="0F2FF5A2">
      <w:pPr>
        <w:pStyle w:val="12"/>
        <w:spacing w:before="1" w:line="384" w:lineRule="auto"/>
        <w:ind w:right="374"/>
        <w:jc w:val="center"/>
        <w:rPr>
          <w:rFonts w:hint="default" w:ascii="Times New Roman" w:hAnsi="Times New Roman" w:eastAsia="仿宋_GB2312" w:cs="Times New Roman"/>
          <w:lang w:val="en-US"/>
        </w:rPr>
      </w:pPr>
      <w:r>
        <w:rPr>
          <w:rFonts w:hint="default" w:ascii="Times New Roman" w:hAnsi="Times New Roman" w:eastAsia="仿宋_GB2312" w:cs="Times New Roman"/>
          <w:lang w:val="en-US" w:bidi="ar-SA"/>
        </w:rPr>
        <w:drawing>
          <wp:inline distT="0" distB="0" distL="114300" distR="114300">
            <wp:extent cx="5683885" cy="2752090"/>
            <wp:effectExtent l="0" t="0" r="12065" b="10160"/>
            <wp:docPr id="209" name="图片 1" descr="6[BVA}C{97YE[)6`BBSM`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 descr="6[BVA}C{97YE[)6`BBSM`3G"/>
                    <pic:cNvPicPr>
                      <a:picLocks noChangeAspect="1"/>
                    </pic:cNvPicPr>
                  </pic:nvPicPr>
                  <pic:blipFill>
                    <a:blip r:embed="rId21" cstate="print"/>
                    <a:stretch>
                      <a:fillRect/>
                    </a:stretch>
                  </pic:blipFill>
                  <pic:spPr>
                    <a:xfrm>
                      <a:off x="0" y="0"/>
                      <a:ext cx="5683885" cy="2752090"/>
                    </a:xfrm>
                    <a:prstGeom prst="rect">
                      <a:avLst/>
                    </a:prstGeom>
                    <a:noFill/>
                    <a:ln>
                      <a:noFill/>
                    </a:ln>
                  </pic:spPr>
                </pic:pic>
              </a:graphicData>
            </a:graphic>
          </wp:inline>
        </w:drawing>
      </w:r>
    </w:p>
    <w:p w14:paraId="149FE675">
      <w:pPr>
        <w:keepNext w:val="0"/>
        <w:keepLines w:val="0"/>
        <w:pageBreakBefore w:val="0"/>
        <w:widowControl w:val="0"/>
        <w:kinsoku/>
        <w:wordWrap/>
        <w:overflowPunct/>
        <w:topLinePunct w:val="0"/>
        <w:autoSpaceDE w:val="0"/>
        <w:autoSpaceDN w:val="0"/>
        <w:bidi w:val="0"/>
        <w:adjustRightInd/>
        <w:snapToGrid/>
        <w:spacing w:line="576" w:lineRule="exact"/>
        <w:jc w:val="center"/>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.4-3一体化MBR处理装置结构示意图</w:t>
      </w:r>
    </w:p>
    <w:p w14:paraId="28F0B16A">
      <w:pPr>
        <w:pStyle w:val="12"/>
        <w:keepNext w:val="0"/>
        <w:keepLines w:val="0"/>
        <w:pageBreakBefore w:val="0"/>
        <w:widowControl w:val="0"/>
        <w:kinsoku/>
        <w:wordWrap/>
        <w:overflowPunct/>
        <w:topLinePunct w:val="0"/>
        <w:autoSpaceDE w:val="0"/>
        <w:autoSpaceDN w:val="0"/>
        <w:bidi w:val="0"/>
        <w:adjustRightInd/>
        <w:snapToGrid/>
        <w:spacing w:before="1" w:line="576" w:lineRule="exact"/>
        <w:ind w:right="374" w:firstLine="640" w:firstLineChars="200"/>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（4）人工湿地</w:t>
      </w:r>
    </w:p>
    <w:p w14:paraId="79498D83">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指用人工构筑成水池或沟槽，底面铺设防渗漏隔水层，充填一定深度的基质层，种植水生植物，利用基质、植物、微生物的物理、化学、生物三重协同作用使污水得到净化。按照污水流动方式，分为表面流人工湿地、水平潜流人工湿地和垂直流人工湿地。</w:t>
      </w:r>
    </w:p>
    <w:p w14:paraId="40472CD6">
      <w:pPr>
        <w:pStyle w:val="12"/>
        <w:spacing w:before="1" w:line="384" w:lineRule="auto"/>
        <w:ind w:right="374" w:firstLine="560" w:firstLineChars="200"/>
        <w:rPr>
          <w:rFonts w:hint="default" w:ascii="Times New Roman" w:hAnsi="Times New Roman" w:eastAsia="仿宋_GB2312" w:cs="Times New Roman"/>
          <w:lang w:val="en-US"/>
        </w:rPr>
      </w:pPr>
    </w:p>
    <w:p w14:paraId="59A8366D">
      <w:pPr>
        <w:pStyle w:val="12"/>
        <w:spacing w:before="1" w:line="384" w:lineRule="auto"/>
        <w:ind w:right="374" w:firstLine="560" w:firstLineChars="200"/>
        <w:jc w:val="center"/>
        <w:rPr>
          <w:rFonts w:hint="default" w:ascii="Times New Roman" w:hAnsi="Times New Roman" w:eastAsia="仿宋_GB2312" w:cs="Times New Roman"/>
        </w:rPr>
      </w:pPr>
      <w:r>
        <w:rPr>
          <w:rFonts w:hint="default" w:ascii="Times New Roman" w:hAnsi="Times New Roman" w:eastAsia="仿宋_GB2312" w:cs="Times New Roman"/>
          <w:lang w:val="en-US" w:bidi="ar-SA"/>
        </w:rPr>
        <w:drawing>
          <wp:inline distT="0" distB="0" distL="114300" distR="114300">
            <wp:extent cx="5081905" cy="2014855"/>
            <wp:effectExtent l="0" t="0" r="4445" b="4445"/>
            <wp:docPr id="2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9"/>
                    <pic:cNvPicPr>
                      <a:picLocks noChangeAspect="1"/>
                    </pic:cNvPicPr>
                  </pic:nvPicPr>
                  <pic:blipFill>
                    <a:blip r:embed="rId22" cstate="print"/>
                    <a:stretch>
                      <a:fillRect/>
                    </a:stretch>
                  </pic:blipFill>
                  <pic:spPr>
                    <a:xfrm>
                      <a:off x="0" y="0"/>
                      <a:ext cx="5081905" cy="2014855"/>
                    </a:xfrm>
                    <a:prstGeom prst="rect">
                      <a:avLst/>
                    </a:prstGeom>
                    <a:noFill/>
                    <a:ln>
                      <a:noFill/>
                    </a:ln>
                  </pic:spPr>
                </pic:pic>
              </a:graphicData>
            </a:graphic>
          </wp:inline>
        </w:drawing>
      </w:r>
    </w:p>
    <w:p w14:paraId="28208A20">
      <w:pPr>
        <w:jc w:val="center"/>
        <w:rPr>
          <w:rFonts w:hint="default" w:ascii="Times New Roman" w:hAnsi="Times New Roman" w:eastAsia="仿宋_GB2312" w:cs="Times New Roman"/>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.4-4表流人工湿地示意图</w:t>
      </w:r>
    </w:p>
    <w:p w14:paraId="0E01E491">
      <w:pPr>
        <w:pStyle w:val="12"/>
        <w:spacing w:before="1" w:line="384" w:lineRule="auto"/>
        <w:ind w:right="374"/>
        <w:jc w:val="both"/>
        <w:rPr>
          <w:rFonts w:hint="default" w:ascii="Times New Roman" w:hAnsi="Times New Roman" w:eastAsia="仿宋_GB2312" w:cs="Times New Roman"/>
        </w:rPr>
      </w:pPr>
    </w:p>
    <w:p w14:paraId="136B51CC">
      <w:pPr>
        <w:pStyle w:val="12"/>
        <w:spacing w:before="1" w:line="384" w:lineRule="auto"/>
        <w:ind w:right="374" w:firstLine="560" w:firstLineChars="200"/>
        <w:jc w:val="center"/>
        <w:rPr>
          <w:rFonts w:hint="default" w:ascii="Times New Roman" w:hAnsi="Times New Roman" w:eastAsia="仿宋_GB2312" w:cs="Times New Roman"/>
        </w:rPr>
      </w:pPr>
      <w:r>
        <w:rPr>
          <w:rFonts w:hint="default" w:ascii="Times New Roman" w:hAnsi="Times New Roman" w:eastAsia="仿宋_GB2312" w:cs="Times New Roman"/>
          <w:lang w:val="en-US" w:bidi="ar-SA"/>
        </w:rPr>
        <w:drawing>
          <wp:inline distT="0" distB="0" distL="114300" distR="114300">
            <wp:extent cx="4448175" cy="1816735"/>
            <wp:effectExtent l="0" t="0" r="9525" b="12065"/>
            <wp:docPr id="2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0"/>
                    <pic:cNvPicPr>
                      <a:picLocks noChangeAspect="1"/>
                    </pic:cNvPicPr>
                  </pic:nvPicPr>
                  <pic:blipFill>
                    <a:blip r:embed="rId23" cstate="print"/>
                    <a:stretch>
                      <a:fillRect/>
                    </a:stretch>
                  </pic:blipFill>
                  <pic:spPr>
                    <a:xfrm>
                      <a:off x="0" y="0"/>
                      <a:ext cx="4448175" cy="1816735"/>
                    </a:xfrm>
                    <a:prstGeom prst="rect">
                      <a:avLst/>
                    </a:prstGeom>
                    <a:noFill/>
                    <a:ln>
                      <a:noFill/>
                    </a:ln>
                  </pic:spPr>
                </pic:pic>
              </a:graphicData>
            </a:graphic>
          </wp:inline>
        </w:drawing>
      </w:r>
    </w:p>
    <w:p w14:paraId="38DB358C">
      <w:pPr>
        <w:jc w:val="center"/>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.4-5潜流人工湿地示意图</w:t>
      </w:r>
    </w:p>
    <w:p w14:paraId="6994685D">
      <w:pPr>
        <w:jc w:val="center"/>
        <w:rPr>
          <w:rFonts w:hint="default" w:ascii="Times New Roman" w:hAnsi="Times New Roman" w:eastAsia="仿宋_GB2312" w:cs="Times New Roman"/>
          <w:b/>
          <w:bCs/>
          <w:lang w:val="en-US"/>
        </w:rPr>
      </w:pPr>
    </w:p>
    <w:p w14:paraId="7D355910">
      <w:pPr>
        <w:pStyle w:val="12"/>
        <w:spacing w:before="1" w:line="384" w:lineRule="auto"/>
        <w:ind w:right="374" w:firstLine="560" w:firstLineChars="200"/>
        <w:jc w:val="center"/>
        <w:rPr>
          <w:rFonts w:hint="default" w:ascii="Times New Roman" w:hAnsi="Times New Roman" w:eastAsia="仿宋_GB2312" w:cs="Times New Roman"/>
        </w:rPr>
      </w:pPr>
      <w:r>
        <w:rPr>
          <w:rFonts w:hint="default" w:ascii="Times New Roman" w:hAnsi="Times New Roman" w:eastAsia="仿宋_GB2312" w:cs="Times New Roman"/>
          <w:lang w:val="en-US" w:bidi="ar-SA"/>
        </w:rPr>
        <w:drawing>
          <wp:inline distT="0" distB="0" distL="114300" distR="114300">
            <wp:extent cx="4362450" cy="2086610"/>
            <wp:effectExtent l="0" t="0" r="0" b="8890"/>
            <wp:docPr id="2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1"/>
                    <pic:cNvPicPr>
                      <a:picLocks noChangeAspect="1"/>
                    </pic:cNvPicPr>
                  </pic:nvPicPr>
                  <pic:blipFill>
                    <a:blip r:embed="rId24" cstate="print"/>
                    <a:stretch>
                      <a:fillRect/>
                    </a:stretch>
                  </pic:blipFill>
                  <pic:spPr>
                    <a:xfrm>
                      <a:off x="0" y="0"/>
                      <a:ext cx="4362450" cy="2086610"/>
                    </a:xfrm>
                    <a:prstGeom prst="rect">
                      <a:avLst/>
                    </a:prstGeom>
                    <a:noFill/>
                    <a:ln>
                      <a:noFill/>
                    </a:ln>
                  </pic:spPr>
                </pic:pic>
              </a:graphicData>
            </a:graphic>
          </wp:inline>
        </w:drawing>
      </w:r>
    </w:p>
    <w:p w14:paraId="685EBF64">
      <w:pPr>
        <w:jc w:val="center"/>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.4-6垂直流人工湿地结构示意图</w:t>
      </w:r>
    </w:p>
    <w:p w14:paraId="763CA822">
      <w:pPr>
        <w:pStyle w:val="15"/>
        <w:rPr>
          <w:rFonts w:hint="default" w:ascii="Times New Roman" w:hAnsi="Times New Roman" w:cs="Times New Roman"/>
          <w:lang w:val="en-US"/>
        </w:rPr>
      </w:pPr>
    </w:p>
    <w:p w14:paraId="3A4E898B">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人工湿地污水处理系统是一个综合的生态系统，具有如下优点：</w:t>
      </w:r>
    </w:p>
    <w:p w14:paraId="1D3ACF21">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①建造和运行费用便宜；②易于维护，技术含量低；③可进行有效可靠的废水处理；④可缓冲对水力和污染负荷的冲击；⑤可提供和间接提供效益，如水产、畜产、造纸原料、建材、绿化、野生动物栖息、娱乐和教育。</w:t>
      </w:r>
    </w:p>
    <w:p w14:paraId="54623AA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但也有不足：①占地面积大；②易受病虫害影响；③生物和水力复杂性加大了对其处理机制、工艺动力学和影响因素的认识理解，设计运行参数不精确，因此常由于设计不当使出水达不到设计要求或不能达标排放，有的人工湿地反而成了污染源。</w:t>
      </w:r>
    </w:p>
    <w:p w14:paraId="299D1111">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总的来说，人工湿地污水处理系统是一种较好的废水处理方式，特别是它充分发挥资源的生产潜力，防止环境的再污染，获得污水处理与资源化的最佳效益，因此具有较高的环境效益、经济效益及社会效益，比较适合于处理水量不大、水质变化不很大、运行维护力量不强的城镇污水。在实际运行中常与各类处理工艺配合使用，作为前端处理设施的尾水处理，可加强脱氮除磷效果。</w:t>
      </w:r>
    </w:p>
    <w:p w14:paraId="0B2B67AA">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（5）AO+复合介质生物滤器（人工生物滤池）</w:t>
      </w:r>
    </w:p>
    <w:p w14:paraId="4331D70B">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复合介质生物滤器的填料由铁、石灰石、生物材料、微生物菌种、碳源缓释材料等，按一定比例混合，并按特定方式排列，形成多个好氧与厌氧微区。污水经厌氧处理后由布水管均匀布入复合介质生物滤器中，污水中的有机物在滤器内经连续厌氧-好氧处理得以分解，污水中的氮经硝化、反硝化去除，磷则与铁、钙共沉淀于复合介质内。</w:t>
      </w:r>
    </w:p>
    <w:p w14:paraId="3B9CA451">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该技术适应水量变化大的场所，断水一周后再启动仍不影响其处理效果，适用于农家乐污水的处理。该技术可与其它工艺如：A/O等组合，进一步提高负荷、节约用地，并可处理浓度较高的食品加工废水及养殖废水等。</w:t>
      </w:r>
    </w:p>
    <w:p w14:paraId="0D0397A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复合介质生物滤器处理系统是一个综合的生态系统，具有如下优点：①采用了特殊的结构设计和复合介质滤料，克服了传统的人工湿地占地面积大、运行负荷低、湿地易堵塞以及膜技术在农村生活污水处理中的高运维成本等问题；②极大地提高了反应器的处理效率和稳定性；③工程结构简洁，处理效果好；④处理过程无需动力和药剂，利用物联网技术，实现智慧治水，可无人值守，管理方便。</w:t>
      </w:r>
    </w:p>
    <w:p w14:paraId="460C189F">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采用复合介质生物滤器处理农村生活污水项目，不仅节省占地、投资省，而且运维费用极低，一定污水量的单位面积处理是人工湿地的1/4面积，出水水质可达到《农村生活污水处理设施水污染物排放标准》（DB51/2626-2019）一级排放标准。</w:t>
      </w:r>
    </w:p>
    <w:p w14:paraId="6F60C70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复合介质生物滤器不需人工曝气，20年不换填料、不需要定期清洗，主要设备为污水提升泵，操作管理十分简便，运行维护费用低。</w:t>
      </w:r>
    </w:p>
    <w:p w14:paraId="7BED704E">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复合介质生物滤器采用模块化设计，可根据处理水量，选择建站模式或设备模式，组装灵活，工程建设周期短。可设计成单户式成套化设备，也可设计为集中式污水处理系统。</w:t>
      </w:r>
    </w:p>
    <w:p w14:paraId="0DE1AD02">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（6）厌氧+全地埋PASG</w:t>
      </w:r>
    </w:p>
    <w:p w14:paraId="49154042">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“地埋式高效率低运行费（PASG）生活污水处理技术”有别于国内外传统方法，突出四大元素，即P（Plant）：成套装置；A（Anaerobic）：厌氧为主；S（Site）：就地处理；G（Gardening）：花园覆盖。简称为PASG技术。</w:t>
      </w:r>
    </w:p>
    <w:p w14:paraId="5D0E7A8D">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PASG技术是源于传统的厌氧、好氧活性污泥法和生物膜法，对三种工艺取长补短，综合应用，弥补了传统工艺的不足。采用单一的厌氧、好氧活性污染法或生物膜法处理生活污水时，各自的优点和缺点都十分明显。但是，如果三者结合使用，这些优、缺点可以起到互补的作用。</w:t>
      </w:r>
    </w:p>
    <w:p w14:paraId="71D834F7">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PASG处理工艺由厌氧和综合生化组成。</w:t>
      </w:r>
    </w:p>
    <w:p w14:paraId="7272EFD7">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在厌氧池阶段采用了厌氧、生物膜和悬浮生长相结合的处理工艺，可很好弥补单一厌氧、生物膜法或活性污泥法工艺的不足之处。特殊高效菌种可使主要污染物CODcr在短时间内去除率达到60%-80%，大分子和难降解物质经水解酸化作用生低分子脂肪酸或者易于生物降解的物质，可作为回流硝化液的反硝化碳源，此过程同时提高了有机污染物的整体去除效果，也可使原水中的有机氮进行较为彻底的氨化，为后续的硝化和总氮的处理提供保证。内置填料的特殊布置使污水与填料充分接触，提高厌氧菌总量和厌氧接触效率。</w:t>
      </w:r>
    </w:p>
    <w:p w14:paraId="2A72F51A">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综合生化阶段填充颗粒状硬质催化填料，并接种优势菌种，在填料表面产生生物菌膜，对进入综合生化阶段的污染物进行深度降解。硬质催化填料中加入的特殊离子为酶活性中心的组成部分，对酶的催化功能起重要作用，使酶的特性和功能发生改变，可使酶的活力提高并增加酶的稳定性，可控制优势菌群的生长方向，向有利除氮脱磷的方向偏离，向有利减缓生长繁殖的方向偏离，进而减少剩余污泥的产生量，使综合生化系统达到既能有效的除氮脱磷，又安全不会引发堵塞问题出现。</w:t>
      </w:r>
    </w:p>
    <w:p w14:paraId="6E14A9A3">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综合生化阶段的填料层根据工艺要求分层分粒装填，运行过程中，对填料层机械通风，污水在穿过填料层时，与空气接触，达到溶氧的目的。填料和污水之间采用非淹没式接触，阻损失小，运行能耗小。通过控制通风量，造污水溶解氧梯度分布环境，实现污水的同步硝化反硝化，进一步达到削减TN的目的。同时，滋生原生动物，污水中的部分磷被生物富集，最终排出水体。</w:t>
      </w:r>
    </w:p>
    <w:p w14:paraId="21831991">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在农村污水处理上，其特点是，出水水质稳定，全地埋式，地表可绿化复用，运行费用较低，处理成本在0.2-0.4元/吨左右。</w:t>
      </w:r>
    </w:p>
    <w:p w14:paraId="20C52DE8">
      <w:pPr>
        <w:pStyle w:val="12"/>
        <w:spacing w:before="1" w:line="384" w:lineRule="auto"/>
        <w:ind w:right="374"/>
        <w:jc w:val="center"/>
        <w:rPr>
          <w:rFonts w:hint="default" w:ascii="Times New Roman" w:hAnsi="Times New Roman" w:eastAsia="仿宋_GB2312" w:cs="Times New Roman"/>
        </w:rPr>
      </w:pPr>
      <w:r>
        <w:rPr>
          <w:rFonts w:hint="default" w:ascii="Times New Roman" w:hAnsi="Times New Roman" w:eastAsia="仿宋_GB2312" w:cs="Times New Roman"/>
          <w:lang w:val="en-US" w:bidi="ar-SA"/>
        </w:rPr>
        <w:drawing>
          <wp:inline distT="0" distB="0" distL="114300" distR="114300">
            <wp:extent cx="5469255" cy="2200910"/>
            <wp:effectExtent l="0" t="0" r="17145" b="8890"/>
            <wp:docPr id="2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
                    <pic:cNvPicPr>
                      <a:picLocks noChangeAspect="1"/>
                    </pic:cNvPicPr>
                  </pic:nvPicPr>
                  <pic:blipFill>
                    <a:blip r:embed="rId25" cstate="print"/>
                    <a:stretch>
                      <a:fillRect/>
                    </a:stretch>
                  </pic:blipFill>
                  <pic:spPr>
                    <a:xfrm>
                      <a:off x="0" y="0"/>
                      <a:ext cx="5469255" cy="2200910"/>
                    </a:xfrm>
                    <a:prstGeom prst="rect">
                      <a:avLst/>
                    </a:prstGeom>
                    <a:noFill/>
                    <a:ln>
                      <a:noFill/>
                    </a:ln>
                  </pic:spPr>
                </pic:pic>
              </a:graphicData>
            </a:graphic>
          </wp:inline>
        </w:drawing>
      </w:r>
    </w:p>
    <w:p w14:paraId="0A735913">
      <w:pPr>
        <w:keepNext w:val="0"/>
        <w:keepLines w:val="0"/>
        <w:pageBreakBefore w:val="0"/>
        <w:widowControl w:val="0"/>
        <w:kinsoku/>
        <w:wordWrap/>
        <w:overflowPunct/>
        <w:topLinePunct w:val="0"/>
        <w:autoSpaceDE w:val="0"/>
        <w:autoSpaceDN w:val="0"/>
        <w:bidi w:val="0"/>
        <w:adjustRightInd/>
        <w:snapToGrid/>
        <w:spacing w:line="576" w:lineRule="exact"/>
        <w:jc w:val="center"/>
        <w:textAlignment w:val="auto"/>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.4-7厌氧+全地埋PASG处理技术工艺流程图</w:t>
      </w:r>
    </w:p>
    <w:p w14:paraId="36A76F08">
      <w:pPr>
        <w:pStyle w:val="12"/>
        <w:keepNext w:val="0"/>
        <w:keepLines w:val="0"/>
        <w:pageBreakBefore w:val="0"/>
        <w:widowControl w:val="0"/>
        <w:kinsoku/>
        <w:wordWrap/>
        <w:overflowPunct/>
        <w:topLinePunct w:val="0"/>
        <w:autoSpaceDE w:val="0"/>
        <w:autoSpaceDN w:val="0"/>
        <w:bidi w:val="0"/>
        <w:adjustRightInd/>
        <w:snapToGrid/>
        <w:spacing w:line="576" w:lineRule="exact"/>
        <w:ind w:right="374" w:firstLine="640" w:firstLineChars="200"/>
        <w:textAlignment w:val="auto"/>
        <w:rPr>
          <w:rFonts w:hint="default" w:ascii="Times New Roman" w:hAnsi="Times New Roman" w:eastAsia="仿宋_GB2312" w:cs="Times New Roman"/>
          <w:sz w:val="32"/>
          <w:szCs w:val="32"/>
          <w:lang w:val="en-US"/>
        </w:rPr>
      </w:pPr>
    </w:p>
    <w:p w14:paraId="531B318F">
      <w:pPr>
        <w:keepNext w:val="0"/>
        <w:keepLines w:val="0"/>
        <w:pageBreakBefore w:val="0"/>
        <w:widowControl w:val="0"/>
        <w:kinsoku/>
        <w:wordWrap/>
        <w:overflowPunct/>
        <w:topLinePunct w:val="0"/>
        <w:autoSpaceDE w:val="0"/>
        <w:autoSpaceDN w:val="0"/>
        <w:bidi w:val="0"/>
        <w:adjustRightInd/>
        <w:snapToGrid/>
        <w:spacing w:line="576" w:lineRule="exact"/>
        <w:ind w:right="0" w:firstLine="643" w:firstLineChars="200"/>
        <w:jc w:val="both"/>
        <w:textAlignment w:val="auto"/>
        <w:rPr>
          <w:rFonts w:hint="default" w:ascii="Times New Roman" w:hAnsi="Times New Roman" w:eastAsia="楷体_GB2312" w:cs="Times New Roman"/>
          <w:b/>
          <w:bCs/>
          <w:sz w:val="32"/>
          <w:szCs w:val="32"/>
          <w:lang w:val="en-US"/>
        </w:rPr>
      </w:pPr>
      <w:r>
        <w:rPr>
          <w:rFonts w:hint="default" w:ascii="Times New Roman" w:hAnsi="Times New Roman" w:eastAsia="楷体_GB2312" w:cs="Times New Roman"/>
          <w:b/>
          <w:bCs/>
          <w:sz w:val="32"/>
          <w:szCs w:val="32"/>
          <w:lang w:val="en-US"/>
        </w:rPr>
        <w:t>（二）农村污水处理分散处理工艺</w:t>
      </w:r>
    </w:p>
    <w:p w14:paraId="2DEB66D8">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（1）净化槽</w:t>
      </w:r>
    </w:p>
    <w:p w14:paraId="4E55C8AE">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净化槽是一种应用物理和生物过程对家庭生活污水进行净化处理的设施。该设施不但能对独家独户的排放污水作单独处理，也能对独立社区的排放污水作集中处理。净化槽的主要工艺是水解和接触氧化。固形物的去除是通过沉淀分离槽、厌氧过滤槽实现，它对污水起预处理作用，主要去除无机固形物、寄生虫卵及相当部分悬浮有机物，以减轻后继生物处理工艺的负荷。</w:t>
      </w:r>
    </w:p>
    <w:p w14:paraId="7F760A55">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其原理是：污水进入净化槽后，沉淀分离槽进行预处理，去除比重较大的颗粒及悬浮物，提高污水的可生化性；预过滤槽内装有填料，在填料上的厌氧生物膜的作用下，去除可溶性有机物；曝气槽集曝气，高滤速，截留悬浮物和定期反冲洗为一体。沉淀槽溢水堰设置了消毒装置，对出水进行消毒处理。</w:t>
      </w:r>
    </w:p>
    <w:p w14:paraId="731D179E">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小型净化槽（单户）主要采用沉淀分离接触曝气工艺，厌氧滤床接触曝气工艺和脱氮滤床接触曝气工艺。中大型净化槽（51人槽以上）主要采用生物膜法和活性污泥法。采用生物膜法的有三种处理工艺，即接触曝气工艺，旋转接触板工艺和滴水滤床工艺；采用活性污泥法的又可再分为两种处理工艺，即标准活性污泥法工艺和高强度活性污泥法工艺。</w:t>
      </w:r>
    </w:p>
    <w:p w14:paraId="1E1BC692">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为了深度的处理污水，也有膜式净化槽的出现，膜分离净化槽一般由一级处理设备、膜分离组件(设于二级处理设备中)、消毒设备等组成。一级处理设备主要是去除污水中的悬浮物,可采用厌氧滤池、预过滤和曝气格栅等工艺，二级处理设备主要以膜组件为核心处理单元，通过间歇曝气和硝化液回流等达到脱氮的效果。膜分离净化槽通过膜组件的抽吸作用出水，出水水质可达到深度处理的效果。。</w:t>
      </w:r>
    </w:p>
    <w:p w14:paraId="64422882">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膜式净化槽虽然通过自动控制实现了无人值守，但仍需进相应设备运行调整和维护管理，对于膜式净化槽，还需定期对平板膜进行清洗，膜也有一定的折旧费，运行费用稍高。</w:t>
      </w:r>
    </w:p>
    <w:p w14:paraId="65DD5B6E">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净化槽的特点是：占地少，出水稳定，污泥产量少，安装简单，使用灵活，自动化程度高，运维简单，但吨水投资较高。</w:t>
      </w:r>
    </w:p>
    <w:p w14:paraId="2065D619">
      <w:pPr>
        <w:pStyle w:val="12"/>
        <w:spacing w:before="1" w:line="384" w:lineRule="auto"/>
        <w:ind w:right="374"/>
        <w:jc w:val="center"/>
        <w:rPr>
          <w:rFonts w:hint="default" w:ascii="Times New Roman" w:hAnsi="Times New Roman" w:eastAsia="仿宋_GB2312" w:cs="Times New Roman"/>
        </w:rPr>
      </w:pPr>
      <w:r>
        <w:rPr>
          <w:rFonts w:hint="default" w:ascii="Times New Roman" w:hAnsi="Times New Roman" w:eastAsia="仿宋_GB2312" w:cs="Times New Roman"/>
          <w:lang w:val="en-US" w:bidi="ar-SA"/>
        </w:rPr>
        <w:drawing>
          <wp:inline distT="0" distB="0" distL="114300" distR="114300">
            <wp:extent cx="3962400" cy="2795270"/>
            <wp:effectExtent l="0" t="0" r="0" b="5080"/>
            <wp:docPr id="1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2"/>
                    <pic:cNvPicPr>
                      <a:picLocks noChangeAspect="1"/>
                    </pic:cNvPicPr>
                  </pic:nvPicPr>
                  <pic:blipFill>
                    <a:blip r:embed="rId26" cstate="print"/>
                    <a:stretch>
                      <a:fillRect/>
                    </a:stretch>
                  </pic:blipFill>
                  <pic:spPr>
                    <a:xfrm>
                      <a:off x="0" y="0"/>
                      <a:ext cx="3962400" cy="2795270"/>
                    </a:xfrm>
                    <a:prstGeom prst="rect">
                      <a:avLst/>
                    </a:prstGeom>
                    <a:noFill/>
                    <a:ln>
                      <a:noFill/>
                    </a:ln>
                  </pic:spPr>
                </pic:pic>
              </a:graphicData>
            </a:graphic>
          </wp:inline>
        </w:drawing>
      </w:r>
    </w:p>
    <w:p w14:paraId="18654DA5">
      <w:pPr>
        <w:jc w:val="center"/>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.4-8小型膜式净化槽结构示意图</w:t>
      </w:r>
    </w:p>
    <w:p w14:paraId="1D1B6CE4">
      <w:pPr>
        <w:pStyle w:val="12"/>
        <w:spacing w:before="1" w:line="384" w:lineRule="auto"/>
        <w:ind w:right="374"/>
        <w:jc w:val="center"/>
        <w:rPr>
          <w:rFonts w:hint="default" w:ascii="Times New Roman" w:hAnsi="Times New Roman" w:eastAsia="仿宋_GB2312" w:cs="Times New Roman"/>
        </w:rPr>
      </w:pPr>
      <w:r>
        <w:rPr>
          <w:rFonts w:hint="default" w:ascii="Times New Roman" w:hAnsi="Times New Roman" w:eastAsia="仿宋_GB2312" w:cs="Times New Roman"/>
          <w:lang w:val="en-US" w:bidi="ar-SA"/>
        </w:rPr>
        <w:drawing>
          <wp:inline distT="0" distB="0" distL="114300" distR="114300">
            <wp:extent cx="4048125" cy="2908935"/>
            <wp:effectExtent l="0" t="0" r="9525" b="571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27" cstate="print"/>
                    <a:stretch>
                      <a:fillRect/>
                    </a:stretch>
                  </pic:blipFill>
                  <pic:spPr>
                    <a:xfrm>
                      <a:off x="0" y="0"/>
                      <a:ext cx="4048125" cy="2908935"/>
                    </a:xfrm>
                    <a:prstGeom prst="rect">
                      <a:avLst/>
                    </a:prstGeom>
                    <a:noFill/>
                    <a:ln w="9525">
                      <a:noFill/>
                    </a:ln>
                  </pic:spPr>
                </pic:pic>
              </a:graphicData>
            </a:graphic>
          </wp:inline>
        </w:drawing>
      </w:r>
    </w:p>
    <w:p w14:paraId="4C891003">
      <w:pPr>
        <w:keepNext w:val="0"/>
        <w:keepLines w:val="0"/>
        <w:pageBreakBefore w:val="0"/>
        <w:widowControl w:val="0"/>
        <w:kinsoku/>
        <w:wordWrap/>
        <w:overflowPunct/>
        <w:topLinePunct w:val="0"/>
        <w:autoSpaceDE w:val="0"/>
        <w:autoSpaceDN w:val="0"/>
        <w:bidi w:val="0"/>
        <w:adjustRightInd/>
        <w:snapToGrid/>
        <w:spacing w:line="576" w:lineRule="exact"/>
        <w:ind w:right="0"/>
        <w:jc w:val="center"/>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.4-9净化槽污水处理设施工艺流程示意图</w:t>
      </w:r>
    </w:p>
    <w:p w14:paraId="37481B94">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rPr>
          <w:rFonts w:hint="default" w:ascii="Times New Roman" w:hAnsi="Times New Roman" w:eastAsia="仿宋_GB2312" w:cs="Times New Roman"/>
          <w:sz w:val="32"/>
          <w:szCs w:val="32"/>
          <w:lang w:val="en-US"/>
        </w:rPr>
      </w:pPr>
    </w:p>
    <w:p w14:paraId="54A36897">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（2）厌氧池+三维生物转盘</w:t>
      </w:r>
    </w:p>
    <w:p w14:paraId="19B497E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生物转盘(RotatingBiologicalContactor,简称RBC)是一种生物膜法污水处理技术，20世纪60年代由原联邦德国开创，是在生物滤池的基础上发展起来的，亦称为浸没式生物滤池。</w:t>
      </w:r>
    </w:p>
    <w:p w14:paraId="23FA047A">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该工艺具有系统设计灵活、安装便捷、操作简单、系统可靠、操作和运行费用低等优点；不需要曝气，也无需污泥回流，节约能源，同时在较短的接触时间就可得到较高的净化效果，现已广泛应用于各种生活污水和工业污水的处理。</w:t>
      </w:r>
    </w:p>
    <w:p w14:paraId="046A6EFC">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而三维生物转盘一种以复合生化污水处理为核心的低能耗、高效率污水处理技术。旋转生物处理单元是三维转盘装置的核心部分，它广泛的吸收了当今最先进的污水处理技术，综合了各类低浓度有机污水处理工艺的优点，集气水混合技术、生物转盘技术、接触氧化技术、转刷曝气技术、生物强制自洁技术、梯级处理技术等多种新技术于一体，形成SW工艺独特的复合污水处理技术。三维生物转盘化装置有初沉池、旋转式生物反应器、二沉池三部份组成。</w:t>
      </w:r>
    </w:p>
    <w:p w14:paraId="460AC1A7">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在能量的利用率，氧气的转化率，微生物的生化降解能力方面同时得到提升，使得污水中的有机物在更低的能耗条件下得到高效率的去除。整个生物处理单元由两级或三级（两个或三个）旋转生物反应器组成，每个生物反应器由一个转子和一个氧化槽组成，每个旋转生物转子内部由多级叶轮构成，每个叶轮上设置了大量的放射形叶片及具有专利技术的挂膜材料，在传动装置的驱动下，生物转子同步旋转，空气（氧气）通过生物转子气孔进入旋转生物反应器内与污水强制混合，氧气、污水、微生物三相强制高效接触形成传质、氧化最终实现对有机物的高效降解，达到对污水强制处理的效果。在处理污水的同时旋转叶片被污水冲刷，老化的生物膜被强制脱落，从而达到强制自洁生物膜的目的，使设备永远处于良好工作状态。处理后的污水可按比例自动回流到反硝化池，按需调节被处理污水高峰负荷，使处理后的污水能始终稳定的达到国家排放标准。</w:t>
      </w:r>
    </w:p>
    <w:p w14:paraId="75A6071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与传统生物转盘处理效果比较：</w:t>
      </w:r>
    </w:p>
    <w:p w14:paraId="29194DB3">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①结构方面：在传统生物转盘中被处理的污水是在氧化槽中，生物膜生长在随着轴不停转动的盘片上，盘片一部分浸没在水中，随着盘片的转动，生物膜、水和空气三相介质相互作用，从而分解水中的有机物。而三维生物转盘的旋转生物处理器是由一系列螺旋状弯曲流道盘片组成的，每一盘片都是独立的，当反应器旋转时，水和空气进入反应器内部，并随着漫长的流道流动，水、空气和生长在盘片上的生物膜相互作用，分解水中的有机物，在通道的尽头被处理过的水被引入接水盒，进入下一级旋转生物处理器。从两者的处理过程不难看出后者比前者有更多的接触时间，从而有更高的处理效率，而前者水的短路是很难避免的。同时在两种处理方式上，有效生物膜的附着面积有明显差别，生物转盘一般为60-70m</w:t>
      </w:r>
      <w:r>
        <w:rPr>
          <w:rFonts w:hint="default" w:ascii="Times New Roman" w:hAnsi="Times New Roman" w:eastAsia="仿宋_GB2312" w:cs="Times New Roman"/>
          <w:sz w:val="32"/>
          <w:szCs w:val="32"/>
          <w:vertAlign w:val="superscript"/>
          <w:lang w:val="en-US"/>
        </w:rPr>
        <w:t>2</w:t>
      </w:r>
      <w:r>
        <w:rPr>
          <w:rFonts w:hint="default" w:ascii="Times New Roman" w:hAnsi="Times New Roman" w:eastAsia="仿宋_GB2312" w:cs="Times New Roman"/>
          <w:sz w:val="32"/>
          <w:szCs w:val="32"/>
          <w:lang w:val="en-US"/>
        </w:rPr>
        <w:t>/m</w:t>
      </w:r>
      <w:r>
        <w:rPr>
          <w:rFonts w:hint="default" w:ascii="Times New Roman" w:hAnsi="Times New Roman" w:eastAsia="仿宋_GB2312" w:cs="Times New Roman"/>
          <w:sz w:val="32"/>
          <w:szCs w:val="32"/>
          <w:vertAlign w:val="superscript"/>
          <w:lang w:val="en-US"/>
        </w:rPr>
        <w:t>3</w:t>
      </w:r>
      <w:r>
        <w:rPr>
          <w:rFonts w:hint="default" w:ascii="Times New Roman" w:hAnsi="Times New Roman" w:eastAsia="仿宋_GB2312" w:cs="Times New Roman"/>
          <w:sz w:val="32"/>
          <w:szCs w:val="32"/>
          <w:lang w:val="en-US"/>
        </w:rPr>
        <w:t>转子，而三维生物转盘一般可高达100-120m</w:t>
      </w:r>
      <w:r>
        <w:rPr>
          <w:rFonts w:hint="default" w:ascii="Times New Roman" w:hAnsi="Times New Roman" w:eastAsia="仿宋_GB2312" w:cs="Times New Roman"/>
          <w:sz w:val="32"/>
          <w:szCs w:val="32"/>
          <w:vertAlign w:val="superscript"/>
          <w:lang w:val="en-US"/>
        </w:rPr>
        <w:t>2</w:t>
      </w:r>
      <w:r>
        <w:rPr>
          <w:rFonts w:hint="default" w:ascii="Times New Roman" w:hAnsi="Times New Roman" w:eastAsia="仿宋_GB2312" w:cs="Times New Roman"/>
          <w:sz w:val="32"/>
          <w:szCs w:val="32"/>
          <w:lang w:val="en-US"/>
        </w:rPr>
        <w:t>/m</w:t>
      </w:r>
      <w:r>
        <w:rPr>
          <w:rFonts w:hint="default" w:ascii="Times New Roman" w:hAnsi="Times New Roman" w:eastAsia="仿宋_GB2312" w:cs="Times New Roman"/>
          <w:sz w:val="32"/>
          <w:szCs w:val="32"/>
          <w:vertAlign w:val="superscript"/>
          <w:lang w:val="en-US"/>
        </w:rPr>
        <w:t>3</w:t>
      </w:r>
      <w:r>
        <w:rPr>
          <w:rFonts w:hint="default" w:ascii="Times New Roman" w:hAnsi="Times New Roman" w:eastAsia="仿宋_GB2312" w:cs="Times New Roman"/>
          <w:sz w:val="32"/>
          <w:szCs w:val="32"/>
          <w:lang w:val="en-US"/>
        </w:rPr>
        <w:t>转子（这个指的是转子的比表面积，每个立方的转子有多少表面积），是生物转盘处理方法两倍的生物处理面积，所以，处理效果会成倍提高。</w:t>
      </w:r>
    </w:p>
    <w:p w14:paraId="4E7A5B18">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②充氧效果方面：三维生物转盘和生物转盘同样是采用被动充氧系统，但生物转盘完全依靠自然充氧，传氧速率较低，而且站地面积大易产生臭味，寒冷地区需做保温。而三维生物转盘的旋转生物处理器内部的螺旋状盘片推动了空气的流通，致使传氧速率提高四倍以上，满足了处理器内部充足的需氧量。此设备可以采用一体式成套设备，在工厂生产的集成化设备，体积小、结构紧凑，水处理部分在密闭的结构中运行，不会散发臭气，在寒冷地区可地埋，只要常年运行，不需要做保温。在相同处理量的情况下，占地仅为生物转盘的一半左右，极大的节省土地资源。而生物转盘需较多的配套设施，且大部分采用钢筋混凝土制作，占地面积大，成本较高外，由于现场施工、现场安装工程质量不易保证，噪音、工程外观美化度也比三维生物转盘设备差。</w:t>
      </w:r>
    </w:p>
    <w:p w14:paraId="5C60374B">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与地埋式接触氧化法的比较：</w:t>
      </w:r>
    </w:p>
    <w:p w14:paraId="75BE4BAB">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三维生物转盘除具有与其他生物膜法如接触氧化法等处理工艺所共有的各项优点外，它还具有使用寿命较长，运行费用较低且管理方便，结构紧凑，占地面积小等特点。</w:t>
      </w:r>
    </w:p>
    <w:p w14:paraId="0E89BF48">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rPr>
          <w:rFonts w:hint="default" w:ascii="Times New Roman" w:hAnsi="Times New Roman" w:eastAsia="仿宋_GB2312" w:cs="Times New Roman"/>
          <w:sz w:val="32"/>
          <w:szCs w:val="32"/>
          <w:lang w:val="en-US"/>
        </w:rPr>
      </w:pPr>
    </w:p>
    <w:p w14:paraId="3CC86C3C">
      <w:pPr>
        <w:pStyle w:val="12"/>
        <w:spacing w:before="1" w:line="384" w:lineRule="auto"/>
        <w:ind w:right="374"/>
        <w:jc w:val="center"/>
        <w:rPr>
          <w:rFonts w:hint="default" w:ascii="Times New Roman" w:hAnsi="Times New Roman" w:eastAsia="仿宋_GB2312" w:cs="Times New Roman"/>
          <w:sz w:val="32"/>
          <w:szCs w:val="32"/>
        </w:rPr>
      </w:pPr>
      <w:r>
        <w:rPr>
          <w:rFonts w:hint="default" w:ascii="Times New Roman" w:hAnsi="Times New Roman" w:eastAsia="仿宋_GB2312" w:cs="Times New Roman"/>
          <w:lang w:val="en-US" w:bidi="ar-SA"/>
        </w:rPr>
        <w:drawing>
          <wp:inline distT="0" distB="0" distL="114300" distR="114300">
            <wp:extent cx="5389245" cy="2362200"/>
            <wp:effectExtent l="0" t="0" r="1905" b="0"/>
            <wp:docPr id="2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6"/>
                    <pic:cNvPicPr>
                      <a:picLocks noChangeAspect="1"/>
                    </pic:cNvPicPr>
                  </pic:nvPicPr>
                  <pic:blipFill>
                    <a:blip r:embed="rId28" cstate="print"/>
                    <a:stretch>
                      <a:fillRect/>
                    </a:stretch>
                  </pic:blipFill>
                  <pic:spPr>
                    <a:xfrm>
                      <a:off x="0" y="0"/>
                      <a:ext cx="5389245" cy="2362200"/>
                    </a:xfrm>
                    <a:prstGeom prst="rect">
                      <a:avLst/>
                    </a:prstGeom>
                    <a:noFill/>
                    <a:ln>
                      <a:noFill/>
                    </a:ln>
                  </pic:spPr>
                </pic:pic>
              </a:graphicData>
            </a:graphic>
          </wp:inline>
        </w:drawing>
      </w:r>
    </w:p>
    <w:p w14:paraId="4DCDAE80">
      <w:pPr>
        <w:jc w:val="center"/>
        <w:rPr>
          <w:rFonts w:hint="default" w:ascii="Times New Roman" w:hAnsi="Times New Roman" w:eastAsia="仿宋_GB2312" w:cs="Times New Roman"/>
          <w:lang w:val="en-US"/>
        </w:rPr>
      </w:pPr>
      <w:r>
        <w:rPr>
          <w:rFonts w:hint="default" w:ascii="Times New Roman" w:hAnsi="Times New Roman" w:eastAsia="仿宋_GB2312" w:cs="Times New Roman"/>
          <w:b/>
          <w:bCs/>
        </w:rPr>
        <w:t>图</w:t>
      </w:r>
      <w:r>
        <w:rPr>
          <w:rFonts w:hint="default" w:ascii="Times New Roman" w:hAnsi="Times New Roman" w:eastAsia="仿宋_GB2312" w:cs="Times New Roman"/>
          <w:b/>
          <w:bCs/>
          <w:lang w:val="en-US" w:eastAsia="zh-CN"/>
        </w:rPr>
        <w:t>3</w:t>
      </w:r>
      <w:r>
        <w:rPr>
          <w:rFonts w:hint="default" w:ascii="Times New Roman" w:hAnsi="Times New Roman" w:eastAsia="仿宋_GB2312" w:cs="Times New Roman"/>
          <w:b/>
          <w:bCs/>
          <w:lang w:val="en-US"/>
        </w:rPr>
        <w:t>.4-10三维生物转盘结构示意图</w:t>
      </w:r>
      <w:bookmarkStart w:id="77" w:name="_Toc5564"/>
    </w:p>
    <w:p w14:paraId="150E3EE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（3）厌氧池+人工湿地</w:t>
      </w:r>
    </w:p>
    <w:p w14:paraId="0BC476AC">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厌氧生物处理技术即为在厌氧状态下，污水中的有机物被厌氧细菌分解、代谢、消化，使得污水中的有机物含量大幅减少，同时产生沼气的一种高效的污水处理方式。厌氧处理作为生物处理的一个重要形式，正在陆续地开发出一系列新的厌氧处理工艺和构筑物，逐步克服了传统厌氧工艺的缺点，在理论和实践上取得了很大的进步。常与人工湿地配合使用，提高出水水质。该工艺的特点：①高有机负荷，节省占地；②厌氧无需动力，建设运行成本低；③剩余污泥产量少且稳定，可直接用作肥料。但单独的厌氧生物处理难以满足日趋严格的排放标准，多采用厌氧池+人工湿地/生态塘组合工工艺模式。</w:t>
      </w:r>
    </w:p>
    <w:p w14:paraId="62A9DCFA">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工艺流程：①污水经格栅去除固体垃圾后进入无动力厌氧池进行处理，厌氧处理技术是一种有效去除有机污染物并使其矿化的技术，它将有机化合物转变为甲烷和二氧化碳。厌氧反应一般概括为三个阶段，即水解酸化阶段、产氢产乙酸阶段和产甲烷阶段。厌氧池内设多格，分别起到调节、沉淀、厌氧氧化等作用。</w:t>
      </w:r>
    </w:p>
    <w:p w14:paraId="68BFA7FD">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②厌氧池出水进入人工湿地或生态塘系统进行再处理。人工湿地和生态塘的选择主要根据所在地现实条件，如是否有闲置的鱼塘、水塘、低洼地块等适合生态塘改造的条件。采用生态塘工艺时，塘中通过设计种植多种类型的水生植物，通过各种植物的吸收和吸附，对出水进行深化处理，同时可投放部分水生生物，组建完整的食物链，提高污水的净化效率，最终出水达标排放。采用人工湿地时，可根据进水水质情况、现场地形地质情况等选择类型，主要以潜流人工湿地、表流人工湿地为主。人工湿地池内呈兼氧与厌氧状态，主要综合了物理、化学和生物的三种作用对污水进一步的处理。污水流经湿地填料表面和植物根系时，大量微生物的生长所形成的生物膜对残余的SS截留，有机污染物则通过生物膜的吸收、同化及异化作用而被去除。同时系统中因植物根系作用进一步保证了废水中氮、磷不仅能被植物和微生物作为营养成分而直接吸收，而且还可以通过硝化、反硝化作用及微生物对磷的过量积累作用将其从废水中去除。人工湿地出水最终流入出水检查井，水质达标排放，且表观良好。</w:t>
      </w:r>
    </w:p>
    <w:p w14:paraId="2E57E0EB">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③工艺流程中，厌氧池将产生少量污泥，需定期清理。</w:t>
      </w:r>
    </w:p>
    <w:p w14:paraId="02247DB0">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④对污染物质的去除</w:t>
      </w:r>
    </w:p>
    <w:p w14:paraId="29F6EA1A">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污水中可沉降的SS主要依靠湿地系统中物理沉降作用去除。由于湿地中水的流动极其缓慢，水浅，加上植物茎杆的阻挡作用，SS在进水口几米内能有效地去除。工程实际表明，所有的固体物在系统最初的20%面积处得到去除。胶体状的SS主要依靠微生物的作用、填料渗滤作用去除。</w:t>
      </w:r>
    </w:p>
    <w:p w14:paraId="25FE6482">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人工湿地对有机物有着较强的降解能力，污水中的不溶有机物通过湿地的沉淀、过滤作用，可以很快地被截留而被微生物利用，而污水中的可溶有机物则可通过植物根系生物膜的吸附、吸收及生物代谢降解过程被分解去除，因此湿地床对有机物的去除作用是物理的截留沉淀和生物的吸收降解共同作用的结果。反应过程中主要氧源来自水面复氧和植物向根区的过量氧传导。湿地系统对BOD5的去除可达80%以上。</w:t>
      </w:r>
    </w:p>
    <w:p w14:paraId="38EB45FC">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氮是植物生长不可缺少的一种元素，污水中的无机氮通常包括NH</w:t>
      </w:r>
      <w:r>
        <w:rPr>
          <w:rFonts w:hint="default" w:ascii="Times New Roman" w:hAnsi="Times New Roman" w:eastAsia="仿宋_GB2312" w:cs="Times New Roman"/>
          <w:sz w:val="32"/>
          <w:szCs w:val="32"/>
          <w:vertAlign w:val="subscript"/>
          <w:lang w:val="en-US"/>
        </w:rPr>
        <w:t>3</w:t>
      </w:r>
      <w:r>
        <w:rPr>
          <w:rFonts w:hint="default" w:ascii="Times New Roman" w:hAnsi="Times New Roman" w:eastAsia="仿宋_GB2312" w:cs="Times New Roman"/>
          <w:sz w:val="32"/>
          <w:szCs w:val="32"/>
          <w:lang w:val="en-US"/>
        </w:rPr>
        <w:t>－N和NO</w:t>
      </w:r>
      <w:r>
        <w:rPr>
          <w:rFonts w:hint="default" w:ascii="Times New Roman" w:hAnsi="Times New Roman" w:eastAsia="仿宋_GB2312" w:cs="Times New Roman"/>
          <w:sz w:val="32"/>
          <w:szCs w:val="32"/>
          <w:vertAlign w:val="subscript"/>
          <w:lang w:val="en-US"/>
        </w:rPr>
        <w:t>3</w:t>
      </w:r>
      <w:r>
        <w:rPr>
          <w:rFonts w:hint="default" w:ascii="Times New Roman" w:hAnsi="Times New Roman" w:eastAsia="仿宋_GB2312" w:cs="Times New Roman"/>
          <w:sz w:val="32"/>
          <w:szCs w:val="32"/>
          <w:lang w:val="en-US"/>
        </w:rPr>
        <w:t>－N，它们均可以被湿地中植物吸收。合成植物蛋白质，最终通过植物的收割从湿地中得到去除。另外，人工湿地中的填料也可通过一些物理和化学的途径如吸收、吸附、过滤、离子交换等去除一部分污水中的氮。但是，湿地系统中氮的去除是主要的还是通过湿地中微生物的硝化和反硝化作用。人工湿地中种植的水生物植物的重要功能之一就是将氧气从上部输送至植物根部，从而在植物根区附近形成一个好氧环境，而随着离根系距离的逐渐增大，湿地中依次出现缺氧、厌氧状态。这样的条件有利于硝化菌和反硝化菌的生长。为硝化反应和反硝化反应的进行提供了条件。</w:t>
      </w:r>
    </w:p>
    <w:p w14:paraId="5C01E38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污水中磷的存在形态取决于污水中磷的类型。最常见的有磷酸盐、聚磷酸盐和有机磷酸盐等。人工湿地对磷的却除是通过植物的吸收、微生物的去除作用和填料的吸收过滤等几方面的作用共同完成的。磷和氮一样，都是植物的必需元素，污水中的无机磷在植物的吸收和同化作用下被合成ATP等有机成分，通过收割而从系统中去除。微生物对磷的去除作用包括微生物对磷的正常吸收和过量积累，湿地中某些细菌种类因从污水中吸收超过其生长所需的磷，而微生物细胞的内含物储存过量积累，可通过对湿地床的定期更换而将其从系统中去除。</w:t>
      </w:r>
    </w:p>
    <w:p w14:paraId="737A4247">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采用“厌氧池+潜流式人工湿地”工艺处理农村生活污水，系统对COD、BOD</w:t>
      </w:r>
      <w:r>
        <w:rPr>
          <w:rFonts w:hint="default" w:ascii="Times New Roman" w:hAnsi="Times New Roman" w:eastAsia="仿宋_GB2312" w:cs="Times New Roman"/>
          <w:sz w:val="32"/>
          <w:szCs w:val="32"/>
          <w:vertAlign w:val="subscript"/>
          <w:lang w:val="en-US"/>
        </w:rPr>
        <w:t>5</w:t>
      </w:r>
      <w:r>
        <w:rPr>
          <w:rFonts w:hint="default" w:ascii="Times New Roman" w:hAnsi="Times New Roman" w:eastAsia="仿宋_GB2312" w:cs="Times New Roman"/>
          <w:sz w:val="32"/>
          <w:szCs w:val="32"/>
          <w:lang w:val="en-US"/>
        </w:rPr>
        <w:t>、SS、NH</w:t>
      </w:r>
      <w:r>
        <w:rPr>
          <w:rFonts w:hint="default" w:ascii="Times New Roman" w:hAnsi="Times New Roman" w:eastAsia="仿宋_GB2312" w:cs="Times New Roman"/>
          <w:sz w:val="32"/>
          <w:szCs w:val="32"/>
          <w:vertAlign w:val="subscript"/>
          <w:lang w:val="en-US"/>
        </w:rPr>
        <w:t>4</w:t>
      </w:r>
      <w:r>
        <w:rPr>
          <w:rFonts w:hint="default" w:ascii="Times New Roman" w:hAnsi="Times New Roman" w:eastAsia="仿宋_GB2312" w:cs="Times New Roman"/>
          <w:sz w:val="32"/>
          <w:szCs w:val="32"/>
          <w:lang w:val="en-US"/>
        </w:rPr>
        <w:t>-N的平均去除率分别达到65~70%、85~90%、85~90%和80~85%，</w:t>
      </w:r>
    </w:p>
    <w:p w14:paraId="3105A860">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此技术更适用于相对较小的处理规模，且占地面积较大，经强化生物脱氮除磷后，出水水质可达《农村生活污水处理设施水污染物排放标准》（DB51/2626-2019）二级标准。可适用于此次规划中的规模较小的散居村落，相对偏僻的按户收集处理模式，出水可进行资源化利用。</w:t>
      </w:r>
    </w:p>
    <w:p w14:paraId="0EC405A3">
      <w:pPr>
        <w:pStyle w:val="12"/>
        <w:spacing w:before="1" w:line="384" w:lineRule="auto"/>
        <w:ind w:right="374" w:firstLine="560" w:firstLineChars="200"/>
        <w:rPr>
          <w:rFonts w:hint="default" w:ascii="Times New Roman" w:hAnsi="Times New Roman" w:eastAsia="仿宋_GB2312" w:cs="Times New Roman"/>
          <w:lang w:val="en-US"/>
        </w:rPr>
      </w:pPr>
    </w:p>
    <w:p w14:paraId="1309A304">
      <w:pPr>
        <w:pStyle w:val="12"/>
        <w:spacing w:before="1" w:line="384" w:lineRule="auto"/>
        <w:ind w:right="374"/>
        <w:jc w:val="both"/>
        <w:rPr>
          <w:rFonts w:hint="default" w:ascii="Times New Roman" w:hAnsi="Times New Roman" w:eastAsia="仿宋_GB2312" w:cs="Times New Roman"/>
          <w:b/>
          <w:bCs/>
        </w:rPr>
      </w:pPr>
      <w:r>
        <w:rPr>
          <w:rFonts w:hint="default" w:ascii="Times New Roman" w:hAnsi="Times New Roman" w:eastAsia="仿宋_GB2312" w:cs="Times New Roman"/>
          <w:lang w:val="en-US" w:bidi="ar-SA"/>
        </w:rPr>
        <w:drawing>
          <wp:inline distT="0" distB="0" distL="114300" distR="114300">
            <wp:extent cx="5935980" cy="2345690"/>
            <wp:effectExtent l="0" t="0" r="7620" b="16510"/>
            <wp:docPr id="2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2"/>
                    <pic:cNvPicPr>
                      <a:picLocks noChangeAspect="1"/>
                    </pic:cNvPicPr>
                  </pic:nvPicPr>
                  <pic:blipFill>
                    <a:blip r:embed="rId29" cstate="print"/>
                    <a:stretch>
                      <a:fillRect/>
                    </a:stretch>
                  </pic:blipFill>
                  <pic:spPr>
                    <a:xfrm>
                      <a:off x="0" y="0"/>
                      <a:ext cx="5935980" cy="2345690"/>
                    </a:xfrm>
                    <a:prstGeom prst="rect">
                      <a:avLst/>
                    </a:prstGeom>
                    <a:noFill/>
                    <a:ln>
                      <a:noFill/>
                    </a:ln>
                  </pic:spPr>
                </pic:pic>
              </a:graphicData>
            </a:graphic>
          </wp:inline>
        </w:drawing>
      </w:r>
    </w:p>
    <w:p w14:paraId="51C240AC">
      <w:pPr>
        <w:jc w:val="center"/>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.4-11厌氧池+人工湿地技术工艺流程图</w:t>
      </w:r>
    </w:p>
    <w:p w14:paraId="501F7725">
      <w:pPr>
        <w:pStyle w:val="12"/>
        <w:spacing w:before="1" w:line="384" w:lineRule="auto"/>
        <w:ind w:right="374"/>
        <w:jc w:val="center"/>
        <w:rPr>
          <w:rFonts w:hint="default" w:ascii="Times New Roman" w:hAnsi="Times New Roman" w:eastAsia="仿宋_GB2312" w:cs="Times New Roman"/>
        </w:rPr>
      </w:pPr>
      <w:r>
        <w:rPr>
          <w:rFonts w:hint="default" w:ascii="Times New Roman" w:hAnsi="Times New Roman" w:eastAsia="仿宋_GB2312" w:cs="Times New Roman"/>
          <w:lang w:val="en-US" w:bidi="ar-SA"/>
        </w:rPr>
        <w:drawing>
          <wp:inline distT="0" distB="0" distL="114300" distR="114300">
            <wp:extent cx="4943475" cy="2867025"/>
            <wp:effectExtent l="0" t="0" r="9525"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30" cstate="print"/>
                    <a:stretch>
                      <a:fillRect/>
                    </a:stretch>
                  </pic:blipFill>
                  <pic:spPr>
                    <a:xfrm>
                      <a:off x="0" y="0"/>
                      <a:ext cx="4943475" cy="2867025"/>
                    </a:xfrm>
                    <a:prstGeom prst="rect">
                      <a:avLst/>
                    </a:prstGeom>
                    <a:noFill/>
                    <a:ln>
                      <a:noFill/>
                    </a:ln>
                  </pic:spPr>
                </pic:pic>
              </a:graphicData>
            </a:graphic>
          </wp:inline>
        </w:drawing>
      </w:r>
    </w:p>
    <w:p w14:paraId="09BA65E3">
      <w:pPr>
        <w:jc w:val="center"/>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.4-12厌氧池+人工湿地实例图</w:t>
      </w:r>
    </w:p>
    <w:p w14:paraId="72F27E9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3" w:firstLineChars="200"/>
        <w:textAlignment w:val="auto"/>
        <w:rPr>
          <w:rFonts w:hint="default" w:ascii="Times New Roman" w:hAnsi="Times New Roman" w:eastAsia="楷体_GB2312" w:cs="Times New Roman"/>
          <w:b/>
          <w:bCs/>
          <w:sz w:val="32"/>
          <w:szCs w:val="32"/>
          <w:lang w:val="en-US"/>
        </w:rPr>
      </w:pPr>
      <w:r>
        <w:rPr>
          <w:rFonts w:hint="default" w:ascii="Times New Roman" w:hAnsi="Times New Roman" w:eastAsia="楷体_GB2312" w:cs="Times New Roman"/>
          <w:b/>
          <w:bCs/>
          <w:sz w:val="32"/>
          <w:szCs w:val="32"/>
          <w:lang w:val="en-US"/>
        </w:rPr>
        <w:t>（三）农村污水处理独户处理工艺</w:t>
      </w:r>
    </w:p>
    <w:p w14:paraId="740B9B3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（1）资源化利用</w:t>
      </w:r>
    </w:p>
    <w:p w14:paraId="38F816F9">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对于独户或无条件做污水处理的农户，优先采用资源化利用的方式，生活污水采用一体化小型三格化粪池，进行处理后排入消化池消化处理；厕所废水采用农家肥方式资源化利用。</w:t>
      </w:r>
    </w:p>
    <w:p w14:paraId="09ED1346">
      <w:pPr>
        <w:pStyle w:val="12"/>
        <w:spacing w:before="1" w:line="384" w:lineRule="auto"/>
        <w:ind w:right="374" w:firstLine="560" w:firstLineChars="200"/>
        <w:jc w:val="center"/>
        <w:rPr>
          <w:rFonts w:hint="default" w:ascii="Times New Roman" w:hAnsi="Times New Roman" w:eastAsia="仿宋_GB2312" w:cs="Times New Roman"/>
        </w:rPr>
      </w:pPr>
      <w:r>
        <w:rPr>
          <w:rFonts w:hint="default" w:ascii="Times New Roman" w:hAnsi="Times New Roman" w:eastAsia="仿宋_GB2312" w:cs="Times New Roman"/>
          <w:lang w:val="en-US" w:bidi="ar-SA"/>
        </w:rPr>
        <w:drawing>
          <wp:inline distT="0" distB="0" distL="114300" distR="114300">
            <wp:extent cx="3334385" cy="2567305"/>
            <wp:effectExtent l="0" t="0" r="18415" b="4445"/>
            <wp:docPr id="3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2" descr="IMG_256"/>
                    <pic:cNvPicPr>
                      <a:picLocks noChangeAspect="1"/>
                    </pic:cNvPicPr>
                  </pic:nvPicPr>
                  <pic:blipFill>
                    <a:blip r:embed="rId31" cstate="print"/>
                    <a:stretch>
                      <a:fillRect/>
                    </a:stretch>
                  </pic:blipFill>
                  <pic:spPr>
                    <a:xfrm>
                      <a:off x="0" y="0"/>
                      <a:ext cx="3334385" cy="2567305"/>
                    </a:xfrm>
                    <a:prstGeom prst="rect">
                      <a:avLst/>
                    </a:prstGeom>
                    <a:noFill/>
                    <a:ln w="9525">
                      <a:noFill/>
                    </a:ln>
                  </pic:spPr>
                </pic:pic>
              </a:graphicData>
            </a:graphic>
          </wp:inline>
        </w:drawing>
      </w:r>
    </w:p>
    <w:p w14:paraId="0754E472">
      <w:pPr>
        <w:keepNext w:val="0"/>
        <w:keepLines w:val="0"/>
        <w:pageBreakBefore w:val="0"/>
        <w:widowControl w:val="0"/>
        <w:kinsoku/>
        <w:wordWrap/>
        <w:overflowPunct/>
        <w:topLinePunct w:val="0"/>
        <w:autoSpaceDE w:val="0"/>
        <w:autoSpaceDN w:val="0"/>
        <w:bidi w:val="0"/>
        <w:adjustRightInd/>
        <w:snapToGrid/>
        <w:spacing w:line="576" w:lineRule="exact"/>
        <w:jc w:val="center"/>
        <w:textAlignment w:val="auto"/>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rPr>
        <w:t>图</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rPr>
        <w:t>.4-13小型一体化化粪池</w:t>
      </w:r>
    </w:p>
    <w:p w14:paraId="1D229C39">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3" w:firstLineChars="200"/>
        <w:textAlignment w:val="auto"/>
        <w:rPr>
          <w:rFonts w:hint="default" w:ascii="Times New Roman" w:hAnsi="Times New Roman" w:eastAsia="楷体_GB2312" w:cs="Times New Roman"/>
          <w:b/>
          <w:bCs/>
          <w:sz w:val="32"/>
          <w:szCs w:val="32"/>
          <w:lang w:val="en-US"/>
        </w:rPr>
      </w:pPr>
      <w:bookmarkStart w:id="78" w:name="_Toc16386"/>
      <w:r>
        <w:rPr>
          <w:rFonts w:hint="default" w:ascii="Times New Roman" w:hAnsi="Times New Roman" w:eastAsia="楷体_GB2312" w:cs="Times New Roman"/>
          <w:b/>
          <w:bCs/>
          <w:sz w:val="32"/>
          <w:szCs w:val="32"/>
          <w:lang w:val="en-US" w:eastAsia="zh-CN"/>
        </w:rPr>
        <w:t>3</w:t>
      </w:r>
      <w:r>
        <w:rPr>
          <w:rFonts w:hint="default" w:ascii="Times New Roman" w:hAnsi="Times New Roman" w:eastAsia="楷体_GB2312" w:cs="Times New Roman"/>
          <w:b/>
          <w:bCs/>
          <w:sz w:val="32"/>
          <w:szCs w:val="32"/>
          <w:lang w:val="en-US"/>
        </w:rPr>
        <w:t>.4.3农村污水处理工艺的比较和选择</w:t>
      </w:r>
      <w:bookmarkEnd w:id="77"/>
      <w:bookmarkEnd w:id="78"/>
    </w:p>
    <w:p w14:paraId="706E7F2B">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我国目前常用的农村污水处理技术有土地渗滤、稳定塘、人工湿地、厌氧处理设施、好氧处理设施、MBR等工艺，结合现有的工艺进行比较，如下：</w:t>
      </w:r>
    </w:p>
    <w:tbl>
      <w:tblPr>
        <w:tblStyle w:val="23"/>
        <w:tblW w:w="9740" w:type="dxa"/>
        <w:jc w:val="center"/>
        <w:tblLayout w:type="fixed"/>
        <w:tblCellMar>
          <w:top w:w="0" w:type="dxa"/>
          <w:left w:w="0" w:type="dxa"/>
          <w:bottom w:w="0" w:type="dxa"/>
          <w:right w:w="0" w:type="dxa"/>
        </w:tblCellMar>
      </w:tblPr>
      <w:tblGrid>
        <w:gridCol w:w="717"/>
        <w:gridCol w:w="2723"/>
        <w:gridCol w:w="2141"/>
        <w:gridCol w:w="1395"/>
        <w:gridCol w:w="1189"/>
        <w:gridCol w:w="1575"/>
      </w:tblGrid>
      <w:tr w14:paraId="1ADD45F4">
        <w:tblPrEx>
          <w:tblCellMar>
            <w:top w:w="0" w:type="dxa"/>
            <w:left w:w="0" w:type="dxa"/>
            <w:bottom w:w="0" w:type="dxa"/>
            <w:right w:w="0" w:type="dxa"/>
          </w:tblCellMar>
        </w:tblPrEx>
        <w:trPr>
          <w:trHeight w:val="454" w:hRule="atLeast"/>
          <w:jc w:val="center"/>
        </w:trPr>
        <w:tc>
          <w:tcPr>
            <w:tcW w:w="7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643A9D">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序号</w:t>
            </w:r>
          </w:p>
        </w:tc>
        <w:tc>
          <w:tcPr>
            <w:tcW w:w="27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EB73C5">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工艺类型</w:t>
            </w:r>
          </w:p>
        </w:tc>
        <w:tc>
          <w:tcPr>
            <w:tcW w:w="21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F5A315">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吨水建设成本（</w:t>
            </w:r>
            <w:r>
              <w:rPr>
                <w:rFonts w:hint="default" w:ascii="Times New Roman" w:hAnsi="Times New Roman" w:eastAsia="仿宋_GB2312" w:cs="Times New Roman"/>
                <w:color w:val="000000"/>
                <w:sz w:val="24"/>
                <w:szCs w:val="24"/>
                <w:lang w:val="en-US"/>
              </w:rPr>
              <w:t>除纳厂外其余不含管网</w:t>
            </w:r>
            <w:r>
              <w:rPr>
                <w:rFonts w:hint="default" w:ascii="Times New Roman" w:hAnsi="Times New Roman" w:eastAsia="仿宋_GB2312" w:cs="Times New Roman"/>
                <w:color w:val="000000"/>
                <w:sz w:val="24"/>
                <w:szCs w:val="24"/>
              </w:rPr>
              <w:t>）（万元）</w:t>
            </w:r>
          </w:p>
        </w:tc>
        <w:tc>
          <w:tcPr>
            <w:tcW w:w="13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01B0B7">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吨水运行成本</w:t>
            </w:r>
          </w:p>
          <w:p w14:paraId="5FDEB3DC">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（元）</w:t>
            </w:r>
          </w:p>
        </w:tc>
        <w:tc>
          <w:tcPr>
            <w:tcW w:w="11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A64977">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日常管理</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213E69">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出水水质</w:t>
            </w:r>
          </w:p>
        </w:tc>
      </w:tr>
      <w:tr w14:paraId="7136F6E6">
        <w:tblPrEx>
          <w:tblCellMar>
            <w:top w:w="0" w:type="dxa"/>
            <w:left w:w="0" w:type="dxa"/>
            <w:bottom w:w="0" w:type="dxa"/>
            <w:right w:w="0" w:type="dxa"/>
          </w:tblCellMar>
        </w:tblPrEx>
        <w:trPr>
          <w:trHeight w:val="454" w:hRule="atLeast"/>
          <w:jc w:val="center"/>
        </w:trPr>
        <w:tc>
          <w:tcPr>
            <w:tcW w:w="7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72271A">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1</w:t>
            </w:r>
          </w:p>
        </w:tc>
        <w:tc>
          <w:tcPr>
            <w:tcW w:w="27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6429C1">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纳</w:t>
            </w:r>
            <w:r>
              <w:rPr>
                <w:rFonts w:hint="default" w:ascii="Times New Roman" w:hAnsi="Times New Roman" w:eastAsia="仿宋_GB2312" w:cs="Times New Roman"/>
                <w:color w:val="000000"/>
                <w:sz w:val="24"/>
                <w:szCs w:val="24"/>
                <w:lang w:val="en-US"/>
              </w:rPr>
              <w:t>厂</w:t>
            </w:r>
            <w:r>
              <w:rPr>
                <w:rFonts w:hint="default" w:ascii="Times New Roman" w:hAnsi="Times New Roman" w:eastAsia="仿宋_GB2312" w:cs="Times New Roman"/>
                <w:color w:val="000000"/>
                <w:sz w:val="24"/>
                <w:szCs w:val="24"/>
              </w:rPr>
              <w:t>处理</w:t>
            </w:r>
          </w:p>
        </w:tc>
        <w:tc>
          <w:tcPr>
            <w:tcW w:w="21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94C178">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按距离</w:t>
            </w:r>
          </w:p>
        </w:tc>
        <w:tc>
          <w:tcPr>
            <w:tcW w:w="13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2B60D2">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0.6~0.8</w:t>
            </w:r>
          </w:p>
        </w:tc>
        <w:tc>
          <w:tcPr>
            <w:tcW w:w="11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018F5">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简单</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2CE023">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一级A</w:t>
            </w:r>
          </w:p>
        </w:tc>
      </w:tr>
      <w:tr w14:paraId="61E79167">
        <w:tblPrEx>
          <w:tblCellMar>
            <w:top w:w="0" w:type="dxa"/>
            <w:left w:w="0" w:type="dxa"/>
            <w:bottom w:w="0" w:type="dxa"/>
            <w:right w:w="0" w:type="dxa"/>
          </w:tblCellMar>
        </w:tblPrEx>
        <w:trPr>
          <w:trHeight w:val="454" w:hRule="atLeast"/>
          <w:jc w:val="center"/>
        </w:trPr>
        <w:tc>
          <w:tcPr>
            <w:tcW w:w="974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9A3B74">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集中式处理</w:t>
            </w:r>
          </w:p>
        </w:tc>
      </w:tr>
      <w:tr w14:paraId="0572F933">
        <w:tblPrEx>
          <w:tblCellMar>
            <w:top w:w="0" w:type="dxa"/>
            <w:left w:w="0" w:type="dxa"/>
            <w:bottom w:w="0" w:type="dxa"/>
            <w:right w:w="0" w:type="dxa"/>
          </w:tblCellMar>
        </w:tblPrEx>
        <w:trPr>
          <w:trHeight w:val="454" w:hRule="atLeast"/>
          <w:jc w:val="center"/>
        </w:trPr>
        <w:tc>
          <w:tcPr>
            <w:tcW w:w="7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E8187C">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2</w:t>
            </w:r>
          </w:p>
        </w:tc>
        <w:tc>
          <w:tcPr>
            <w:tcW w:w="27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839D34">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A/O生物接触氧化+人工湿地</w:t>
            </w:r>
          </w:p>
        </w:tc>
        <w:tc>
          <w:tcPr>
            <w:tcW w:w="21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E2BAEF">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rPr>
              <w:t>1.</w:t>
            </w:r>
            <w:r>
              <w:rPr>
                <w:rFonts w:hint="default" w:ascii="Times New Roman" w:hAnsi="Times New Roman" w:eastAsia="仿宋_GB2312" w:cs="Times New Roman"/>
                <w:color w:val="000000"/>
                <w:sz w:val="24"/>
                <w:szCs w:val="24"/>
                <w:lang w:val="en-US"/>
              </w:rPr>
              <w:t>0</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rPr>
              <w:t>1.5</w:t>
            </w:r>
          </w:p>
        </w:tc>
        <w:tc>
          <w:tcPr>
            <w:tcW w:w="13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B24F8">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0.9~1.3</w:t>
            </w:r>
          </w:p>
        </w:tc>
        <w:tc>
          <w:tcPr>
            <w:tcW w:w="11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C4D99E">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较复杂</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135C2">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lang w:val="en-US"/>
              </w:rPr>
              <w:t>一级A</w:t>
            </w:r>
          </w:p>
        </w:tc>
      </w:tr>
      <w:tr w14:paraId="0A21AB81">
        <w:tblPrEx>
          <w:tblCellMar>
            <w:top w:w="0" w:type="dxa"/>
            <w:left w:w="0" w:type="dxa"/>
            <w:bottom w:w="0" w:type="dxa"/>
            <w:right w:w="0" w:type="dxa"/>
          </w:tblCellMar>
        </w:tblPrEx>
        <w:trPr>
          <w:trHeight w:val="454" w:hRule="atLeast"/>
          <w:jc w:val="center"/>
        </w:trPr>
        <w:tc>
          <w:tcPr>
            <w:tcW w:w="7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D6EC6A">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3</w:t>
            </w:r>
          </w:p>
        </w:tc>
        <w:tc>
          <w:tcPr>
            <w:tcW w:w="27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E7CEA7">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A</w:t>
            </w:r>
            <w:r>
              <w:rPr>
                <w:rFonts w:hint="default" w:ascii="Times New Roman" w:hAnsi="Times New Roman" w:eastAsia="仿宋_GB2312" w:cs="Times New Roman"/>
                <w:color w:val="000000"/>
                <w:sz w:val="24"/>
                <w:szCs w:val="24"/>
                <w:vertAlign w:val="superscript"/>
              </w:rPr>
              <w:t>2</w:t>
            </w:r>
            <w:r>
              <w:rPr>
                <w:rFonts w:hint="default" w:ascii="Times New Roman" w:hAnsi="Times New Roman" w:eastAsia="仿宋_GB2312" w:cs="Times New Roman"/>
                <w:color w:val="000000"/>
                <w:sz w:val="24"/>
                <w:szCs w:val="24"/>
              </w:rPr>
              <w:t>/O生物接触氧化工艺</w:t>
            </w:r>
          </w:p>
        </w:tc>
        <w:tc>
          <w:tcPr>
            <w:tcW w:w="21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C75F49">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0.8</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rPr>
              <w:t>1.2</w:t>
            </w:r>
          </w:p>
        </w:tc>
        <w:tc>
          <w:tcPr>
            <w:tcW w:w="13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FB7C51">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1.0~1.3</w:t>
            </w:r>
          </w:p>
        </w:tc>
        <w:tc>
          <w:tcPr>
            <w:tcW w:w="11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113011">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较复杂</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BEED0">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一级B</w:t>
            </w:r>
          </w:p>
        </w:tc>
      </w:tr>
      <w:tr w14:paraId="02D69E52">
        <w:tblPrEx>
          <w:tblCellMar>
            <w:top w:w="0" w:type="dxa"/>
            <w:left w:w="0" w:type="dxa"/>
            <w:bottom w:w="0" w:type="dxa"/>
            <w:right w:w="0" w:type="dxa"/>
          </w:tblCellMar>
        </w:tblPrEx>
        <w:trPr>
          <w:trHeight w:val="454" w:hRule="atLeast"/>
          <w:jc w:val="center"/>
        </w:trPr>
        <w:tc>
          <w:tcPr>
            <w:tcW w:w="7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04ECE9">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4</w:t>
            </w:r>
          </w:p>
        </w:tc>
        <w:tc>
          <w:tcPr>
            <w:tcW w:w="27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95DA34">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rPr>
              <w:t>厌氧池+人工湿地工艺</w:t>
            </w:r>
            <w:r>
              <w:rPr>
                <w:rFonts w:hint="default" w:ascii="Times New Roman" w:hAnsi="Times New Roman" w:eastAsia="仿宋_GB2312" w:cs="Times New Roman"/>
                <w:color w:val="000000"/>
                <w:sz w:val="24"/>
                <w:szCs w:val="24"/>
                <w:lang w:val="en-US"/>
              </w:rPr>
              <w:t>/</w:t>
            </w:r>
            <w:r>
              <w:rPr>
                <w:rFonts w:hint="default" w:ascii="Times New Roman" w:hAnsi="Times New Roman" w:eastAsia="仿宋_GB2312" w:cs="Times New Roman"/>
                <w:color w:val="000000"/>
                <w:sz w:val="24"/>
                <w:szCs w:val="24"/>
              </w:rPr>
              <w:t>生态塘工艺</w:t>
            </w:r>
          </w:p>
        </w:tc>
        <w:tc>
          <w:tcPr>
            <w:tcW w:w="21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00680E">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lang w:val="en-US"/>
              </w:rPr>
              <w:t>0.6</w:t>
            </w:r>
            <w:r>
              <w:rPr>
                <w:rFonts w:hint="default" w:ascii="Times New Roman" w:hAnsi="Times New Roman" w:eastAsia="仿宋_GB2312" w:cs="Times New Roman"/>
                <w:color w:val="000000"/>
                <w:sz w:val="24"/>
                <w:szCs w:val="24"/>
              </w:rPr>
              <w:t>~1.</w:t>
            </w:r>
            <w:r>
              <w:rPr>
                <w:rFonts w:hint="default" w:ascii="Times New Roman" w:hAnsi="Times New Roman" w:eastAsia="仿宋_GB2312" w:cs="Times New Roman"/>
                <w:color w:val="000000"/>
                <w:sz w:val="24"/>
                <w:szCs w:val="24"/>
                <w:lang w:val="en-US"/>
              </w:rPr>
              <w:t>2</w:t>
            </w:r>
          </w:p>
        </w:tc>
        <w:tc>
          <w:tcPr>
            <w:tcW w:w="13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53793D">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0.25~0.8</w:t>
            </w:r>
          </w:p>
        </w:tc>
        <w:tc>
          <w:tcPr>
            <w:tcW w:w="11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29089">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简单</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AF9C96">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《农》</w:t>
            </w:r>
            <w:r>
              <w:rPr>
                <w:rFonts w:hint="default" w:ascii="Times New Roman" w:hAnsi="Times New Roman" w:eastAsia="仿宋_GB2312" w:cs="Times New Roman"/>
                <w:sz w:val="24"/>
                <w:szCs w:val="24"/>
                <w:lang w:val="en-US"/>
              </w:rPr>
              <w:t>DB51/2626</w:t>
            </w:r>
            <w:r>
              <w:rPr>
                <w:rFonts w:hint="default" w:ascii="Times New Roman" w:hAnsi="Times New Roman" w:eastAsia="仿宋_GB2312" w:cs="Times New Roman"/>
                <w:color w:val="000000"/>
                <w:sz w:val="24"/>
                <w:szCs w:val="24"/>
                <w:lang w:val="en-US"/>
              </w:rPr>
              <w:t>二级</w:t>
            </w:r>
          </w:p>
        </w:tc>
      </w:tr>
      <w:tr w14:paraId="2D673831">
        <w:tblPrEx>
          <w:tblCellMar>
            <w:top w:w="0" w:type="dxa"/>
            <w:left w:w="0" w:type="dxa"/>
            <w:bottom w:w="0" w:type="dxa"/>
            <w:right w:w="0" w:type="dxa"/>
          </w:tblCellMar>
        </w:tblPrEx>
        <w:trPr>
          <w:trHeight w:val="454" w:hRule="atLeast"/>
          <w:jc w:val="center"/>
        </w:trPr>
        <w:tc>
          <w:tcPr>
            <w:tcW w:w="7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83D0D1">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color w:val="000000"/>
                <w:sz w:val="24"/>
                <w:szCs w:val="24"/>
              </w:rPr>
              <w:t>5</w:t>
            </w:r>
          </w:p>
        </w:tc>
        <w:tc>
          <w:tcPr>
            <w:tcW w:w="27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BB6652">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A/O+MBR</w:t>
            </w:r>
          </w:p>
        </w:tc>
        <w:tc>
          <w:tcPr>
            <w:tcW w:w="21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0583B9">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0.8</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rPr>
              <w:t>1.5</w:t>
            </w:r>
          </w:p>
        </w:tc>
        <w:tc>
          <w:tcPr>
            <w:tcW w:w="13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979974">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1.2</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rPr>
              <w:t>1.5</w:t>
            </w:r>
          </w:p>
        </w:tc>
        <w:tc>
          <w:tcPr>
            <w:tcW w:w="11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9F62C2">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较简单</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F67E5B">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一级A</w:t>
            </w:r>
          </w:p>
        </w:tc>
      </w:tr>
      <w:tr w14:paraId="334C091E">
        <w:tblPrEx>
          <w:tblCellMar>
            <w:top w:w="0" w:type="dxa"/>
            <w:left w:w="0" w:type="dxa"/>
            <w:bottom w:w="0" w:type="dxa"/>
            <w:right w:w="0" w:type="dxa"/>
          </w:tblCellMar>
        </w:tblPrEx>
        <w:trPr>
          <w:trHeight w:val="454" w:hRule="atLeast"/>
          <w:jc w:val="center"/>
        </w:trPr>
        <w:tc>
          <w:tcPr>
            <w:tcW w:w="7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65ACDC">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6</w:t>
            </w:r>
          </w:p>
        </w:tc>
        <w:tc>
          <w:tcPr>
            <w:tcW w:w="27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FFDBC9">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rPr>
            </w:pPr>
            <w:r>
              <w:rPr>
                <w:rFonts w:hint="default" w:ascii="Times New Roman" w:hAnsi="Times New Roman" w:eastAsia="仿宋_GB2312" w:cs="Times New Roman"/>
                <w:sz w:val="24"/>
                <w:szCs w:val="24"/>
                <w:lang w:val="en-US"/>
              </w:rPr>
              <w:t>厌氧池+三维生物转盘</w:t>
            </w:r>
          </w:p>
        </w:tc>
        <w:tc>
          <w:tcPr>
            <w:tcW w:w="21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0F4C02">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0.6</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rPr>
              <w:t>1.0</w:t>
            </w:r>
          </w:p>
        </w:tc>
        <w:tc>
          <w:tcPr>
            <w:tcW w:w="13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CA1B22">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0.4</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rPr>
              <w:t>0.6</w:t>
            </w:r>
          </w:p>
        </w:tc>
        <w:tc>
          <w:tcPr>
            <w:tcW w:w="11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C62436">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简单</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D5F1D8">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一级B</w:t>
            </w:r>
          </w:p>
        </w:tc>
      </w:tr>
      <w:tr w14:paraId="6874E20A">
        <w:tblPrEx>
          <w:tblCellMar>
            <w:top w:w="0" w:type="dxa"/>
            <w:left w:w="0" w:type="dxa"/>
            <w:bottom w:w="0" w:type="dxa"/>
            <w:right w:w="0" w:type="dxa"/>
          </w:tblCellMar>
        </w:tblPrEx>
        <w:trPr>
          <w:trHeight w:val="454" w:hRule="atLeast"/>
          <w:jc w:val="center"/>
        </w:trPr>
        <w:tc>
          <w:tcPr>
            <w:tcW w:w="974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855CCC">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小型分散式</w:t>
            </w:r>
          </w:p>
        </w:tc>
      </w:tr>
      <w:tr w14:paraId="6D11F228">
        <w:tblPrEx>
          <w:tblCellMar>
            <w:top w:w="0" w:type="dxa"/>
            <w:left w:w="0" w:type="dxa"/>
            <w:bottom w:w="0" w:type="dxa"/>
            <w:right w:w="0" w:type="dxa"/>
          </w:tblCellMar>
        </w:tblPrEx>
        <w:trPr>
          <w:trHeight w:val="454" w:hRule="atLeast"/>
          <w:jc w:val="center"/>
        </w:trPr>
        <w:tc>
          <w:tcPr>
            <w:tcW w:w="7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FC74EC">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7</w:t>
            </w:r>
          </w:p>
        </w:tc>
        <w:tc>
          <w:tcPr>
            <w:tcW w:w="27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9A3FE3">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sz w:val="24"/>
                <w:szCs w:val="24"/>
                <w:lang w:val="en-US"/>
              </w:rPr>
            </w:pPr>
            <w:r>
              <w:rPr>
                <w:rFonts w:hint="default" w:ascii="Times New Roman" w:hAnsi="Times New Roman" w:eastAsia="仿宋_GB2312" w:cs="Times New Roman"/>
                <w:sz w:val="24"/>
                <w:szCs w:val="24"/>
                <w:lang w:val="en-US"/>
              </w:rPr>
              <w:t>三格化粪池+潜流式人工湿地</w:t>
            </w:r>
          </w:p>
        </w:tc>
        <w:tc>
          <w:tcPr>
            <w:tcW w:w="21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69686">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0.5</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rPr>
              <w:t>0.8</w:t>
            </w:r>
          </w:p>
        </w:tc>
        <w:tc>
          <w:tcPr>
            <w:tcW w:w="13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47ABE4">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0</w:t>
            </w:r>
            <w:r>
              <w:rPr>
                <w:rFonts w:hint="default" w:ascii="Times New Roman" w:hAnsi="Times New Roman" w:eastAsia="仿宋_GB2312" w:cs="Times New Roman"/>
                <w:color w:val="000000"/>
                <w:sz w:val="24"/>
                <w:szCs w:val="24"/>
              </w:rPr>
              <w:t>~0.</w:t>
            </w:r>
            <w:r>
              <w:rPr>
                <w:rFonts w:hint="default" w:ascii="Times New Roman" w:hAnsi="Times New Roman" w:eastAsia="仿宋_GB2312" w:cs="Times New Roman"/>
                <w:color w:val="000000"/>
                <w:sz w:val="24"/>
                <w:szCs w:val="24"/>
                <w:lang w:val="en-US"/>
              </w:rPr>
              <w:t>3</w:t>
            </w:r>
          </w:p>
        </w:tc>
        <w:tc>
          <w:tcPr>
            <w:tcW w:w="11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00E925">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简单</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66E705">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《农》</w:t>
            </w:r>
            <w:r>
              <w:rPr>
                <w:rFonts w:hint="default" w:ascii="Times New Roman" w:hAnsi="Times New Roman" w:eastAsia="仿宋_GB2312" w:cs="Times New Roman"/>
                <w:sz w:val="24"/>
                <w:szCs w:val="24"/>
                <w:lang w:val="en-US"/>
              </w:rPr>
              <w:t>DB51/2626</w:t>
            </w:r>
            <w:r>
              <w:rPr>
                <w:rFonts w:hint="default" w:ascii="Times New Roman" w:hAnsi="Times New Roman" w:eastAsia="仿宋_GB2312" w:cs="Times New Roman"/>
                <w:color w:val="000000"/>
                <w:sz w:val="24"/>
                <w:szCs w:val="24"/>
                <w:lang w:val="en-US"/>
              </w:rPr>
              <w:t>二级</w:t>
            </w:r>
          </w:p>
        </w:tc>
      </w:tr>
      <w:tr w14:paraId="55A6DDC7">
        <w:tblPrEx>
          <w:tblCellMar>
            <w:top w:w="0" w:type="dxa"/>
            <w:left w:w="0" w:type="dxa"/>
            <w:bottom w:w="0" w:type="dxa"/>
            <w:right w:w="0" w:type="dxa"/>
          </w:tblCellMar>
        </w:tblPrEx>
        <w:trPr>
          <w:trHeight w:val="454" w:hRule="atLeast"/>
          <w:jc w:val="center"/>
        </w:trPr>
        <w:tc>
          <w:tcPr>
            <w:tcW w:w="7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79B7B8">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8</w:t>
            </w:r>
          </w:p>
        </w:tc>
        <w:tc>
          <w:tcPr>
            <w:tcW w:w="27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871B92">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rPr>
              <w:t>净化槽</w:t>
            </w:r>
            <w:r>
              <w:rPr>
                <w:rFonts w:hint="default" w:ascii="Times New Roman" w:hAnsi="Times New Roman" w:eastAsia="仿宋_GB2312" w:cs="Times New Roman"/>
                <w:color w:val="000000"/>
                <w:sz w:val="24"/>
                <w:szCs w:val="24"/>
                <w:lang w:val="en-US"/>
              </w:rPr>
              <w:t>类</w:t>
            </w:r>
            <w:r>
              <w:rPr>
                <w:rFonts w:hint="default" w:ascii="Times New Roman" w:hAnsi="Times New Roman" w:eastAsia="仿宋_GB2312" w:cs="Times New Roman"/>
                <w:color w:val="000000"/>
                <w:sz w:val="24"/>
                <w:szCs w:val="24"/>
              </w:rPr>
              <w:t>设备+人工湿地</w:t>
            </w:r>
          </w:p>
        </w:tc>
        <w:tc>
          <w:tcPr>
            <w:tcW w:w="21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FE5C36">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rPr>
              <w:t>1.</w:t>
            </w:r>
            <w:r>
              <w:rPr>
                <w:rFonts w:hint="default" w:ascii="Times New Roman" w:hAnsi="Times New Roman" w:eastAsia="仿宋_GB2312" w:cs="Times New Roman"/>
                <w:color w:val="000000"/>
                <w:sz w:val="24"/>
                <w:szCs w:val="24"/>
                <w:lang w:val="en-US"/>
              </w:rPr>
              <w:t>2</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rPr>
              <w:t>1</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rPr>
              <w:t>8</w:t>
            </w:r>
          </w:p>
        </w:tc>
        <w:tc>
          <w:tcPr>
            <w:tcW w:w="13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960A1">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rPr>
              <w:t>0.8~1.2</w:t>
            </w:r>
          </w:p>
        </w:tc>
        <w:tc>
          <w:tcPr>
            <w:tcW w:w="11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8C4C74">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一般</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746284">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一级</w:t>
            </w:r>
          </w:p>
        </w:tc>
      </w:tr>
      <w:tr w14:paraId="04FEE221">
        <w:tblPrEx>
          <w:tblCellMar>
            <w:top w:w="0" w:type="dxa"/>
            <w:left w:w="0" w:type="dxa"/>
            <w:bottom w:w="0" w:type="dxa"/>
            <w:right w:w="0" w:type="dxa"/>
          </w:tblCellMar>
        </w:tblPrEx>
        <w:trPr>
          <w:trHeight w:val="454" w:hRule="atLeast"/>
          <w:jc w:val="center"/>
        </w:trPr>
        <w:tc>
          <w:tcPr>
            <w:tcW w:w="7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1078D7">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9</w:t>
            </w:r>
          </w:p>
        </w:tc>
        <w:tc>
          <w:tcPr>
            <w:tcW w:w="27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9D0C67">
            <w:pPr>
              <w:keepNext w:val="0"/>
              <w:keepLines w:val="0"/>
              <w:pageBreakBefore w:val="0"/>
              <w:widowControl/>
              <w:kinsoku/>
              <w:wordWrap/>
              <w:overflowPunct/>
              <w:topLinePunct w:val="0"/>
              <w:autoSpaceDE w:val="0"/>
              <w:autoSpaceDN w:val="0"/>
              <w:bidi w:val="0"/>
              <w:adjustRightInd/>
              <w:snapToGrid/>
              <w:spacing w:line="340" w:lineRule="exact"/>
              <w:jc w:val="center"/>
              <w:textAlignment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微动力净化槽</w:t>
            </w:r>
          </w:p>
        </w:tc>
        <w:tc>
          <w:tcPr>
            <w:tcW w:w="21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85E147">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0.8</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rPr>
              <w:t>1.5</w:t>
            </w:r>
          </w:p>
        </w:tc>
        <w:tc>
          <w:tcPr>
            <w:tcW w:w="13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0BEF99">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rPr>
              <w:t>0.</w:t>
            </w:r>
            <w:r>
              <w:rPr>
                <w:rFonts w:hint="default" w:ascii="Times New Roman" w:hAnsi="Times New Roman" w:eastAsia="仿宋_GB2312" w:cs="Times New Roman"/>
                <w:color w:val="000000"/>
                <w:sz w:val="24"/>
                <w:szCs w:val="24"/>
                <w:lang w:val="en-US"/>
              </w:rPr>
              <w:t>8</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rPr>
              <w:t>1.0</w:t>
            </w:r>
          </w:p>
        </w:tc>
        <w:tc>
          <w:tcPr>
            <w:tcW w:w="11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A207B">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一般</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7789B2">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《农》</w:t>
            </w:r>
            <w:r>
              <w:rPr>
                <w:rFonts w:hint="default" w:ascii="Times New Roman" w:hAnsi="Times New Roman" w:eastAsia="仿宋_GB2312" w:cs="Times New Roman"/>
                <w:sz w:val="24"/>
                <w:szCs w:val="24"/>
                <w:lang w:val="en-US"/>
              </w:rPr>
              <w:t>DB51/2626</w:t>
            </w:r>
            <w:r>
              <w:rPr>
                <w:rFonts w:hint="default" w:ascii="Times New Roman" w:hAnsi="Times New Roman" w:eastAsia="仿宋_GB2312" w:cs="Times New Roman"/>
                <w:color w:val="000000"/>
                <w:sz w:val="24"/>
                <w:szCs w:val="24"/>
                <w:lang w:val="en-US"/>
              </w:rPr>
              <w:t>二级</w:t>
            </w:r>
          </w:p>
        </w:tc>
      </w:tr>
      <w:tr w14:paraId="6EBCB4D2">
        <w:tblPrEx>
          <w:tblCellMar>
            <w:top w:w="0" w:type="dxa"/>
            <w:left w:w="0" w:type="dxa"/>
            <w:bottom w:w="0" w:type="dxa"/>
            <w:right w:w="0" w:type="dxa"/>
          </w:tblCellMar>
        </w:tblPrEx>
        <w:trPr>
          <w:trHeight w:val="454" w:hRule="atLeast"/>
          <w:jc w:val="center"/>
        </w:trPr>
        <w:tc>
          <w:tcPr>
            <w:tcW w:w="974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3642F">
            <w:pPr>
              <w:keepNext w:val="0"/>
              <w:keepLines w:val="0"/>
              <w:pageBreakBefore w:val="0"/>
              <w:kinsoku/>
              <w:wordWrap/>
              <w:overflowPunct/>
              <w:topLinePunct w:val="0"/>
              <w:autoSpaceDE w:val="0"/>
              <w:autoSpaceDN w:val="0"/>
              <w:bidi w:val="0"/>
              <w:adjustRightInd/>
              <w:snapToGrid/>
              <w:spacing w:line="340" w:lineRule="exact"/>
              <w:jc w:val="center"/>
              <w:rPr>
                <w:rFonts w:hint="default" w:ascii="Times New Roman" w:hAnsi="Times New Roman" w:cs="Times New Roman"/>
                <w:color w:val="000000"/>
                <w:sz w:val="24"/>
                <w:szCs w:val="24"/>
                <w:lang w:val="en-US"/>
              </w:rPr>
            </w:pPr>
            <w:r>
              <w:rPr>
                <w:rFonts w:hint="default" w:ascii="Times New Roman" w:hAnsi="Times New Roman" w:eastAsia="仿宋_GB2312" w:cs="Times New Roman"/>
                <w:color w:val="000000"/>
                <w:sz w:val="24"/>
                <w:szCs w:val="24"/>
                <w:lang w:val="en-US"/>
              </w:rPr>
              <w:t>注：《农》为《农村生活污水处理设施水污染排放标准》（DB51/2626-2019）</w:t>
            </w:r>
          </w:p>
        </w:tc>
      </w:tr>
    </w:tbl>
    <w:p w14:paraId="073A9FCF">
      <w:pPr>
        <w:pStyle w:val="12"/>
        <w:spacing w:before="1" w:line="384" w:lineRule="auto"/>
        <w:ind w:right="374"/>
        <w:jc w:val="both"/>
        <w:rPr>
          <w:rFonts w:hint="default" w:ascii="Times New Roman" w:hAnsi="Times New Roman" w:eastAsia="仿宋_GB2312" w:cs="Times New Roman"/>
          <w:lang w:val="en-US"/>
        </w:rPr>
      </w:pPr>
    </w:p>
    <w:p w14:paraId="4A65F403">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通过比较，综合考虑安居区农村地区的经济水平、地质地势、污水水质情况、水质要求、后期维护管理情况等各方面情况，同时结合各乡镇现有设施各处理工艺的运行效果等，本规划建议针对不同的出水要求，在现有设施的基础上，根据现场条件合理选择处理方式。</w:t>
      </w:r>
    </w:p>
    <w:p w14:paraId="61AE12FF">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val="en-US"/>
        </w:rPr>
        <w:t>离已建或在建污水厂较近的（3000米范围内），采取纳厂处理。</w:t>
      </w:r>
    </w:p>
    <w:p w14:paraId="5FC92DE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val="en-US"/>
        </w:rPr>
        <w:t>无法纳厂但较为集中的村庄</w:t>
      </w:r>
      <w:r>
        <w:rPr>
          <w:rFonts w:hint="eastAsia" w:ascii="Times New Roman" w:hAnsi="Times New Roman" w:eastAsia="仿宋_GB2312" w:cs="Times New Roman"/>
          <w:sz w:val="32"/>
          <w:szCs w:val="32"/>
          <w:lang w:val="en-US" w:eastAsia="zh-CN"/>
        </w:rPr>
        <w:t>以及</w:t>
      </w:r>
      <w:r>
        <w:rPr>
          <w:rFonts w:hint="default" w:ascii="Times New Roman" w:hAnsi="Times New Roman" w:eastAsia="仿宋_GB2312" w:cs="Times New Roman"/>
          <w:sz w:val="32"/>
          <w:szCs w:val="32"/>
          <w:lang w:val="en-US"/>
        </w:rPr>
        <w:t>于一些列入美丽乡村建设名录以及饮用水源保护区、主要河流湖库周边、主要旅游景区景点周边、黑臭水体整改周边，采用集中收集处理的方式进行处理，处理工艺推荐采用“AO+MBR”或采用“AO+人工湿地”工艺，达《农村生活污水处理设施水污染排放标准》（DB51/2626-2019）一级标准，或达《农田灌溉水质标准》（GB5084）水质标准后，灌溉农用，不外排。</w:t>
      </w:r>
    </w:p>
    <w:p w14:paraId="6ED91A7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lang w:val="en-US" w:eastAsia="zh-CN"/>
        </w:rPr>
        <w:sectPr>
          <w:footerReference r:id="rId7" w:type="default"/>
          <w:footerReference r:id="rId8" w:type="even"/>
          <w:pgSz w:w="11905" w:h="16838"/>
          <w:pgMar w:top="2098" w:right="1474" w:bottom="1984" w:left="1587" w:header="1020" w:footer="1417" w:gutter="0"/>
          <w:pgNumType w:fmt="decimal"/>
          <w:cols w:space="0" w:num="1"/>
          <w:rtlGutter w:val="0"/>
          <w:docGrid w:linePitch="0" w:charSpace="0"/>
        </w:sect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en-US"/>
        </w:rPr>
        <w:t>较为分散的多户农户，采用多户分散式处理模式，工艺推荐采用小型“三格化粪池+潜流式人工湿地”无动力处理工艺（也可选择其他新型无动力或低功耗，造价低，方便运维，能处理达标的污水处理工艺）达《农村生活污水处理设施水污染排放标准》（DB51/2626-2019）二级标准，或《农田灌溉水质标准》（GB5084）水质标准后，用于灌溉农用，不外排</w:t>
      </w:r>
      <w:r>
        <w:rPr>
          <w:rFonts w:hint="default" w:ascii="Times New Roman" w:hAnsi="Times New Roman" w:eastAsia="仿宋_GB2312" w:cs="Times New Roman"/>
          <w:sz w:val="32"/>
          <w:szCs w:val="32"/>
          <w:lang w:val="en-US" w:eastAsia="zh-CN"/>
        </w:rPr>
        <w:t>。</w:t>
      </w:r>
    </w:p>
    <w:bookmarkEnd w:id="60"/>
    <w:bookmarkEnd w:id="61"/>
    <w:bookmarkEnd w:id="62"/>
    <w:p w14:paraId="23C61FCC">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line="576" w:lineRule="exact"/>
        <w:ind w:leftChars="0"/>
        <w:jc w:val="center"/>
        <w:textAlignment w:val="auto"/>
        <w:rPr>
          <w:rFonts w:hint="default" w:ascii="Times New Roman" w:hAnsi="Times New Roman" w:eastAsia="方正小标宋简体" w:cs="Times New Roman"/>
          <w:b w:val="0"/>
          <w:bCs w:val="0"/>
          <w:sz w:val="44"/>
          <w:szCs w:val="44"/>
          <w:lang w:val="en-US" w:eastAsia="zh-CN"/>
        </w:rPr>
      </w:pPr>
      <w:bookmarkStart w:id="79" w:name="_Toc7222"/>
      <w:r>
        <w:rPr>
          <w:rFonts w:hint="eastAsia" w:ascii="Times New Roman" w:hAnsi="Times New Roman" w:eastAsia="方正小标宋简体" w:cs="Times New Roman"/>
          <w:b w:val="0"/>
          <w:bCs w:val="0"/>
          <w:sz w:val="44"/>
          <w:szCs w:val="44"/>
          <w:lang w:val="en-US" w:eastAsia="zh-CN"/>
        </w:rPr>
        <w:t xml:space="preserve">第四章   </w:t>
      </w:r>
      <w:r>
        <w:rPr>
          <w:rFonts w:hint="default" w:ascii="Times New Roman" w:hAnsi="Times New Roman" w:eastAsia="方正小标宋简体" w:cs="Times New Roman"/>
          <w:b w:val="0"/>
          <w:bCs w:val="0"/>
          <w:sz w:val="44"/>
          <w:szCs w:val="44"/>
          <w:lang w:val="en-US" w:eastAsia="zh-CN"/>
        </w:rPr>
        <w:t>片区生活污水治理现状</w:t>
      </w:r>
      <w:bookmarkEnd w:id="79"/>
    </w:p>
    <w:p w14:paraId="62249798">
      <w:pPr>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ind w:left="0" w:leftChars="0"/>
        <w:textAlignment w:val="auto"/>
        <w:rPr>
          <w:rFonts w:hint="default" w:ascii="Times New Roman" w:hAnsi="Times New Roman" w:eastAsia="仿宋_GB2312" w:cs="Times New Roman"/>
        </w:rPr>
      </w:pPr>
    </w:p>
    <w:p w14:paraId="4C41D7FB">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outlineLvl w:val="1"/>
        <w:rPr>
          <w:rFonts w:hint="default" w:ascii="Times New Roman" w:hAnsi="Times New Roman" w:eastAsia="黑体" w:cs="Times New Roman"/>
          <w:b w:val="0"/>
          <w:bCs w:val="0"/>
          <w:sz w:val="32"/>
          <w:szCs w:val="32"/>
          <w:lang w:val="en-US" w:eastAsia="zh-CN" w:bidi="zh-CN"/>
        </w:rPr>
      </w:pPr>
      <w:bookmarkStart w:id="80" w:name="_Toc21535"/>
      <w:r>
        <w:rPr>
          <w:rFonts w:hint="default" w:ascii="Times New Roman" w:hAnsi="Times New Roman" w:eastAsia="黑体" w:cs="Times New Roman"/>
          <w:b w:val="0"/>
          <w:bCs w:val="0"/>
          <w:sz w:val="32"/>
          <w:szCs w:val="32"/>
          <w:lang w:val="en-US" w:eastAsia="zh-CN" w:bidi="zh-CN"/>
        </w:rPr>
        <w:t>4.1城乡融合片现状情况</w:t>
      </w:r>
      <w:bookmarkEnd w:id="80"/>
    </w:p>
    <w:p w14:paraId="6B9BC679">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3" w:firstLineChars="200"/>
        <w:textAlignment w:val="auto"/>
        <w:outlineLvl w:val="1"/>
        <w:rPr>
          <w:rFonts w:hint="default" w:ascii="Times New Roman" w:hAnsi="Times New Roman" w:eastAsia="楷体_GB2312" w:cs="Times New Roman"/>
          <w:b/>
          <w:bCs/>
          <w:sz w:val="32"/>
          <w:szCs w:val="32"/>
        </w:rPr>
      </w:pPr>
      <w:bookmarkStart w:id="81" w:name="_Toc2246"/>
      <w:r>
        <w:rPr>
          <w:rFonts w:hint="default" w:ascii="Times New Roman" w:hAnsi="Times New Roman" w:eastAsia="楷体_GB2312" w:cs="Times New Roman"/>
          <w:b/>
          <w:bCs/>
          <w:sz w:val="32"/>
          <w:szCs w:val="32"/>
          <w:lang w:val="en-US" w:eastAsia="zh-CN"/>
        </w:rPr>
        <w:t>4.1.1</w:t>
      </w:r>
      <w:r>
        <w:rPr>
          <w:rFonts w:hint="default" w:ascii="Times New Roman" w:hAnsi="Times New Roman" w:eastAsia="楷体_GB2312" w:cs="Times New Roman"/>
          <w:b/>
          <w:bCs/>
          <w:sz w:val="32"/>
          <w:szCs w:val="32"/>
        </w:rPr>
        <w:t>城镇污水处理厂</w:t>
      </w:r>
      <w:bookmarkEnd w:id="81"/>
    </w:p>
    <w:p w14:paraId="4034F7F3">
      <w:pPr>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除安居镇社区污水纳入安居城区污水处理系统统一处理外，其他建制镇镇区均建有污水处理厂，出水水质达一级A标。镇区污水处理厂收纳覆盖的行政村仅9个，农村污水收集率较低</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雨季时部分雨水会进入市政污水管网，导致污水处理厂超负荷运行。</w:t>
      </w:r>
    </w:p>
    <w:p w14:paraId="13BD203F">
      <w:pPr>
        <w:pStyle w:val="2"/>
        <w:rPr>
          <w:rFonts w:hint="default" w:ascii="Times New Roman" w:hAnsi="Times New Roman" w:cs="Times New Roman"/>
          <w:sz w:val="32"/>
          <w:szCs w:val="32"/>
        </w:rPr>
      </w:pPr>
    </w:p>
    <w:p w14:paraId="2B0536C9">
      <w:pPr>
        <w:keepNext w:val="0"/>
        <w:keepLines w:val="0"/>
        <w:pageBreakBefore w:val="0"/>
        <w:widowControl w:val="0"/>
        <w:kinsoku/>
        <w:wordWrap/>
        <w:overflowPunct/>
        <w:topLinePunct w:val="0"/>
        <w:autoSpaceDE w:val="0"/>
        <w:autoSpaceDN w:val="0"/>
        <w:bidi w:val="0"/>
        <w:adjustRightInd/>
        <w:snapToGrid/>
        <w:spacing w:line="576" w:lineRule="exact"/>
        <w:ind w:left="0"/>
        <w:jc w:val="center"/>
        <w:textAlignment w:val="auto"/>
        <w:rPr>
          <w:rFonts w:hint="default" w:ascii="Times New Roman" w:hAnsi="Times New Roman" w:cs="Times New Roman"/>
          <w:sz w:val="32"/>
          <w:szCs w:val="32"/>
        </w:rPr>
      </w:pPr>
      <w:r>
        <w:rPr>
          <w:rFonts w:hint="default" w:ascii="Times New Roman" w:hAnsi="Times New Roman" w:eastAsia="仿宋_GB2312" w:cs="Times New Roman"/>
          <w:b/>
          <w:bCs/>
          <w:sz w:val="32"/>
          <w:szCs w:val="32"/>
        </w:rPr>
        <w:t>片区现状城镇污水处理厂一览表</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8"/>
        <w:gridCol w:w="1218"/>
        <w:gridCol w:w="1218"/>
      </w:tblGrid>
      <w:tr w14:paraId="7E35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782250A4">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i w:val="0"/>
                <w:iCs w:val="0"/>
                <w:color w:val="auto"/>
                <w:sz w:val="24"/>
                <w:szCs w:val="24"/>
              </w:rPr>
            </w:pPr>
            <w:r>
              <w:rPr>
                <w:rFonts w:hint="default" w:ascii="Times New Roman" w:hAnsi="Times New Roman" w:eastAsia="黑体" w:cs="Times New Roman"/>
                <w:b w:val="0"/>
                <w:bCs w:val="0"/>
                <w:i w:val="0"/>
                <w:iCs w:val="0"/>
                <w:color w:val="auto"/>
                <w:sz w:val="24"/>
                <w:szCs w:val="24"/>
              </w:rPr>
              <w:t>镇名称</w:t>
            </w:r>
          </w:p>
        </w:tc>
        <w:tc>
          <w:tcPr>
            <w:tcW w:w="1217" w:type="dxa"/>
            <w:vAlign w:val="center"/>
          </w:tcPr>
          <w:p w14:paraId="7B56D024">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i w:val="0"/>
                <w:iCs w:val="0"/>
                <w:color w:val="auto"/>
                <w:sz w:val="24"/>
                <w:szCs w:val="24"/>
              </w:rPr>
            </w:pPr>
            <w:r>
              <w:rPr>
                <w:rFonts w:hint="default" w:ascii="Times New Roman" w:hAnsi="Times New Roman" w:eastAsia="黑体" w:cs="Times New Roman"/>
                <w:b w:val="0"/>
                <w:bCs w:val="0"/>
                <w:i w:val="0"/>
                <w:iCs w:val="0"/>
                <w:color w:val="auto"/>
                <w:sz w:val="24"/>
                <w:szCs w:val="24"/>
              </w:rPr>
              <w:t>污水处理设施名称</w:t>
            </w:r>
          </w:p>
        </w:tc>
        <w:tc>
          <w:tcPr>
            <w:tcW w:w="1217" w:type="dxa"/>
            <w:vAlign w:val="center"/>
          </w:tcPr>
          <w:p w14:paraId="1CBF6280">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i w:val="0"/>
                <w:iCs w:val="0"/>
                <w:color w:val="auto"/>
                <w:sz w:val="24"/>
                <w:szCs w:val="24"/>
              </w:rPr>
            </w:pPr>
            <w:r>
              <w:rPr>
                <w:rFonts w:hint="default" w:ascii="Times New Roman" w:hAnsi="Times New Roman" w:eastAsia="黑体" w:cs="Times New Roman"/>
                <w:b w:val="0"/>
                <w:bCs w:val="0"/>
                <w:i w:val="0"/>
                <w:iCs w:val="0"/>
                <w:color w:val="auto"/>
                <w:sz w:val="24"/>
                <w:szCs w:val="24"/>
              </w:rPr>
              <w:t>工艺</w:t>
            </w:r>
          </w:p>
        </w:tc>
        <w:tc>
          <w:tcPr>
            <w:tcW w:w="1217" w:type="dxa"/>
            <w:vAlign w:val="center"/>
          </w:tcPr>
          <w:p w14:paraId="4E60F781">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i w:val="0"/>
                <w:iCs w:val="0"/>
                <w:color w:val="auto"/>
                <w:sz w:val="24"/>
                <w:szCs w:val="24"/>
              </w:rPr>
            </w:pPr>
            <w:r>
              <w:rPr>
                <w:rFonts w:hint="default" w:ascii="Times New Roman" w:hAnsi="Times New Roman" w:eastAsia="黑体" w:cs="Times New Roman"/>
                <w:b w:val="0"/>
                <w:bCs w:val="0"/>
                <w:i w:val="0"/>
                <w:iCs w:val="0"/>
                <w:color w:val="auto"/>
                <w:sz w:val="24"/>
                <w:szCs w:val="24"/>
              </w:rPr>
              <w:t>设计处理能力</w:t>
            </w:r>
          </w:p>
          <w:p w14:paraId="229AA8D2">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i w:val="0"/>
                <w:iCs w:val="0"/>
                <w:color w:val="auto"/>
                <w:sz w:val="24"/>
                <w:szCs w:val="24"/>
              </w:rPr>
            </w:pPr>
            <w:r>
              <w:rPr>
                <w:rFonts w:hint="default" w:ascii="Times New Roman" w:hAnsi="Times New Roman" w:eastAsia="黑体" w:cs="Times New Roman"/>
                <w:b w:val="0"/>
                <w:bCs w:val="0"/>
                <w:i w:val="0"/>
                <w:iCs w:val="0"/>
                <w:color w:val="auto"/>
                <w:sz w:val="24"/>
                <w:szCs w:val="24"/>
              </w:rPr>
              <w:t>（m³/d）</w:t>
            </w:r>
          </w:p>
        </w:tc>
        <w:tc>
          <w:tcPr>
            <w:tcW w:w="1218" w:type="dxa"/>
            <w:vAlign w:val="center"/>
          </w:tcPr>
          <w:p w14:paraId="0E5B3783">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i w:val="0"/>
                <w:iCs w:val="0"/>
                <w:color w:val="auto"/>
                <w:sz w:val="24"/>
                <w:szCs w:val="24"/>
              </w:rPr>
            </w:pPr>
            <w:r>
              <w:rPr>
                <w:rFonts w:hint="default" w:ascii="Times New Roman" w:hAnsi="Times New Roman" w:eastAsia="黑体" w:cs="Times New Roman"/>
                <w:b w:val="0"/>
                <w:bCs w:val="0"/>
                <w:i w:val="0"/>
                <w:iCs w:val="0"/>
                <w:color w:val="auto"/>
                <w:sz w:val="24"/>
                <w:szCs w:val="24"/>
              </w:rPr>
              <w:t>实际处理量（m³/d）</w:t>
            </w:r>
          </w:p>
        </w:tc>
        <w:tc>
          <w:tcPr>
            <w:tcW w:w="1218" w:type="dxa"/>
            <w:vAlign w:val="center"/>
          </w:tcPr>
          <w:p w14:paraId="5ED6196D">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i w:val="0"/>
                <w:iCs w:val="0"/>
                <w:color w:val="auto"/>
                <w:sz w:val="24"/>
                <w:szCs w:val="24"/>
              </w:rPr>
            </w:pPr>
            <w:r>
              <w:rPr>
                <w:rFonts w:hint="default" w:ascii="Times New Roman" w:hAnsi="Times New Roman" w:eastAsia="黑体" w:cs="Times New Roman"/>
                <w:b w:val="0"/>
                <w:bCs w:val="0"/>
                <w:i w:val="0"/>
                <w:iCs w:val="0"/>
                <w:color w:val="auto"/>
                <w:sz w:val="24"/>
                <w:szCs w:val="24"/>
              </w:rPr>
              <w:t>收纳污水覆盖的行政村</w:t>
            </w:r>
          </w:p>
        </w:tc>
        <w:tc>
          <w:tcPr>
            <w:tcW w:w="1218" w:type="dxa"/>
            <w:vAlign w:val="center"/>
          </w:tcPr>
          <w:p w14:paraId="6FA3B21D">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i w:val="0"/>
                <w:iCs w:val="0"/>
                <w:color w:val="auto"/>
                <w:sz w:val="24"/>
                <w:szCs w:val="24"/>
              </w:rPr>
            </w:pPr>
            <w:r>
              <w:rPr>
                <w:rFonts w:hint="default" w:ascii="Times New Roman" w:hAnsi="Times New Roman" w:eastAsia="黑体" w:cs="Times New Roman"/>
                <w:b w:val="0"/>
                <w:bCs w:val="0"/>
                <w:i w:val="0"/>
                <w:iCs w:val="0"/>
                <w:color w:val="auto"/>
                <w:sz w:val="24"/>
                <w:szCs w:val="24"/>
              </w:rPr>
              <w:t>执行排放标准</w:t>
            </w:r>
          </w:p>
        </w:tc>
      </w:tr>
      <w:tr w14:paraId="288A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511E172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w:t>
            </w:r>
          </w:p>
        </w:tc>
        <w:tc>
          <w:tcPr>
            <w:tcW w:w="1217" w:type="dxa"/>
            <w:vAlign w:val="center"/>
          </w:tcPr>
          <w:p w14:paraId="4222359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三家镇污水处理厂</w:t>
            </w:r>
          </w:p>
        </w:tc>
        <w:tc>
          <w:tcPr>
            <w:tcW w:w="1217" w:type="dxa"/>
            <w:vAlign w:val="center"/>
          </w:tcPr>
          <w:p w14:paraId="6180EE4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A2O+滤布滤池</w:t>
            </w:r>
          </w:p>
        </w:tc>
        <w:tc>
          <w:tcPr>
            <w:tcW w:w="1217" w:type="dxa"/>
            <w:vAlign w:val="center"/>
          </w:tcPr>
          <w:p w14:paraId="7B67B67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1000</w:t>
            </w:r>
          </w:p>
        </w:tc>
        <w:tc>
          <w:tcPr>
            <w:tcW w:w="1218" w:type="dxa"/>
            <w:vAlign w:val="center"/>
          </w:tcPr>
          <w:p w14:paraId="7E7CC5F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900</w:t>
            </w:r>
          </w:p>
        </w:tc>
        <w:tc>
          <w:tcPr>
            <w:tcW w:w="1218" w:type="dxa"/>
            <w:vAlign w:val="center"/>
          </w:tcPr>
          <w:p w14:paraId="3E42EEB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场口村、大桥村、大湾村</w:t>
            </w:r>
          </w:p>
        </w:tc>
        <w:tc>
          <w:tcPr>
            <w:tcW w:w="1218" w:type="dxa"/>
            <w:vAlign w:val="center"/>
          </w:tcPr>
          <w:p w14:paraId="1EE1DE5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一级A标</w:t>
            </w:r>
          </w:p>
        </w:tc>
      </w:tr>
      <w:tr w14:paraId="32DB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40CAB89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玉丰镇</w:t>
            </w:r>
          </w:p>
        </w:tc>
        <w:tc>
          <w:tcPr>
            <w:tcW w:w="1217" w:type="dxa"/>
            <w:vAlign w:val="center"/>
          </w:tcPr>
          <w:p w14:paraId="7223D4F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玉丰镇污水处理厂</w:t>
            </w:r>
          </w:p>
        </w:tc>
        <w:tc>
          <w:tcPr>
            <w:tcW w:w="1217" w:type="dxa"/>
            <w:vAlign w:val="center"/>
          </w:tcPr>
          <w:p w14:paraId="3F729FC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两级AO+生物流化床+人工快渗</w:t>
            </w:r>
          </w:p>
        </w:tc>
        <w:tc>
          <w:tcPr>
            <w:tcW w:w="1217" w:type="dxa"/>
            <w:vAlign w:val="center"/>
          </w:tcPr>
          <w:p w14:paraId="1552647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1000</w:t>
            </w:r>
          </w:p>
        </w:tc>
        <w:tc>
          <w:tcPr>
            <w:tcW w:w="1218" w:type="dxa"/>
            <w:vAlign w:val="center"/>
          </w:tcPr>
          <w:p w14:paraId="059EAFE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160</w:t>
            </w:r>
          </w:p>
        </w:tc>
        <w:tc>
          <w:tcPr>
            <w:tcW w:w="1218" w:type="dxa"/>
            <w:vAlign w:val="center"/>
          </w:tcPr>
          <w:p w14:paraId="6B9ED2C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高石村、陈坝村、双贵村</w:t>
            </w:r>
          </w:p>
        </w:tc>
        <w:tc>
          <w:tcPr>
            <w:tcW w:w="1218" w:type="dxa"/>
            <w:vAlign w:val="center"/>
          </w:tcPr>
          <w:p w14:paraId="0880B93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一级A标</w:t>
            </w:r>
          </w:p>
        </w:tc>
      </w:tr>
      <w:tr w14:paraId="6810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217" w:type="dxa"/>
            <w:vAlign w:val="center"/>
          </w:tcPr>
          <w:p w14:paraId="3433CE1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会龙镇</w:t>
            </w:r>
          </w:p>
        </w:tc>
        <w:tc>
          <w:tcPr>
            <w:tcW w:w="1217" w:type="dxa"/>
            <w:vAlign w:val="center"/>
          </w:tcPr>
          <w:p w14:paraId="2D9DDC6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会龙镇污水处理厂</w:t>
            </w:r>
          </w:p>
        </w:tc>
        <w:tc>
          <w:tcPr>
            <w:tcW w:w="1217" w:type="dxa"/>
            <w:vAlign w:val="center"/>
          </w:tcPr>
          <w:p w14:paraId="2073CAA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A2O</w:t>
            </w:r>
          </w:p>
        </w:tc>
        <w:tc>
          <w:tcPr>
            <w:tcW w:w="1217" w:type="dxa"/>
            <w:vAlign w:val="center"/>
          </w:tcPr>
          <w:p w14:paraId="21D9111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250</w:t>
            </w:r>
          </w:p>
        </w:tc>
        <w:tc>
          <w:tcPr>
            <w:tcW w:w="1218" w:type="dxa"/>
            <w:vAlign w:val="center"/>
          </w:tcPr>
          <w:p w14:paraId="0F6FFD8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100</w:t>
            </w:r>
          </w:p>
        </w:tc>
        <w:tc>
          <w:tcPr>
            <w:tcW w:w="1218" w:type="dxa"/>
            <w:vAlign w:val="center"/>
          </w:tcPr>
          <w:p w14:paraId="1ECB912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唱龙村、粉房村</w:t>
            </w:r>
          </w:p>
        </w:tc>
        <w:tc>
          <w:tcPr>
            <w:tcW w:w="1218" w:type="dxa"/>
            <w:vAlign w:val="center"/>
          </w:tcPr>
          <w:p w14:paraId="1F26224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一级A标</w:t>
            </w:r>
          </w:p>
        </w:tc>
      </w:tr>
      <w:tr w14:paraId="6713B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217" w:type="dxa"/>
            <w:vAlign w:val="center"/>
          </w:tcPr>
          <w:p w14:paraId="2098F8C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聚贤镇</w:t>
            </w:r>
          </w:p>
        </w:tc>
        <w:tc>
          <w:tcPr>
            <w:tcW w:w="1217" w:type="dxa"/>
            <w:vAlign w:val="center"/>
          </w:tcPr>
          <w:p w14:paraId="1FCE46D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聚贤镇污水处理厂</w:t>
            </w:r>
          </w:p>
        </w:tc>
        <w:tc>
          <w:tcPr>
            <w:tcW w:w="1217" w:type="dxa"/>
            <w:vAlign w:val="center"/>
          </w:tcPr>
          <w:p w14:paraId="54EF4C7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A2O</w:t>
            </w:r>
          </w:p>
        </w:tc>
        <w:tc>
          <w:tcPr>
            <w:tcW w:w="1217" w:type="dxa"/>
            <w:vAlign w:val="center"/>
          </w:tcPr>
          <w:p w14:paraId="2CCE721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300</w:t>
            </w:r>
          </w:p>
        </w:tc>
        <w:tc>
          <w:tcPr>
            <w:tcW w:w="1218" w:type="dxa"/>
            <w:vAlign w:val="center"/>
          </w:tcPr>
          <w:p w14:paraId="7CF3093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140</w:t>
            </w:r>
          </w:p>
        </w:tc>
        <w:tc>
          <w:tcPr>
            <w:tcW w:w="1218" w:type="dxa"/>
            <w:vAlign w:val="center"/>
          </w:tcPr>
          <w:p w14:paraId="4D71360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石板凳村</w:t>
            </w:r>
          </w:p>
        </w:tc>
        <w:tc>
          <w:tcPr>
            <w:tcW w:w="1218" w:type="dxa"/>
            <w:vAlign w:val="center"/>
          </w:tcPr>
          <w:p w14:paraId="6298B16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一级A标</w:t>
            </w:r>
          </w:p>
        </w:tc>
      </w:tr>
    </w:tbl>
    <w:p w14:paraId="1BFCFC8A">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bidi="zh-CN"/>
        </w:rPr>
      </w:pPr>
      <w:bookmarkStart w:id="82" w:name="_Toc15961"/>
      <w:r>
        <w:rPr>
          <w:rFonts w:hint="default" w:ascii="Times New Roman" w:hAnsi="Times New Roman" w:eastAsia="黑体" w:cs="Times New Roman"/>
          <w:b w:val="0"/>
          <w:bCs w:val="0"/>
          <w:sz w:val="32"/>
          <w:szCs w:val="32"/>
          <w:lang w:val="en-US" w:eastAsia="zh-CN" w:bidi="zh-CN"/>
        </w:rPr>
        <w:t>4.1.2农村污水集中处理设施</w:t>
      </w:r>
      <w:bookmarkEnd w:id="82"/>
    </w:p>
    <w:p w14:paraId="1915F724">
      <w:pPr>
        <w:keepNext w:val="0"/>
        <w:keepLines w:val="0"/>
        <w:pageBreakBefore w:val="0"/>
        <w:widowControl w:val="0"/>
        <w:kinsoku/>
        <w:wordWrap/>
        <w:overflowPunct/>
        <w:topLinePunct w:val="0"/>
        <w:autoSpaceDE w:val="0"/>
        <w:autoSpaceDN w:val="0"/>
        <w:bidi w:val="0"/>
        <w:adjustRightInd/>
        <w:snapToGrid/>
        <w:spacing w:line="576" w:lineRule="exact"/>
        <w:ind w:firstLine="640" w:firstLineChars="200"/>
        <w:jc w:val="both"/>
        <w:textAlignment w:val="auto"/>
        <w:rPr>
          <w:rFonts w:hint="default" w:ascii="Times New Roman" w:hAnsi="Times New Roman" w:eastAsia="仿宋_GB2312" w:cs="Times New Roman"/>
          <w:b/>
          <w:bCs/>
          <w:sz w:val="21"/>
          <w:szCs w:val="22"/>
        </w:rPr>
      </w:pPr>
      <w:r>
        <w:rPr>
          <w:rFonts w:hint="default" w:ascii="Times New Roman" w:hAnsi="Times New Roman" w:eastAsia="仿宋_GB2312" w:cs="Times New Roman"/>
          <w:sz w:val="32"/>
          <w:szCs w:val="32"/>
        </w:rPr>
        <w:t>除安居镇</w:t>
      </w:r>
      <w:r>
        <w:rPr>
          <w:rFonts w:hint="default" w:ascii="Times New Roman" w:hAnsi="Times New Roman" w:eastAsia="仿宋_GB2312" w:cs="Times New Roman"/>
          <w:sz w:val="32"/>
          <w:szCs w:val="32"/>
          <w:lang w:val="en-US" w:eastAsia="zh-CN"/>
        </w:rPr>
        <w:t>以</w:t>
      </w:r>
      <w:r>
        <w:rPr>
          <w:rFonts w:hint="default" w:ascii="Times New Roman" w:hAnsi="Times New Roman" w:eastAsia="仿宋_GB2312" w:cs="Times New Roman"/>
          <w:sz w:val="32"/>
          <w:szCs w:val="32"/>
        </w:rPr>
        <w:t>外，其他建制镇农村均建有污水集中处理设施，处理能力400-10m³/d不等。纳入污水集中处理设施的行政村占比较小</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仅15个行政村部分污水纳入农村污水集中处理设施。雨季时部分雨水会进入市政污水管网，导致污水处理设施超负荷运行。</w:t>
      </w:r>
    </w:p>
    <w:p w14:paraId="5CC1E809">
      <w:pPr>
        <w:bidi w:val="0"/>
        <w:jc w:val="center"/>
        <w:outlineLvl w:val="1"/>
        <w:rPr>
          <w:rFonts w:hint="default" w:ascii="Times New Roman" w:hAnsi="Times New Roman" w:eastAsia="黑体" w:cs="Times New Roman"/>
          <w:b/>
          <w:bCs/>
          <w:sz w:val="32"/>
          <w:szCs w:val="32"/>
        </w:rPr>
      </w:pPr>
      <w:bookmarkStart w:id="83" w:name="_Toc10488"/>
      <w:r>
        <w:rPr>
          <w:rFonts w:hint="default" w:ascii="Times New Roman" w:hAnsi="Times New Roman" w:eastAsia="仿宋_GB2312" w:cs="Times New Roman"/>
          <w:b/>
          <w:bCs/>
          <w:sz w:val="32"/>
          <w:szCs w:val="32"/>
        </w:rPr>
        <w:t>现状农村生活污水集中处理设施一览表</w:t>
      </w:r>
      <w:bookmarkEnd w:id="83"/>
    </w:p>
    <w:tbl>
      <w:tblPr>
        <w:tblStyle w:val="24"/>
        <w:tblW w:w="9392" w:type="dxa"/>
        <w:tblInd w:w="-4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2462"/>
        <w:gridCol w:w="1304"/>
        <w:gridCol w:w="1663"/>
        <w:gridCol w:w="1418"/>
        <w:gridCol w:w="1517"/>
      </w:tblGrid>
      <w:tr w14:paraId="02F9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Align w:val="center"/>
          </w:tcPr>
          <w:p w14:paraId="7535B5C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镇名称</w:t>
            </w:r>
          </w:p>
        </w:tc>
        <w:tc>
          <w:tcPr>
            <w:tcW w:w="2462" w:type="dxa"/>
            <w:vAlign w:val="center"/>
          </w:tcPr>
          <w:p w14:paraId="31DE51D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污水处理设施名称</w:t>
            </w:r>
          </w:p>
        </w:tc>
        <w:tc>
          <w:tcPr>
            <w:tcW w:w="1304" w:type="dxa"/>
            <w:vAlign w:val="center"/>
          </w:tcPr>
          <w:p w14:paraId="1493AB0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工艺</w:t>
            </w:r>
          </w:p>
        </w:tc>
        <w:tc>
          <w:tcPr>
            <w:tcW w:w="1663" w:type="dxa"/>
            <w:vAlign w:val="center"/>
          </w:tcPr>
          <w:p w14:paraId="0806BD2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设计处理能力（m³/d）</w:t>
            </w:r>
          </w:p>
        </w:tc>
        <w:tc>
          <w:tcPr>
            <w:tcW w:w="1418" w:type="dxa"/>
            <w:vAlign w:val="center"/>
          </w:tcPr>
          <w:p w14:paraId="2E55A12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实际处理量（m³/d）</w:t>
            </w:r>
          </w:p>
        </w:tc>
        <w:tc>
          <w:tcPr>
            <w:tcW w:w="1517" w:type="dxa"/>
            <w:vAlign w:val="center"/>
          </w:tcPr>
          <w:p w14:paraId="07C0D48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收纳污水覆盖的行政村</w:t>
            </w:r>
          </w:p>
        </w:tc>
      </w:tr>
      <w:tr w14:paraId="0586D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restart"/>
            <w:vAlign w:val="center"/>
          </w:tcPr>
          <w:p w14:paraId="4F6C9BA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w:t>
            </w:r>
          </w:p>
        </w:tc>
        <w:tc>
          <w:tcPr>
            <w:tcW w:w="2462" w:type="dxa"/>
            <w:vAlign w:val="center"/>
          </w:tcPr>
          <w:p w14:paraId="1C4774F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三家镇大安田园街污水处理站</w:t>
            </w:r>
          </w:p>
        </w:tc>
        <w:tc>
          <w:tcPr>
            <w:tcW w:w="1304" w:type="dxa"/>
            <w:vAlign w:val="center"/>
          </w:tcPr>
          <w:p w14:paraId="6C060E0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O+滤布滤池</w:t>
            </w:r>
          </w:p>
        </w:tc>
        <w:tc>
          <w:tcPr>
            <w:tcW w:w="1663" w:type="dxa"/>
            <w:vAlign w:val="center"/>
          </w:tcPr>
          <w:p w14:paraId="4FADB26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400</w:t>
            </w:r>
          </w:p>
        </w:tc>
        <w:tc>
          <w:tcPr>
            <w:tcW w:w="1418" w:type="dxa"/>
            <w:vAlign w:val="center"/>
          </w:tcPr>
          <w:p w14:paraId="68E2833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360</w:t>
            </w:r>
          </w:p>
        </w:tc>
        <w:tc>
          <w:tcPr>
            <w:tcW w:w="1517" w:type="dxa"/>
            <w:vAlign w:val="center"/>
          </w:tcPr>
          <w:p w14:paraId="01D37CD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河嘴村、新场村</w:t>
            </w:r>
          </w:p>
        </w:tc>
      </w:tr>
      <w:tr w14:paraId="60FF6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continue"/>
            <w:vAlign w:val="center"/>
          </w:tcPr>
          <w:p w14:paraId="46E853B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p>
        </w:tc>
        <w:tc>
          <w:tcPr>
            <w:tcW w:w="2462" w:type="dxa"/>
            <w:vAlign w:val="center"/>
          </w:tcPr>
          <w:p w14:paraId="29B4E0C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三家镇大安新市街污水处理站</w:t>
            </w:r>
          </w:p>
        </w:tc>
        <w:tc>
          <w:tcPr>
            <w:tcW w:w="1304" w:type="dxa"/>
            <w:vAlign w:val="center"/>
          </w:tcPr>
          <w:p w14:paraId="33C17F2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O+滤布滤池</w:t>
            </w:r>
          </w:p>
        </w:tc>
        <w:tc>
          <w:tcPr>
            <w:tcW w:w="1663" w:type="dxa"/>
            <w:vAlign w:val="center"/>
          </w:tcPr>
          <w:p w14:paraId="2292EA7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150</w:t>
            </w:r>
          </w:p>
        </w:tc>
        <w:tc>
          <w:tcPr>
            <w:tcW w:w="1418" w:type="dxa"/>
            <w:vAlign w:val="center"/>
          </w:tcPr>
          <w:p w14:paraId="3914D51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145</w:t>
            </w:r>
          </w:p>
        </w:tc>
        <w:tc>
          <w:tcPr>
            <w:tcW w:w="1517" w:type="dxa"/>
            <w:vAlign w:val="center"/>
          </w:tcPr>
          <w:p w14:paraId="1ECE648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新场村</w:t>
            </w:r>
          </w:p>
        </w:tc>
      </w:tr>
      <w:tr w14:paraId="5709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continue"/>
            <w:vAlign w:val="center"/>
          </w:tcPr>
          <w:p w14:paraId="134FEB7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p>
        </w:tc>
        <w:tc>
          <w:tcPr>
            <w:tcW w:w="2462" w:type="dxa"/>
            <w:vAlign w:val="center"/>
          </w:tcPr>
          <w:p w14:paraId="616B0D2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三家镇大安中学污水处理站</w:t>
            </w:r>
          </w:p>
        </w:tc>
        <w:tc>
          <w:tcPr>
            <w:tcW w:w="1304" w:type="dxa"/>
            <w:vAlign w:val="center"/>
          </w:tcPr>
          <w:p w14:paraId="5E09535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O+滤布滤池</w:t>
            </w:r>
          </w:p>
        </w:tc>
        <w:tc>
          <w:tcPr>
            <w:tcW w:w="1663" w:type="dxa"/>
            <w:vAlign w:val="center"/>
          </w:tcPr>
          <w:p w14:paraId="1C4C9BE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100</w:t>
            </w:r>
          </w:p>
        </w:tc>
        <w:tc>
          <w:tcPr>
            <w:tcW w:w="1418" w:type="dxa"/>
            <w:vAlign w:val="center"/>
          </w:tcPr>
          <w:p w14:paraId="52513C2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80</w:t>
            </w:r>
          </w:p>
        </w:tc>
        <w:tc>
          <w:tcPr>
            <w:tcW w:w="1517" w:type="dxa"/>
            <w:vAlign w:val="center"/>
          </w:tcPr>
          <w:p w14:paraId="7D1F1A3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w:t>
            </w:r>
          </w:p>
        </w:tc>
      </w:tr>
      <w:tr w14:paraId="32FDE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continue"/>
            <w:vAlign w:val="center"/>
          </w:tcPr>
          <w:p w14:paraId="01B894F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p>
        </w:tc>
        <w:tc>
          <w:tcPr>
            <w:tcW w:w="2462" w:type="dxa"/>
            <w:vAlign w:val="center"/>
          </w:tcPr>
          <w:p w14:paraId="3368DFB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三家镇大坡居民聚居点污水处理站</w:t>
            </w:r>
          </w:p>
        </w:tc>
        <w:tc>
          <w:tcPr>
            <w:tcW w:w="1304" w:type="dxa"/>
            <w:vAlign w:val="center"/>
          </w:tcPr>
          <w:p w14:paraId="77D000D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O</w:t>
            </w:r>
          </w:p>
        </w:tc>
        <w:tc>
          <w:tcPr>
            <w:tcW w:w="1663" w:type="dxa"/>
            <w:vAlign w:val="center"/>
          </w:tcPr>
          <w:p w14:paraId="2F2816B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350</w:t>
            </w:r>
          </w:p>
        </w:tc>
        <w:tc>
          <w:tcPr>
            <w:tcW w:w="1418" w:type="dxa"/>
            <w:vAlign w:val="center"/>
          </w:tcPr>
          <w:p w14:paraId="65DAE61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180</w:t>
            </w:r>
          </w:p>
        </w:tc>
        <w:tc>
          <w:tcPr>
            <w:tcW w:w="1517" w:type="dxa"/>
            <w:vAlign w:val="center"/>
          </w:tcPr>
          <w:p w14:paraId="3A8D4A2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金龙寨村</w:t>
            </w:r>
          </w:p>
        </w:tc>
      </w:tr>
      <w:tr w14:paraId="2094C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continue"/>
            <w:vAlign w:val="center"/>
          </w:tcPr>
          <w:p w14:paraId="1AA2A11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p>
        </w:tc>
        <w:tc>
          <w:tcPr>
            <w:tcW w:w="2462" w:type="dxa"/>
            <w:vAlign w:val="center"/>
          </w:tcPr>
          <w:p w14:paraId="5A7C123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三家镇太平居民聚居点污水处理站</w:t>
            </w:r>
          </w:p>
        </w:tc>
        <w:tc>
          <w:tcPr>
            <w:tcW w:w="1304" w:type="dxa"/>
            <w:vAlign w:val="center"/>
          </w:tcPr>
          <w:p w14:paraId="0BB38A8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O</w:t>
            </w:r>
          </w:p>
        </w:tc>
        <w:tc>
          <w:tcPr>
            <w:tcW w:w="1663" w:type="dxa"/>
            <w:vAlign w:val="center"/>
          </w:tcPr>
          <w:p w14:paraId="526E871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350</w:t>
            </w:r>
          </w:p>
        </w:tc>
        <w:tc>
          <w:tcPr>
            <w:tcW w:w="1418" w:type="dxa"/>
            <w:vAlign w:val="center"/>
          </w:tcPr>
          <w:p w14:paraId="2E55007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80</w:t>
            </w:r>
          </w:p>
        </w:tc>
        <w:tc>
          <w:tcPr>
            <w:tcW w:w="1517" w:type="dxa"/>
            <w:vAlign w:val="center"/>
          </w:tcPr>
          <w:p w14:paraId="4EFF178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双桥村、四安村</w:t>
            </w:r>
          </w:p>
        </w:tc>
      </w:tr>
      <w:tr w14:paraId="17D91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continue"/>
            <w:vAlign w:val="center"/>
          </w:tcPr>
          <w:p w14:paraId="6EB476E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p>
        </w:tc>
        <w:tc>
          <w:tcPr>
            <w:tcW w:w="2462" w:type="dxa"/>
            <w:vAlign w:val="center"/>
          </w:tcPr>
          <w:p w14:paraId="14A4332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三家镇明星村人工湿地</w:t>
            </w:r>
          </w:p>
        </w:tc>
        <w:tc>
          <w:tcPr>
            <w:tcW w:w="1304" w:type="dxa"/>
            <w:vAlign w:val="center"/>
          </w:tcPr>
          <w:p w14:paraId="15227ED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厌氧+人工湿地</w:t>
            </w:r>
          </w:p>
        </w:tc>
        <w:tc>
          <w:tcPr>
            <w:tcW w:w="1663" w:type="dxa"/>
            <w:vAlign w:val="center"/>
          </w:tcPr>
          <w:p w14:paraId="5F30BF1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40</w:t>
            </w:r>
          </w:p>
        </w:tc>
        <w:tc>
          <w:tcPr>
            <w:tcW w:w="1418" w:type="dxa"/>
            <w:vAlign w:val="center"/>
          </w:tcPr>
          <w:p w14:paraId="4626D5B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10</w:t>
            </w:r>
          </w:p>
        </w:tc>
        <w:tc>
          <w:tcPr>
            <w:tcW w:w="1517" w:type="dxa"/>
            <w:vAlign w:val="center"/>
          </w:tcPr>
          <w:p w14:paraId="36BADF9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明星村</w:t>
            </w:r>
          </w:p>
        </w:tc>
      </w:tr>
      <w:tr w14:paraId="3C76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continue"/>
            <w:vAlign w:val="center"/>
          </w:tcPr>
          <w:p w14:paraId="290C793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p>
        </w:tc>
        <w:tc>
          <w:tcPr>
            <w:tcW w:w="2462" w:type="dxa"/>
            <w:vAlign w:val="center"/>
          </w:tcPr>
          <w:p w14:paraId="2B2BB30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三家镇高石村人工湿地</w:t>
            </w:r>
          </w:p>
        </w:tc>
        <w:tc>
          <w:tcPr>
            <w:tcW w:w="1304" w:type="dxa"/>
            <w:vAlign w:val="center"/>
          </w:tcPr>
          <w:p w14:paraId="6979EB9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厌氧+人工湿地</w:t>
            </w:r>
          </w:p>
        </w:tc>
        <w:tc>
          <w:tcPr>
            <w:tcW w:w="1663" w:type="dxa"/>
            <w:vAlign w:val="center"/>
          </w:tcPr>
          <w:p w14:paraId="5B39BE5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10</w:t>
            </w:r>
          </w:p>
        </w:tc>
        <w:tc>
          <w:tcPr>
            <w:tcW w:w="1418" w:type="dxa"/>
            <w:vAlign w:val="center"/>
          </w:tcPr>
          <w:p w14:paraId="62CE4AF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5</w:t>
            </w:r>
          </w:p>
        </w:tc>
        <w:tc>
          <w:tcPr>
            <w:tcW w:w="1517" w:type="dxa"/>
            <w:vAlign w:val="center"/>
          </w:tcPr>
          <w:p w14:paraId="7C1AAD4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高石村</w:t>
            </w:r>
          </w:p>
        </w:tc>
      </w:tr>
      <w:tr w14:paraId="140F8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continue"/>
            <w:vAlign w:val="center"/>
          </w:tcPr>
          <w:p w14:paraId="6AB97CF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p>
        </w:tc>
        <w:tc>
          <w:tcPr>
            <w:tcW w:w="2462" w:type="dxa"/>
            <w:vAlign w:val="center"/>
          </w:tcPr>
          <w:p w14:paraId="1572910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三家镇龙嘴村人工湿地</w:t>
            </w:r>
          </w:p>
        </w:tc>
        <w:tc>
          <w:tcPr>
            <w:tcW w:w="1304" w:type="dxa"/>
            <w:vAlign w:val="center"/>
          </w:tcPr>
          <w:p w14:paraId="7472866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厌氧+人工湿地</w:t>
            </w:r>
          </w:p>
        </w:tc>
        <w:tc>
          <w:tcPr>
            <w:tcW w:w="1663" w:type="dxa"/>
            <w:vAlign w:val="center"/>
          </w:tcPr>
          <w:p w14:paraId="389DA30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10</w:t>
            </w:r>
          </w:p>
        </w:tc>
        <w:tc>
          <w:tcPr>
            <w:tcW w:w="1418" w:type="dxa"/>
            <w:vAlign w:val="center"/>
          </w:tcPr>
          <w:p w14:paraId="44019EB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6</w:t>
            </w:r>
          </w:p>
        </w:tc>
        <w:tc>
          <w:tcPr>
            <w:tcW w:w="1517" w:type="dxa"/>
            <w:vAlign w:val="center"/>
          </w:tcPr>
          <w:p w14:paraId="6E09290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龙嘴村</w:t>
            </w:r>
          </w:p>
        </w:tc>
      </w:tr>
      <w:tr w14:paraId="3258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continue"/>
            <w:vAlign w:val="center"/>
          </w:tcPr>
          <w:p w14:paraId="776F505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p>
        </w:tc>
        <w:tc>
          <w:tcPr>
            <w:tcW w:w="2462" w:type="dxa"/>
            <w:vAlign w:val="center"/>
          </w:tcPr>
          <w:p w14:paraId="4107BFA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三家镇河嘴村人工湿地</w:t>
            </w:r>
          </w:p>
        </w:tc>
        <w:tc>
          <w:tcPr>
            <w:tcW w:w="1304" w:type="dxa"/>
            <w:vAlign w:val="center"/>
          </w:tcPr>
          <w:p w14:paraId="0FE20B2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厌氧+人工湿地</w:t>
            </w:r>
          </w:p>
        </w:tc>
        <w:tc>
          <w:tcPr>
            <w:tcW w:w="1663" w:type="dxa"/>
            <w:vAlign w:val="center"/>
          </w:tcPr>
          <w:p w14:paraId="3D1115D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10</w:t>
            </w:r>
          </w:p>
        </w:tc>
        <w:tc>
          <w:tcPr>
            <w:tcW w:w="1418" w:type="dxa"/>
            <w:vAlign w:val="center"/>
          </w:tcPr>
          <w:p w14:paraId="27540DE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4</w:t>
            </w:r>
          </w:p>
        </w:tc>
        <w:tc>
          <w:tcPr>
            <w:tcW w:w="1517" w:type="dxa"/>
            <w:vAlign w:val="center"/>
          </w:tcPr>
          <w:p w14:paraId="7C19429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河嘴村</w:t>
            </w:r>
          </w:p>
        </w:tc>
      </w:tr>
      <w:tr w14:paraId="0689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continue"/>
            <w:vAlign w:val="center"/>
          </w:tcPr>
          <w:p w14:paraId="1490232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p>
        </w:tc>
        <w:tc>
          <w:tcPr>
            <w:tcW w:w="2462" w:type="dxa"/>
            <w:vAlign w:val="center"/>
          </w:tcPr>
          <w:p w14:paraId="5DCCC55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三家镇莲花村人工湿地</w:t>
            </w:r>
          </w:p>
        </w:tc>
        <w:tc>
          <w:tcPr>
            <w:tcW w:w="1304" w:type="dxa"/>
            <w:vAlign w:val="center"/>
          </w:tcPr>
          <w:p w14:paraId="3934D3D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厌氧+人工湿地</w:t>
            </w:r>
          </w:p>
        </w:tc>
        <w:tc>
          <w:tcPr>
            <w:tcW w:w="1663" w:type="dxa"/>
            <w:vAlign w:val="center"/>
          </w:tcPr>
          <w:p w14:paraId="205B37F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10</w:t>
            </w:r>
          </w:p>
        </w:tc>
        <w:tc>
          <w:tcPr>
            <w:tcW w:w="1418" w:type="dxa"/>
            <w:vAlign w:val="center"/>
          </w:tcPr>
          <w:p w14:paraId="4A5D90A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6</w:t>
            </w:r>
          </w:p>
        </w:tc>
        <w:tc>
          <w:tcPr>
            <w:tcW w:w="1517" w:type="dxa"/>
            <w:vAlign w:val="center"/>
          </w:tcPr>
          <w:p w14:paraId="22C14C7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莲花村</w:t>
            </w:r>
          </w:p>
        </w:tc>
      </w:tr>
      <w:tr w14:paraId="3772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restart"/>
            <w:vAlign w:val="center"/>
          </w:tcPr>
          <w:p w14:paraId="3F64784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玉丰镇</w:t>
            </w:r>
          </w:p>
        </w:tc>
        <w:tc>
          <w:tcPr>
            <w:tcW w:w="2462" w:type="dxa"/>
            <w:vAlign w:val="center"/>
          </w:tcPr>
          <w:p w14:paraId="1D82AE4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玉丰镇决山居民聚居点污水处理站</w:t>
            </w:r>
          </w:p>
        </w:tc>
        <w:tc>
          <w:tcPr>
            <w:tcW w:w="1304" w:type="dxa"/>
            <w:vAlign w:val="center"/>
          </w:tcPr>
          <w:p w14:paraId="745289D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O</w:t>
            </w:r>
          </w:p>
        </w:tc>
        <w:tc>
          <w:tcPr>
            <w:tcW w:w="1663" w:type="dxa"/>
            <w:vAlign w:val="center"/>
          </w:tcPr>
          <w:p w14:paraId="57DECD1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130</w:t>
            </w:r>
          </w:p>
        </w:tc>
        <w:tc>
          <w:tcPr>
            <w:tcW w:w="1418" w:type="dxa"/>
            <w:vAlign w:val="center"/>
          </w:tcPr>
          <w:p w14:paraId="2D2BB87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30</w:t>
            </w:r>
          </w:p>
        </w:tc>
        <w:tc>
          <w:tcPr>
            <w:tcW w:w="1517" w:type="dxa"/>
            <w:vAlign w:val="center"/>
          </w:tcPr>
          <w:p w14:paraId="7424AE0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决山村</w:t>
            </w:r>
          </w:p>
        </w:tc>
      </w:tr>
      <w:tr w14:paraId="0B425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continue"/>
            <w:vAlign w:val="center"/>
          </w:tcPr>
          <w:p w14:paraId="1280BC0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p>
        </w:tc>
        <w:tc>
          <w:tcPr>
            <w:tcW w:w="2462" w:type="dxa"/>
            <w:vAlign w:val="center"/>
          </w:tcPr>
          <w:p w14:paraId="5ADCE26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玉丰镇拦河村人工湿地</w:t>
            </w:r>
          </w:p>
        </w:tc>
        <w:tc>
          <w:tcPr>
            <w:tcW w:w="1304" w:type="dxa"/>
            <w:vAlign w:val="center"/>
          </w:tcPr>
          <w:p w14:paraId="7670F6B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厌氧+人工湿地</w:t>
            </w:r>
          </w:p>
        </w:tc>
        <w:tc>
          <w:tcPr>
            <w:tcW w:w="1663" w:type="dxa"/>
            <w:vAlign w:val="center"/>
          </w:tcPr>
          <w:p w14:paraId="4E1AF31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10</w:t>
            </w:r>
          </w:p>
        </w:tc>
        <w:tc>
          <w:tcPr>
            <w:tcW w:w="1418" w:type="dxa"/>
            <w:vAlign w:val="center"/>
          </w:tcPr>
          <w:p w14:paraId="14C4443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2</w:t>
            </w:r>
          </w:p>
        </w:tc>
        <w:tc>
          <w:tcPr>
            <w:tcW w:w="1517" w:type="dxa"/>
            <w:vAlign w:val="center"/>
          </w:tcPr>
          <w:p w14:paraId="1456306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黄林沟村</w:t>
            </w:r>
          </w:p>
        </w:tc>
      </w:tr>
      <w:tr w14:paraId="1B87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Align w:val="center"/>
          </w:tcPr>
          <w:p w14:paraId="7F269A6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会龙镇</w:t>
            </w:r>
          </w:p>
        </w:tc>
        <w:tc>
          <w:tcPr>
            <w:tcW w:w="2462" w:type="dxa"/>
            <w:vAlign w:val="center"/>
          </w:tcPr>
          <w:p w14:paraId="4BA1ABA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会龙镇保山居民聚居点污水处理站</w:t>
            </w:r>
          </w:p>
        </w:tc>
        <w:tc>
          <w:tcPr>
            <w:tcW w:w="1304" w:type="dxa"/>
            <w:vAlign w:val="center"/>
          </w:tcPr>
          <w:p w14:paraId="639E4E9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O</w:t>
            </w:r>
          </w:p>
        </w:tc>
        <w:tc>
          <w:tcPr>
            <w:tcW w:w="1663" w:type="dxa"/>
            <w:vAlign w:val="center"/>
          </w:tcPr>
          <w:p w14:paraId="464ECBC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80</w:t>
            </w:r>
          </w:p>
        </w:tc>
        <w:tc>
          <w:tcPr>
            <w:tcW w:w="1418" w:type="dxa"/>
            <w:vAlign w:val="center"/>
          </w:tcPr>
          <w:p w14:paraId="6F01F59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50</w:t>
            </w:r>
          </w:p>
        </w:tc>
        <w:tc>
          <w:tcPr>
            <w:tcW w:w="1517" w:type="dxa"/>
            <w:vAlign w:val="center"/>
          </w:tcPr>
          <w:p w14:paraId="4921C3F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接官厅村、石岩村</w:t>
            </w:r>
          </w:p>
        </w:tc>
      </w:tr>
      <w:tr w14:paraId="31D4F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restart"/>
            <w:vAlign w:val="center"/>
          </w:tcPr>
          <w:p w14:paraId="4C9E25F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聚贤镇</w:t>
            </w:r>
          </w:p>
        </w:tc>
        <w:tc>
          <w:tcPr>
            <w:tcW w:w="2462" w:type="dxa"/>
            <w:vAlign w:val="center"/>
          </w:tcPr>
          <w:p w14:paraId="6450042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聚贤镇石板凳村40m³/d污水处理站</w:t>
            </w:r>
          </w:p>
        </w:tc>
        <w:tc>
          <w:tcPr>
            <w:tcW w:w="1304" w:type="dxa"/>
            <w:vAlign w:val="center"/>
          </w:tcPr>
          <w:p w14:paraId="200B14F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MBBR+湿地</w:t>
            </w:r>
          </w:p>
        </w:tc>
        <w:tc>
          <w:tcPr>
            <w:tcW w:w="1663" w:type="dxa"/>
            <w:vAlign w:val="center"/>
          </w:tcPr>
          <w:p w14:paraId="6E5545B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40</w:t>
            </w:r>
          </w:p>
        </w:tc>
        <w:tc>
          <w:tcPr>
            <w:tcW w:w="1418" w:type="dxa"/>
            <w:vAlign w:val="center"/>
          </w:tcPr>
          <w:p w14:paraId="705C18F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20</w:t>
            </w:r>
          </w:p>
        </w:tc>
        <w:tc>
          <w:tcPr>
            <w:tcW w:w="1517" w:type="dxa"/>
            <w:vAlign w:val="center"/>
          </w:tcPr>
          <w:p w14:paraId="54950D6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石板凳村</w:t>
            </w:r>
          </w:p>
        </w:tc>
      </w:tr>
      <w:tr w14:paraId="1941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8" w:type="dxa"/>
            <w:vMerge w:val="continue"/>
            <w:vAlign w:val="center"/>
          </w:tcPr>
          <w:p w14:paraId="298B383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p>
        </w:tc>
        <w:tc>
          <w:tcPr>
            <w:tcW w:w="2462" w:type="dxa"/>
            <w:vAlign w:val="center"/>
          </w:tcPr>
          <w:p w14:paraId="23E2DDD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聚贤镇宝珠寺村20m³/d污水处理站</w:t>
            </w:r>
          </w:p>
        </w:tc>
        <w:tc>
          <w:tcPr>
            <w:tcW w:w="1304" w:type="dxa"/>
            <w:vAlign w:val="center"/>
          </w:tcPr>
          <w:p w14:paraId="6019D8A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MBBR+湿地</w:t>
            </w:r>
          </w:p>
        </w:tc>
        <w:tc>
          <w:tcPr>
            <w:tcW w:w="1663" w:type="dxa"/>
            <w:vAlign w:val="center"/>
          </w:tcPr>
          <w:p w14:paraId="5CEC78A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20</w:t>
            </w:r>
          </w:p>
        </w:tc>
        <w:tc>
          <w:tcPr>
            <w:tcW w:w="1418" w:type="dxa"/>
            <w:vAlign w:val="center"/>
          </w:tcPr>
          <w:p w14:paraId="25F5967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10</w:t>
            </w:r>
          </w:p>
        </w:tc>
        <w:tc>
          <w:tcPr>
            <w:tcW w:w="1517" w:type="dxa"/>
            <w:vAlign w:val="center"/>
          </w:tcPr>
          <w:p w14:paraId="7DAE7B0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exact"/>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宝珠寺村</w:t>
            </w:r>
          </w:p>
        </w:tc>
      </w:tr>
    </w:tbl>
    <w:p w14:paraId="2CD61EBA">
      <w:pPr>
        <w:pStyle w:val="4"/>
        <w:numPr>
          <w:ilvl w:val="1"/>
          <w:numId w:val="0"/>
        </w:numPr>
        <w:tabs>
          <w:tab w:val="clear" w:pos="3260"/>
        </w:tabs>
        <w:bidi w:val="0"/>
        <w:ind w:leftChars="0"/>
        <w:outlineLvl w:val="9"/>
        <w:rPr>
          <w:rFonts w:hint="default" w:ascii="Times New Roman" w:hAnsi="Times New Roman" w:eastAsia="仿宋_GB2312" w:cs="Times New Roman"/>
          <w:lang w:val="en-US" w:eastAsia="zh-CN"/>
        </w:rPr>
      </w:pPr>
    </w:p>
    <w:p w14:paraId="66317202">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bidi="zh-CN"/>
        </w:rPr>
      </w:pPr>
      <w:bookmarkStart w:id="84" w:name="_Toc30026"/>
      <w:r>
        <w:rPr>
          <w:rFonts w:hint="default" w:ascii="Times New Roman" w:hAnsi="Times New Roman" w:eastAsia="黑体" w:cs="Times New Roman"/>
          <w:b w:val="0"/>
          <w:bCs w:val="0"/>
          <w:sz w:val="32"/>
          <w:szCs w:val="32"/>
          <w:lang w:val="en-US" w:eastAsia="zh-CN" w:bidi="zh-CN"/>
        </w:rPr>
        <w:t>4.2横山文农旅融合片区现状情况</w:t>
      </w:r>
      <w:bookmarkEnd w:id="84"/>
    </w:p>
    <w:p w14:paraId="1F64A9B4">
      <w:pPr>
        <w:keepNext w:val="0"/>
        <w:keepLines w:val="0"/>
        <w:pageBreakBefore w:val="0"/>
        <w:widowControl w:val="0"/>
        <w:kinsoku/>
        <w:wordWrap/>
        <w:overflowPunct/>
        <w:topLinePunct w:val="0"/>
        <w:autoSpaceDE w:val="0"/>
        <w:autoSpaceDN w:val="0"/>
        <w:bidi w:val="0"/>
        <w:adjustRightInd/>
        <w:snapToGrid/>
        <w:spacing w:line="576" w:lineRule="atLeast"/>
        <w:ind w:righ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片区现有城镇污水处理2座，均已实施提标改造，满足现状需求，但出水水质偶有不达标情况；雨污分流不完善，雨水管道建设滞后，仍有合流管道未改造，下雨时污水溢流、雨水进入污水处理厂致超负荷运行，且场镇仍有部分污水直排。片区内仅有4个村的部分生活污水纳入城镇污水处理厂集中处理。片区已建乡村生活污水处理设施7座，其中小型污水处理厂站5座，人工湿地2座，收集的污水涉及9个村。居住分散的农户生活污水，大部分都未经过无害化处理直接排放，对环境造成一定影响。通过城镇污水处理厂及乡村生活污水治理设施和“三格式化粪池”农户分散处理，虽94%行政村生活污水得到有效处理，但污水有效处理率约为27.7%，低于全区治理水平。</w:t>
      </w:r>
    </w:p>
    <w:p w14:paraId="0D4C9F7F">
      <w:pPr>
        <w:pStyle w:val="2"/>
        <w:rPr>
          <w:rFonts w:hint="default" w:ascii="Times New Roman" w:hAnsi="Times New Roman" w:cs="Times New Roman"/>
        </w:rPr>
      </w:pPr>
    </w:p>
    <w:p w14:paraId="4BDFDD22">
      <w:pPr>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br w:type="page"/>
      </w:r>
    </w:p>
    <w:p w14:paraId="3CE0911B">
      <w:pPr>
        <w:keepNext w:val="0"/>
        <w:keepLines w:val="0"/>
        <w:pageBreakBefore w:val="0"/>
        <w:widowControl w:val="0"/>
        <w:kinsoku/>
        <w:wordWrap/>
        <w:overflowPunct/>
        <w:topLinePunct w:val="0"/>
        <w:autoSpaceDE w:val="0"/>
        <w:autoSpaceDN w:val="0"/>
        <w:bidi w:val="0"/>
        <w:adjustRightInd/>
        <w:snapToGrid/>
        <w:spacing w:line="576" w:lineRule="atLeast"/>
        <w:ind w:right="0" w:firstLine="0" w:firstLineChars="0"/>
        <w:jc w:val="center"/>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现状城镇污水处理厂情况一览表</w:t>
      </w:r>
    </w:p>
    <w:p w14:paraId="14E27941">
      <w:pPr>
        <w:pStyle w:val="2"/>
        <w:rPr>
          <w:rFonts w:hint="default" w:ascii="Times New Roman" w:hAnsi="Times New Roman" w:cs="Times New Roman"/>
        </w:rPr>
      </w:pPr>
    </w:p>
    <w:tbl>
      <w:tblPr>
        <w:tblStyle w:val="24"/>
        <w:tblW w:w="10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910"/>
        <w:gridCol w:w="899"/>
        <w:gridCol w:w="821"/>
        <w:gridCol w:w="823"/>
        <w:gridCol w:w="875"/>
        <w:gridCol w:w="834"/>
        <w:gridCol w:w="761"/>
        <w:gridCol w:w="810"/>
        <w:gridCol w:w="848"/>
        <w:gridCol w:w="643"/>
        <w:gridCol w:w="805"/>
      </w:tblGrid>
      <w:tr w14:paraId="1A89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1021" w:type="dxa"/>
            <w:vAlign w:val="center"/>
          </w:tcPr>
          <w:p w14:paraId="4B61FAB2">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乡镇</w:t>
            </w:r>
          </w:p>
        </w:tc>
        <w:tc>
          <w:tcPr>
            <w:tcW w:w="910" w:type="dxa"/>
            <w:vAlign w:val="center"/>
          </w:tcPr>
          <w:p w14:paraId="65EC38DD">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设施名称</w:t>
            </w:r>
          </w:p>
        </w:tc>
        <w:tc>
          <w:tcPr>
            <w:tcW w:w="899" w:type="dxa"/>
            <w:vAlign w:val="center"/>
          </w:tcPr>
          <w:p w14:paraId="76E41AA4">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提标改造建成时间</w:t>
            </w:r>
          </w:p>
        </w:tc>
        <w:tc>
          <w:tcPr>
            <w:tcW w:w="821" w:type="dxa"/>
            <w:vAlign w:val="center"/>
          </w:tcPr>
          <w:p w14:paraId="007BCBE5">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建成污水管网长度（公里）</w:t>
            </w:r>
          </w:p>
        </w:tc>
        <w:tc>
          <w:tcPr>
            <w:tcW w:w="823" w:type="dxa"/>
            <w:vAlign w:val="center"/>
          </w:tcPr>
          <w:p w14:paraId="5FD9D740">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建成雨水管网长度（公里）</w:t>
            </w:r>
          </w:p>
        </w:tc>
        <w:tc>
          <w:tcPr>
            <w:tcW w:w="875" w:type="dxa"/>
            <w:vAlign w:val="center"/>
          </w:tcPr>
          <w:p w14:paraId="76929FDE">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设计处理量（立方米/日）</w:t>
            </w:r>
          </w:p>
        </w:tc>
        <w:tc>
          <w:tcPr>
            <w:tcW w:w="834" w:type="dxa"/>
            <w:vAlign w:val="center"/>
          </w:tcPr>
          <w:p w14:paraId="25A7AF97">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实际处理量（立方米/日）</w:t>
            </w:r>
          </w:p>
        </w:tc>
        <w:tc>
          <w:tcPr>
            <w:tcW w:w="761" w:type="dxa"/>
            <w:vAlign w:val="center"/>
          </w:tcPr>
          <w:p w14:paraId="6A0C794E">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工艺</w:t>
            </w:r>
          </w:p>
        </w:tc>
        <w:tc>
          <w:tcPr>
            <w:tcW w:w="810" w:type="dxa"/>
            <w:vAlign w:val="center"/>
          </w:tcPr>
          <w:p w14:paraId="23C44CC7">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服务人口数量（万人）</w:t>
            </w:r>
          </w:p>
        </w:tc>
        <w:tc>
          <w:tcPr>
            <w:tcW w:w="848" w:type="dxa"/>
            <w:vAlign w:val="center"/>
          </w:tcPr>
          <w:p w14:paraId="35B1C500">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收纳污水覆盖的行政村</w:t>
            </w:r>
          </w:p>
        </w:tc>
        <w:tc>
          <w:tcPr>
            <w:tcW w:w="643" w:type="dxa"/>
            <w:vAlign w:val="center"/>
          </w:tcPr>
          <w:p w14:paraId="4A025D90">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污水处理率（%）</w:t>
            </w:r>
          </w:p>
        </w:tc>
        <w:tc>
          <w:tcPr>
            <w:tcW w:w="805" w:type="dxa"/>
            <w:vAlign w:val="center"/>
          </w:tcPr>
          <w:p w14:paraId="608B3101">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排放标准</w:t>
            </w:r>
          </w:p>
        </w:tc>
      </w:tr>
      <w:tr w14:paraId="6D9B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Align w:val="center"/>
          </w:tcPr>
          <w:p w14:paraId="003C40A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横山镇</w:t>
            </w:r>
          </w:p>
        </w:tc>
        <w:tc>
          <w:tcPr>
            <w:tcW w:w="910" w:type="dxa"/>
            <w:vAlign w:val="center"/>
          </w:tcPr>
          <w:p w14:paraId="6A38272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横山镇污水处理厂</w:t>
            </w:r>
          </w:p>
        </w:tc>
        <w:tc>
          <w:tcPr>
            <w:tcW w:w="899" w:type="dxa"/>
            <w:vAlign w:val="center"/>
          </w:tcPr>
          <w:p w14:paraId="28F21EA7">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2020.9</w:t>
            </w:r>
          </w:p>
        </w:tc>
        <w:tc>
          <w:tcPr>
            <w:tcW w:w="821" w:type="dxa"/>
            <w:vAlign w:val="center"/>
          </w:tcPr>
          <w:p w14:paraId="4E42819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5.85</w:t>
            </w:r>
          </w:p>
        </w:tc>
        <w:tc>
          <w:tcPr>
            <w:tcW w:w="823" w:type="dxa"/>
            <w:vAlign w:val="center"/>
          </w:tcPr>
          <w:p w14:paraId="5C10450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4</w:t>
            </w:r>
          </w:p>
        </w:tc>
        <w:tc>
          <w:tcPr>
            <w:tcW w:w="875" w:type="dxa"/>
            <w:vAlign w:val="center"/>
          </w:tcPr>
          <w:p w14:paraId="597BBD97">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1000</w:t>
            </w:r>
          </w:p>
        </w:tc>
        <w:tc>
          <w:tcPr>
            <w:tcW w:w="834" w:type="dxa"/>
            <w:vAlign w:val="center"/>
          </w:tcPr>
          <w:p w14:paraId="2E1C0A09">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600</w:t>
            </w:r>
          </w:p>
        </w:tc>
        <w:tc>
          <w:tcPr>
            <w:tcW w:w="761" w:type="dxa"/>
            <w:vAlign w:val="center"/>
          </w:tcPr>
          <w:p w14:paraId="0322825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A</w:t>
            </w:r>
            <w:r>
              <w:rPr>
                <w:rFonts w:hint="default" w:ascii="Times New Roman" w:hAnsi="Times New Roman" w:eastAsia="仿宋_GB2312" w:cs="Times New Roman"/>
                <w:color w:val="auto"/>
                <w:sz w:val="21"/>
                <w:szCs w:val="21"/>
                <w:vertAlign w:val="superscript"/>
              </w:rPr>
              <w:t>2</w:t>
            </w:r>
            <w:r>
              <w:rPr>
                <w:rFonts w:hint="default" w:ascii="Times New Roman" w:hAnsi="Times New Roman" w:eastAsia="仿宋_GB2312" w:cs="Times New Roman"/>
                <w:color w:val="auto"/>
                <w:sz w:val="21"/>
                <w:szCs w:val="21"/>
              </w:rPr>
              <w:t>O+MBR</w:t>
            </w:r>
          </w:p>
        </w:tc>
        <w:tc>
          <w:tcPr>
            <w:tcW w:w="810" w:type="dxa"/>
            <w:vAlign w:val="center"/>
          </w:tcPr>
          <w:p w14:paraId="432C15C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0.5</w:t>
            </w:r>
          </w:p>
        </w:tc>
        <w:tc>
          <w:tcPr>
            <w:tcW w:w="848" w:type="dxa"/>
            <w:vAlign w:val="center"/>
          </w:tcPr>
          <w:p w14:paraId="7762F3E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船形村、鸡叫山村</w:t>
            </w:r>
          </w:p>
        </w:tc>
        <w:tc>
          <w:tcPr>
            <w:tcW w:w="643" w:type="dxa"/>
            <w:vAlign w:val="center"/>
          </w:tcPr>
          <w:p w14:paraId="7FB7972C">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81.11</w:t>
            </w:r>
          </w:p>
        </w:tc>
        <w:tc>
          <w:tcPr>
            <w:tcW w:w="805" w:type="dxa"/>
            <w:vAlign w:val="center"/>
          </w:tcPr>
          <w:p w14:paraId="087015B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一级A标</w:t>
            </w:r>
          </w:p>
        </w:tc>
      </w:tr>
      <w:tr w14:paraId="5E9B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Align w:val="center"/>
          </w:tcPr>
          <w:p w14:paraId="2BB86CD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常理镇</w:t>
            </w:r>
          </w:p>
        </w:tc>
        <w:tc>
          <w:tcPr>
            <w:tcW w:w="910" w:type="dxa"/>
            <w:vAlign w:val="center"/>
          </w:tcPr>
          <w:p w14:paraId="5B59CBA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常理镇污水处理厂</w:t>
            </w:r>
          </w:p>
        </w:tc>
        <w:tc>
          <w:tcPr>
            <w:tcW w:w="899" w:type="dxa"/>
            <w:vAlign w:val="center"/>
          </w:tcPr>
          <w:p w14:paraId="7C94E6B3">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2020.9</w:t>
            </w:r>
          </w:p>
        </w:tc>
        <w:tc>
          <w:tcPr>
            <w:tcW w:w="821" w:type="dxa"/>
            <w:vAlign w:val="center"/>
          </w:tcPr>
          <w:p w14:paraId="0AEC30D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2.3</w:t>
            </w:r>
          </w:p>
        </w:tc>
        <w:tc>
          <w:tcPr>
            <w:tcW w:w="823" w:type="dxa"/>
            <w:vAlign w:val="center"/>
          </w:tcPr>
          <w:p w14:paraId="029223F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1</w:t>
            </w:r>
          </w:p>
        </w:tc>
        <w:tc>
          <w:tcPr>
            <w:tcW w:w="875" w:type="dxa"/>
            <w:vAlign w:val="center"/>
          </w:tcPr>
          <w:p w14:paraId="42595129">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200</w:t>
            </w:r>
          </w:p>
        </w:tc>
        <w:tc>
          <w:tcPr>
            <w:tcW w:w="834" w:type="dxa"/>
            <w:vAlign w:val="center"/>
          </w:tcPr>
          <w:p w14:paraId="2160E90A">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150</w:t>
            </w:r>
          </w:p>
        </w:tc>
        <w:tc>
          <w:tcPr>
            <w:tcW w:w="761" w:type="dxa"/>
            <w:vAlign w:val="center"/>
          </w:tcPr>
          <w:p w14:paraId="25EB664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A</w:t>
            </w:r>
            <w:r>
              <w:rPr>
                <w:rFonts w:hint="default" w:ascii="Times New Roman" w:hAnsi="Times New Roman" w:eastAsia="仿宋_GB2312" w:cs="Times New Roman"/>
                <w:color w:val="auto"/>
                <w:sz w:val="21"/>
                <w:szCs w:val="21"/>
                <w:vertAlign w:val="superscript"/>
              </w:rPr>
              <w:t>2</w:t>
            </w:r>
            <w:r>
              <w:rPr>
                <w:rFonts w:hint="default" w:ascii="Times New Roman" w:hAnsi="Times New Roman" w:eastAsia="仿宋_GB2312" w:cs="Times New Roman"/>
                <w:color w:val="auto"/>
                <w:sz w:val="21"/>
                <w:szCs w:val="21"/>
              </w:rPr>
              <w:t>O+MBR</w:t>
            </w:r>
          </w:p>
        </w:tc>
        <w:tc>
          <w:tcPr>
            <w:tcW w:w="810" w:type="dxa"/>
            <w:vAlign w:val="center"/>
          </w:tcPr>
          <w:p w14:paraId="536170C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0.16</w:t>
            </w:r>
          </w:p>
        </w:tc>
        <w:tc>
          <w:tcPr>
            <w:tcW w:w="848" w:type="dxa"/>
            <w:vAlign w:val="center"/>
          </w:tcPr>
          <w:p w14:paraId="46D2301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大洞村、海龙村</w:t>
            </w:r>
          </w:p>
        </w:tc>
        <w:tc>
          <w:tcPr>
            <w:tcW w:w="643" w:type="dxa"/>
            <w:vAlign w:val="center"/>
          </w:tcPr>
          <w:p w14:paraId="2AD6D748">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82.92</w:t>
            </w:r>
          </w:p>
        </w:tc>
        <w:tc>
          <w:tcPr>
            <w:tcW w:w="805" w:type="dxa"/>
            <w:vAlign w:val="center"/>
          </w:tcPr>
          <w:p w14:paraId="787D41E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仿宋_GB2312" w:cs="Times New Roman"/>
                <w:color w:val="auto"/>
                <w:sz w:val="21"/>
                <w:szCs w:val="21"/>
              </w:rPr>
              <w:t>一级A标</w:t>
            </w:r>
          </w:p>
        </w:tc>
      </w:tr>
    </w:tbl>
    <w:p w14:paraId="340DEBB7">
      <w:pPr>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br w:type="page"/>
      </w:r>
    </w:p>
    <w:p w14:paraId="1FEAF31D">
      <w:pPr>
        <w:keepNext w:val="0"/>
        <w:keepLines w:val="0"/>
        <w:pageBreakBefore w:val="0"/>
        <w:widowControl w:val="0"/>
        <w:kinsoku/>
        <w:wordWrap/>
        <w:overflowPunct/>
        <w:topLinePunct w:val="0"/>
        <w:autoSpaceDE w:val="0"/>
        <w:autoSpaceDN w:val="0"/>
        <w:bidi w:val="0"/>
        <w:adjustRightInd/>
        <w:snapToGrid/>
        <w:spacing w:line="576" w:lineRule="atLeast"/>
        <w:ind w:firstLine="0" w:firstLineChars="0"/>
        <w:jc w:val="center"/>
        <w:textAlignment w:val="auto"/>
        <w:rPr>
          <w:rFonts w:hint="default" w:ascii="Times New Roman" w:hAnsi="Times New Roman" w:cs="Times New Roman"/>
          <w:sz w:val="32"/>
          <w:szCs w:val="32"/>
        </w:rPr>
      </w:pPr>
      <w:r>
        <w:rPr>
          <w:rFonts w:hint="default" w:ascii="Times New Roman" w:hAnsi="Times New Roman" w:eastAsia="仿宋_GB2312" w:cs="Times New Roman"/>
          <w:b/>
          <w:bCs/>
          <w:sz w:val="32"/>
          <w:szCs w:val="32"/>
        </w:rPr>
        <w:t>现状农村污水处理设施情况一览表</w:t>
      </w:r>
    </w:p>
    <w:tbl>
      <w:tblPr>
        <w:tblStyle w:val="24"/>
        <w:tblW w:w="9506" w:type="dxa"/>
        <w:tblInd w:w="-5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1092"/>
        <w:gridCol w:w="1785"/>
        <w:gridCol w:w="1362"/>
        <w:gridCol w:w="1502"/>
        <w:gridCol w:w="1302"/>
        <w:gridCol w:w="1484"/>
      </w:tblGrid>
      <w:tr w14:paraId="683E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14:paraId="54CE238E">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乡镇</w:t>
            </w:r>
          </w:p>
        </w:tc>
        <w:tc>
          <w:tcPr>
            <w:tcW w:w="1092" w:type="dxa"/>
            <w:vAlign w:val="center"/>
          </w:tcPr>
          <w:p w14:paraId="0ACA0B80">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行政村</w:t>
            </w:r>
          </w:p>
        </w:tc>
        <w:tc>
          <w:tcPr>
            <w:tcW w:w="1785" w:type="dxa"/>
            <w:vAlign w:val="center"/>
          </w:tcPr>
          <w:p w14:paraId="3ED70668">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设施名称</w:t>
            </w:r>
          </w:p>
        </w:tc>
        <w:tc>
          <w:tcPr>
            <w:tcW w:w="1362" w:type="dxa"/>
            <w:vAlign w:val="center"/>
          </w:tcPr>
          <w:p w14:paraId="0F8424DE">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工艺</w:t>
            </w:r>
          </w:p>
        </w:tc>
        <w:tc>
          <w:tcPr>
            <w:tcW w:w="1502" w:type="dxa"/>
            <w:vAlign w:val="center"/>
          </w:tcPr>
          <w:p w14:paraId="5D199233">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设计处理量（立方米/日）</w:t>
            </w:r>
          </w:p>
        </w:tc>
        <w:tc>
          <w:tcPr>
            <w:tcW w:w="1302" w:type="dxa"/>
            <w:vAlign w:val="center"/>
          </w:tcPr>
          <w:p w14:paraId="4319CA57">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实际处理量（立方米/日）</w:t>
            </w:r>
          </w:p>
        </w:tc>
        <w:tc>
          <w:tcPr>
            <w:tcW w:w="1484" w:type="dxa"/>
            <w:vAlign w:val="center"/>
          </w:tcPr>
          <w:p w14:paraId="3841141D">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收纳污水覆盖的行政村</w:t>
            </w:r>
          </w:p>
        </w:tc>
      </w:tr>
      <w:tr w14:paraId="37AD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979" w:type="dxa"/>
            <w:vMerge w:val="restart"/>
            <w:vAlign w:val="center"/>
          </w:tcPr>
          <w:p w14:paraId="1049E44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横山镇</w:t>
            </w:r>
          </w:p>
        </w:tc>
        <w:tc>
          <w:tcPr>
            <w:tcW w:w="1092" w:type="dxa"/>
            <w:vAlign w:val="center"/>
          </w:tcPr>
          <w:p w14:paraId="1B06931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樟树湾村</w:t>
            </w:r>
          </w:p>
        </w:tc>
        <w:tc>
          <w:tcPr>
            <w:tcW w:w="1785" w:type="dxa"/>
            <w:vAlign w:val="center"/>
          </w:tcPr>
          <w:p w14:paraId="6BE4265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横山镇观音污水处理厂</w:t>
            </w:r>
          </w:p>
        </w:tc>
        <w:tc>
          <w:tcPr>
            <w:tcW w:w="1362" w:type="dxa"/>
            <w:vAlign w:val="center"/>
          </w:tcPr>
          <w:p w14:paraId="1A6B810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厌氧+缺氧+MBBR+MBR</w:t>
            </w:r>
          </w:p>
        </w:tc>
        <w:tc>
          <w:tcPr>
            <w:tcW w:w="1502" w:type="dxa"/>
            <w:vAlign w:val="center"/>
          </w:tcPr>
          <w:p w14:paraId="25CB175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250</w:t>
            </w:r>
          </w:p>
        </w:tc>
        <w:tc>
          <w:tcPr>
            <w:tcW w:w="1302" w:type="dxa"/>
            <w:vAlign w:val="center"/>
          </w:tcPr>
          <w:p w14:paraId="10B32CE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80</w:t>
            </w:r>
          </w:p>
        </w:tc>
        <w:tc>
          <w:tcPr>
            <w:tcW w:w="1484" w:type="dxa"/>
            <w:vAlign w:val="center"/>
          </w:tcPr>
          <w:p w14:paraId="327FBA8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双作坊村、蒲家沟村、樟树湾村</w:t>
            </w:r>
          </w:p>
        </w:tc>
      </w:tr>
      <w:tr w14:paraId="3DCA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979" w:type="dxa"/>
            <w:vMerge w:val="continue"/>
            <w:vAlign w:val="center"/>
          </w:tcPr>
          <w:p w14:paraId="2F3D34C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p>
        </w:tc>
        <w:tc>
          <w:tcPr>
            <w:tcW w:w="1092" w:type="dxa"/>
            <w:vAlign w:val="center"/>
          </w:tcPr>
          <w:p w14:paraId="2C46635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朝天村</w:t>
            </w:r>
          </w:p>
        </w:tc>
        <w:tc>
          <w:tcPr>
            <w:tcW w:w="1785" w:type="dxa"/>
            <w:vAlign w:val="center"/>
          </w:tcPr>
          <w:p w14:paraId="772C763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横山镇云丰污水处理站</w:t>
            </w:r>
          </w:p>
        </w:tc>
        <w:tc>
          <w:tcPr>
            <w:tcW w:w="1362" w:type="dxa"/>
            <w:vAlign w:val="center"/>
          </w:tcPr>
          <w:p w14:paraId="5667BE2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color w:val="auto"/>
                <w:sz w:val="24"/>
                <w:szCs w:val="24"/>
              </w:rPr>
              <w:t>O</w:t>
            </w:r>
          </w:p>
        </w:tc>
        <w:tc>
          <w:tcPr>
            <w:tcW w:w="1502" w:type="dxa"/>
            <w:vAlign w:val="center"/>
          </w:tcPr>
          <w:p w14:paraId="01BF4CA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350</w:t>
            </w:r>
          </w:p>
        </w:tc>
        <w:tc>
          <w:tcPr>
            <w:tcW w:w="1302" w:type="dxa"/>
            <w:vAlign w:val="center"/>
          </w:tcPr>
          <w:p w14:paraId="3C8D8BB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120</w:t>
            </w:r>
          </w:p>
        </w:tc>
        <w:tc>
          <w:tcPr>
            <w:tcW w:w="1484" w:type="dxa"/>
            <w:vAlign w:val="center"/>
          </w:tcPr>
          <w:p w14:paraId="5D91E16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朝天村</w:t>
            </w:r>
          </w:p>
        </w:tc>
      </w:tr>
      <w:tr w14:paraId="786D0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Merge w:val="restart"/>
            <w:vAlign w:val="center"/>
          </w:tcPr>
          <w:p w14:paraId="3DFCC50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常理镇</w:t>
            </w:r>
          </w:p>
        </w:tc>
        <w:tc>
          <w:tcPr>
            <w:tcW w:w="1092" w:type="dxa"/>
            <w:vAlign w:val="center"/>
          </w:tcPr>
          <w:p w14:paraId="72E7C02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常乐村</w:t>
            </w:r>
          </w:p>
        </w:tc>
        <w:tc>
          <w:tcPr>
            <w:tcW w:w="1785" w:type="dxa"/>
            <w:vAlign w:val="center"/>
          </w:tcPr>
          <w:p w14:paraId="1F41142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常乐村居民聚居点污水处理站</w:t>
            </w:r>
          </w:p>
        </w:tc>
        <w:tc>
          <w:tcPr>
            <w:tcW w:w="1362" w:type="dxa"/>
            <w:vAlign w:val="center"/>
          </w:tcPr>
          <w:p w14:paraId="543CA70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color w:val="auto"/>
                <w:sz w:val="24"/>
                <w:szCs w:val="24"/>
              </w:rPr>
              <w:t>O</w:t>
            </w:r>
          </w:p>
        </w:tc>
        <w:tc>
          <w:tcPr>
            <w:tcW w:w="1502" w:type="dxa"/>
            <w:vAlign w:val="center"/>
          </w:tcPr>
          <w:p w14:paraId="66F51C6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30</w:t>
            </w:r>
          </w:p>
        </w:tc>
        <w:tc>
          <w:tcPr>
            <w:tcW w:w="1302" w:type="dxa"/>
            <w:vAlign w:val="center"/>
          </w:tcPr>
          <w:p w14:paraId="7767D65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7</w:t>
            </w:r>
          </w:p>
        </w:tc>
        <w:tc>
          <w:tcPr>
            <w:tcW w:w="1484" w:type="dxa"/>
            <w:vAlign w:val="center"/>
          </w:tcPr>
          <w:p w14:paraId="33CE338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常乐村</w:t>
            </w:r>
          </w:p>
        </w:tc>
      </w:tr>
      <w:tr w14:paraId="2FAC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Merge w:val="continue"/>
            <w:vAlign w:val="center"/>
          </w:tcPr>
          <w:p w14:paraId="1243003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p>
        </w:tc>
        <w:tc>
          <w:tcPr>
            <w:tcW w:w="1092" w:type="dxa"/>
            <w:vAlign w:val="center"/>
          </w:tcPr>
          <w:p w14:paraId="562E8EA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铜钱村</w:t>
            </w:r>
          </w:p>
        </w:tc>
        <w:tc>
          <w:tcPr>
            <w:tcW w:w="1785" w:type="dxa"/>
            <w:vAlign w:val="center"/>
          </w:tcPr>
          <w:p w14:paraId="4865D9D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铜钱村居民聚居点污水处理站</w:t>
            </w:r>
          </w:p>
        </w:tc>
        <w:tc>
          <w:tcPr>
            <w:tcW w:w="1362" w:type="dxa"/>
            <w:vAlign w:val="center"/>
          </w:tcPr>
          <w:p w14:paraId="4BF8138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color w:val="auto"/>
                <w:sz w:val="24"/>
                <w:szCs w:val="24"/>
              </w:rPr>
              <w:t>O</w:t>
            </w:r>
          </w:p>
        </w:tc>
        <w:tc>
          <w:tcPr>
            <w:tcW w:w="1502" w:type="dxa"/>
            <w:vAlign w:val="center"/>
          </w:tcPr>
          <w:p w14:paraId="4358C85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30</w:t>
            </w:r>
          </w:p>
        </w:tc>
        <w:tc>
          <w:tcPr>
            <w:tcW w:w="1302" w:type="dxa"/>
            <w:vAlign w:val="center"/>
          </w:tcPr>
          <w:p w14:paraId="1E51198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6</w:t>
            </w:r>
          </w:p>
        </w:tc>
        <w:tc>
          <w:tcPr>
            <w:tcW w:w="1484" w:type="dxa"/>
            <w:vAlign w:val="center"/>
          </w:tcPr>
          <w:p w14:paraId="14B2B36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铜钱村</w:t>
            </w:r>
          </w:p>
        </w:tc>
      </w:tr>
      <w:tr w14:paraId="2235C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Merge w:val="continue"/>
            <w:vAlign w:val="center"/>
          </w:tcPr>
          <w:p w14:paraId="3E40CCD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p>
        </w:tc>
        <w:tc>
          <w:tcPr>
            <w:tcW w:w="1092" w:type="dxa"/>
            <w:vAlign w:val="center"/>
          </w:tcPr>
          <w:p w14:paraId="22F82DC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酒店垭村</w:t>
            </w:r>
          </w:p>
        </w:tc>
        <w:tc>
          <w:tcPr>
            <w:tcW w:w="1785" w:type="dxa"/>
            <w:vAlign w:val="center"/>
          </w:tcPr>
          <w:p w14:paraId="578EC30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酒店垭村居民聚居点污水处理站</w:t>
            </w:r>
          </w:p>
        </w:tc>
        <w:tc>
          <w:tcPr>
            <w:tcW w:w="1362" w:type="dxa"/>
            <w:vAlign w:val="center"/>
          </w:tcPr>
          <w:p w14:paraId="39E61F9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color w:val="auto"/>
                <w:sz w:val="24"/>
                <w:szCs w:val="24"/>
              </w:rPr>
              <w:t>O</w:t>
            </w:r>
          </w:p>
        </w:tc>
        <w:tc>
          <w:tcPr>
            <w:tcW w:w="1502" w:type="dxa"/>
            <w:vAlign w:val="center"/>
          </w:tcPr>
          <w:p w14:paraId="156E724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1#30</w:t>
            </w:r>
            <w:r>
              <w:rPr>
                <w:rFonts w:hint="default" w:ascii="Times New Roman" w:hAnsi="Times New Roman" w:eastAsia="仿宋_GB2312" w:cs="Times New Roman"/>
                <w:color w:val="auto"/>
                <w:sz w:val="24"/>
                <w:szCs w:val="24"/>
              </w:rPr>
              <w:br w:type="textWrapping"/>
            </w:r>
            <w:r>
              <w:rPr>
                <w:rFonts w:hint="default" w:ascii="Times New Roman" w:hAnsi="Times New Roman" w:eastAsia="仿宋_GB2312" w:cs="Times New Roman"/>
                <w:color w:val="auto"/>
                <w:sz w:val="24"/>
                <w:szCs w:val="24"/>
              </w:rPr>
              <w:t>2#30</w:t>
            </w:r>
          </w:p>
        </w:tc>
        <w:tc>
          <w:tcPr>
            <w:tcW w:w="1302" w:type="dxa"/>
            <w:vAlign w:val="center"/>
          </w:tcPr>
          <w:p w14:paraId="16EFFFE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p>
        </w:tc>
        <w:tc>
          <w:tcPr>
            <w:tcW w:w="1484" w:type="dxa"/>
            <w:vAlign w:val="center"/>
          </w:tcPr>
          <w:p w14:paraId="4B3ED66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酒店垭村</w:t>
            </w:r>
          </w:p>
        </w:tc>
      </w:tr>
      <w:tr w14:paraId="492AA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Merge w:val="continue"/>
            <w:vAlign w:val="center"/>
          </w:tcPr>
          <w:p w14:paraId="3F295C8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p>
        </w:tc>
        <w:tc>
          <w:tcPr>
            <w:tcW w:w="1092" w:type="dxa"/>
            <w:vAlign w:val="center"/>
          </w:tcPr>
          <w:p w14:paraId="356ED15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白象村</w:t>
            </w:r>
          </w:p>
        </w:tc>
        <w:tc>
          <w:tcPr>
            <w:tcW w:w="1785" w:type="dxa"/>
            <w:vAlign w:val="center"/>
          </w:tcPr>
          <w:p w14:paraId="7A03BE3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常理镇白象村人工湿地</w:t>
            </w:r>
          </w:p>
        </w:tc>
        <w:tc>
          <w:tcPr>
            <w:tcW w:w="1362" w:type="dxa"/>
            <w:vAlign w:val="center"/>
          </w:tcPr>
          <w:p w14:paraId="125A3C3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厌氧+人工湿地</w:t>
            </w:r>
          </w:p>
        </w:tc>
        <w:tc>
          <w:tcPr>
            <w:tcW w:w="1502" w:type="dxa"/>
            <w:vAlign w:val="center"/>
          </w:tcPr>
          <w:p w14:paraId="1DA6C2F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6</w:t>
            </w:r>
          </w:p>
        </w:tc>
        <w:tc>
          <w:tcPr>
            <w:tcW w:w="1302" w:type="dxa"/>
            <w:vAlign w:val="center"/>
          </w:tcPr>
          <w:p w14:paraId="5898496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3</w:t>
            </w:r>
          </w:p>
        </w:tc>
        <w:tc>
          <w:tcPr>
            <w:tcW w:w="1484" w:type="dxa"/>
            <w:vAlign w:val="center"/>
          </w:tcPr>
          <w:p w14:paraId="4D40BE8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白象村</w:t>
            </w:r>
          </w:p>
        </w:tc>
      </w:tr>
      <w:tr w14:paraId="403B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Merge w:val="continue"/>
            <w:vAlign w:val="center"/>
          </w:tcPr>
          <w:p w14:paraId="2DE1BB5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p>
        </w:tc>
        <w:tc>
          <w:tcPr>
            <w:tcW w:w="1092" w:type="dxa"/>
            <w:vAlign w:val="center"/>
          </w:tcPr>
          <w:p w14:paraId="16A7B1B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棕树坪村</w:t>
            </w:r>
          </w:p>
        </w:tc>
        <w:tc>
          <w:tcPr>
            <w:tcW w:w="1785" w:type="dxa"/>
            <w:vAlign w:val="center"/>
          </w:tcPr>
          <w:p w14:paraId="4DCD59D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常理镇棕树坪村人工湿地</w:t>
            </w:r>
          </w:p>
        </w:tc>
        <w:tc>
          <w:tcPr>
            <w:tcW w:w="1362" w:type="dxa"/>
            <w:vAlign w:val="center"/>
          </w:tcPr>
          <w:p w14:paraId="2923030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波形潜流湿地</w:t>
            </w:r>
          </w:p>
        </w:tc>
        <w:tc>
          <w:tcPr>
            <w:tcW w:w="1502" w:type="dxa"/>
            <w:vAlign w:val="center"/>
          </w:tcPr>
          <w:p w14:paraId="13CF970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1#5</w:t>
            </w:r>
            <w:r>
              <w:rPr>
                <w:rFonts w:hint="default" w:ascii="Times New Roman" w:hAnsi="Times New Roman" w:eastAsia="仿宋_GB2312" w:cs="Times New Roman"/>
                <w:color w:val="auto"/>
                <w:sz w:val="24"/>
                <w:szCs w:val="24"/>
              </w:rPr>
              <w:br w:type="textWrapping"/>
            </w:r>
            <w:r>
              <w:rPr>
                <w:rFonts w:hint="default" w:ascii="Times New Roman" w:hAnsi="Times New Roman" w:eastAsia="仿宋_GB2312" w:cs="Times New Roman"/>
                <w:color w:val="auto"/>
                <w:sz w:val="24"/>
                <w:szCs w:val="24"/>
              </w:rPr>
              <w:t>2#5</w:t>
            </w:r>
          </w:p>
        </w:tc>
        <w:tc>
          <w:tcPr>
            <w:tcW w:w="1302" w:type="dxa"/>
            <w:vAlign w:val="center"/>
          </w:tcPr>
          <w:p w14:paraId="4CC371C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0.2</w:t>
            </w:r>
          </w:p>
        </w:tc>
        <w:tc>
          <w:tcPr>
            <w:tcW w:w="1484" w:type="dxa"/>
            <w:vAlign w:val="center"/>
          </w:tcPr>
          <w:p w14:paraId="13464DF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棕树坪村</w:t>
            </w:r>
          </w:p>
        </w:tc>
      </w:tr>
    </w:tbl>
    <w:p w14:paraId="5B699DB9">
      <w:pPr>
        <w:pStyle w:val="12"/>
        <w:keepNext w:val="0"/>
        <w:keepLines w:val="0"/>
        <w:pageBreakBefore w:val="0"/>
        <w:widowControl w:val="0"/>
        <w:kinsoku/>
        <w:wordWrap/>
        <w:overflowPunct/>
        <w:topLinePunct w:val="0"/>
        <w:autoSpaceDE w:val="0"/>
        <w:autoSpaceDN w:val="0"/>
        <w:bidi w:val="0"/>
        <w:adjustRightInd/>
        <w:snapToGrid/>
        <w:spacing w:line="576" w:lineRule="exact"/>
        <w:ind w:right="0"/>
        <w:textAlignment w:val="auto"/>
        <w:outlineLvl w:val="9"/>
        <w:rPr>
          <w:rFonts w:hint="default" w:ascii="Times New Roman" w:hAnsi="Times New Roman" w:eastAsia="仿宋_GB2312" w:cs="Times New Roman"/>
          <w:b/>
          <w:bCs/>
          <w:sz w:val="32"/>
          <w:szCs w:val="32"/>
          <w:lang w:val="en-US" w:eastAsia="zh-CN" w:bidi="zh-CN"/>
        </w:rPr>
      </w:pPr>
    </w:p>
    <w:p w14:paraId="00B566E9">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bidi="zh-CN"/>
        </w:rPr>
      </w:pPr>
      <w:bookmarkStart w:id="85" w:name="_Toc8502"/>
      <w:r>
        <w:rPr>
          <w:rFonts w:hint="default" w:ascii="Times New Roman" w:hAnsi="Times New Roman" w:eastAsia="黑体" w:cs="Times New Roman"/>
          <w:b w:val="0"/>
          <w:bCs w:val="0"/>
          <w:sz w:val="32"/>
          <w:szCs w:val="32"/>
          <w:lang w:val="en-US" w:eastAsia="zh-CN" w:bidi="zh-CN"/>
        </w:rPr>
        <w:t>4.3莲花湖现代农业片区现状情况</w:t>
      </w:r>
      <w:bookmarkEnd w:id="85"/>
    </w:p>
    <w:p w14:paraId="65DC62B5">
      <w:pPr>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镇区均建有污水处理厂，且已完成提标改造，出水水质执行一级A标。各镇均已建雨污水管网，但雨水管网建设滞后，雨污分流不彻底。整个片区有13个村已建有污水处理设施，共计14座，主要为小型污水处理站。其他农户污水排入三格式化粪池或直接排放。</w:t>
      </w:r>
    </w:p>
    <w:p w14:paraId="5AA5BE7E">
      <w:pPr>
        <w:keepNext w:val="0"/>
        <w:keepLines w:val="0"/>
        <w:pageBreakBefore w:val="0"/>
        <w:widowControl w:val="0"/>
        <w:kinsoku/>
        <w:wordWrap/>
        <w:overflowPunct/>
        <w:topLinePunct w:val="0"/>
        <w:autoSpaceDE w:val="0"/>
        <w:autoSpaceDN w:val="0"/>
        <w:bidi w:val="0"/>
        <w:adjustRightInd/>
        <w:snapToGrid/>
        <w:spacing w:line="576" w:lineRule="exact"/>
        <w:ind w:right="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白马镇有9个村部分污水排污水集中收集系统；拦江镇有12个村部分污水排污水集中收集系统；保石镇有4个村部分污水排污水集中收集系统；中兴镇村污水暂未接入污水集中收集系统。雨季时部分雨水会进入市政污水管网，导致污水处理厂超负荷运行。</w:t>
      </w:r>
    </w:p>
    <w:p w14:paraId="2AFE4BF4">
      <w:pPr>
        <w:keepNext w:val="0"/>
        <w:keepLines w:val="0"/>
        <w:pageBreakBefore w:val="0"/>
        <w:widowControl w:val="0"/>
        <w:kinsoku/>
        <w:wordWrap/>
        <w:overflowPunct/>
        <w:topLinePunct w:val="0"/>
        <w:autoSpaceDE w:val="0"/>
        <w:autoSpaceDN w:val="0"/>
        <w:bidi w:val="0"/>
        <w:adjustRightInd/>
        <w:snapToGrid/>
        <w:spacing w:line="576" w:lineRule="exact"/>
        <w:ind w:right="0" w:firstLine="0" w:firstLineChars="0"/>
        <w:jc w:val="center"/>
        <w:textAlignment w:val="auto"/>
        <w:rPr>
          <w:rFonts w:hint="default" w:ascii="Times New Roman" w:hAnsi="Times New Roman" w:cs="Times New Roman"/>
          <w:b/>
          <w:bCs/>
          <w:sz w:val="32"/>
          <w:szCs w:val="32"/>
        </w:rPr>
      </w:pPr>
      <w:r>
        <w:rPr>
          <w:rFonts w:hint="default" w:ascii="Times New Roman" w:hAnsi="Times New Roman" w:eastAsia="仿宋_GB2312" w:cs="Times New Roman"/>
          <w:b/>
          <w:bCs/>
          <w:sz w:val="32"/>
          <w:szCs w:val="32"/>
        </w:rPr>
        <w:t>现状城镇污水处理厂情况一览表</w:t>
      </w:r>
    </w:p>
    <w:tbl>
      <w:tblPr>
        <w:tblStyle w:val="24"/>
        <w:tblW w:w="10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144"/>
        <w:gridCol w:w="1091"/>
        <w:gridCol w:w="1040"/>
        <w:gridCol w:w="1110"/>
        <w:gridCol w:w="1268"/>
        <w:gridCol w:w="1063"/>
        <w:gridCol w:w="1099"/>
        <w:gridCol w:w="715"/>
        <w:gridCol w:w="772"/>
      </w:tblGrid>
      <w:tr w14:paraId="43DB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809" w:type="dxa"/>
            <w:vAlign w:val="center"/>
          </w:tcPr>
          <w:p w14:paraId="6E629D1F">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黑体" w:cs="Times New Roman"/>
                <w:b w:val="0"/>
                <w:bCs w:val="0"/>
                <w:sz w:val="24"/>
                <w:szCs w:val="24"/>
              </w:rPr>
            </w:pPr>
            <w:bookmarkStart w:id="86" w:name="_Toc15369"/>
            <w:bookmarkStart w:id="87" w:name="_Toc2678"/>
            <w:r>
              <w:rPr>
                <w:rFonts w:hint="default" w:ascii="Times New Roman" w:hAnsi="Times New Roman" w:eastAsia="黑体" w:cs="Times New Roman"/>
                <w:b w:val="0"/>
                <w:bCs w:val="0"/>
                <w:sz w:val="24"/>
                <w:szCs w:val="24"/>
              </w:rPr>
              <w:t>乡镇</w:t>
            </w:r>
            <w:bookmarkEnd w:id="86"/>
            <w:bookmarkEnd w:id="87"/>
          </w:p>
        </w:tc>
        <w:tc>
          <w:tcPr>
            <w:tcW w:w="1144" w:type="dxa"/>
            <w:vAlign w:val="center"/>
          </w:tcPr>
          <w:p w14:paraId="00814A38">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黑体" w:cs="Times New Roman"/>
                <w:b w:val="0"/>
                <w:bCs w:val="0"/>
                <w:sz w:val="24"/>
                <w:szCs w:val="24"/>
              </w:rPr>
            </w:pPr>
            <w:bookmarkStart w:id="88" w:name="_Toc30257"/>
            <w:bookmarkStart w:id="89" w:name="_Toc26781"/>
            <w:r>
              <w:rPr>
                <w:rFonts w:hint="default" w:ascii="Times New Roman" w:hAnsi="Times New Roman" w:eastAsia="黑体" w:cs="Times New Roman"/>
                <w:b w:val="0"/>
                <w:bCs w:val="0"/>
                <w:sz w:val="24"/>
                <w:szCs w:val="24"/>
              </w:rPr>
              <w:t>污水处理设施名称</w:t>
            </w:r>
            <w:bookmarkEnd w:id="88"/>
            <w:bookmarkEnd w:id="89"/>
          </w:p>
        </w:tc>
        <w:tc>
          <w:tcPr>
            <w:tcW w:w="1091" w:type="dxa"/>
            <w:vAlign w:val="center"/>
          </w:tcPr>
          <w:p w14:paraId="697BB838">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黑体" w:cs="Times New Roman"/>
                <w:b w:val="0"/>
                <w:bCs w:val="0"/>
                <w:sz w:val="24"/>
                <w:szCs w:val="24"/>
              </w:rPr>
            </w:pPr>
            <w:bookmarkStart w:id="90" w:name="_Toc23292"/>
            <w:bookmarkStart w:id="91" w:name="_Toc7589"/>
            <w:r>
              <w:rPr>
                <w:rFonts w:hint="default" w:ascii="Times New Roman" w:hAnsi="Times New Roman" w:eastAsia="黑体" w:cs="Times New Roman"/>
                <w:b w:val="0"/>
                <w:bCs w:val="0"/>
                <w:sz w:val="24"/>
                <w:szCs w:val="24"/>
              </w:rPr>
              <w:t>已建污水主管网（km）</w:t>
            </w:r>
            <w:bookmarkEnd w:id="90"/>
            <w:bookmarkEnd w:id="91"/>
          </w:p>
        </w:tc>
        <w:tc>
          <w:tcPr>
            <w:tcW w:w="1040" w:type="dxa"/>
            <w:vAlign w:val="center"/>
          </w:tcPr>
          <w:p w14:paraId="348ADFD3">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黑体" w:cs="Times New Roman"/>
                <w:b w:val="0"/>
                <w:bCs w:val="0"/>
                <w:sz w:val="24"/>
                <w:szCs w:val="24"/>
              </w:rPr>
            </w:pPr>
            <w:bookmarkStart w:id="92" w:name="_Toc10052"/>
            <w:bookmarkStart w:id="93" w:name="_Toc30847"/>
            <w:r>
              <w:rPr>
                <w:rFonts w:hint="default" w:ascii="Times New Roman" w:hAnsi="Times New Roman" w:eastAsia="黑体" w:cs="Times New Roman"/>
                <w:b w:val="0"/>
                <w:bCs w:val="0"/>
                <w:sz w:val="24"/>
                <w:szCs w:val="24"/>
              </w:rPr>
              <w:t>已建雨水管网（km）</w:t>
            </w:r>
            <w:bookmarkEnd w:id="92"/>
            <w:bookmarkEnd w:id="93"/>
          </w:p>
        </w:tc>
        <w:tc>
          <w:tcPr>
            <w:tcW w:w="1110" w:type="dxa"/>
            <w:vAlign w:val="center"/>
          </w:tcPr>
          <w:p w14:paraId="75458FC5">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黑体" w:cs="Times New Roman"/>
                <w:b w:val="0"/>
                <w:bCs w:val="0"/>
                <w:sz w:val="24"/>
                <w:szCs w:val="24"/>
              </w:rPr>
            </w:pPr>
            <w:bookmarkStart w:id="94" w:name="_Toc29985"/>
            <w:bookmarkStart w:id="95" w:name="_Toc204"/>
            <w:r>
              <w:rPr>
                <w:rFonts w:hint="default" w:ascii="Times New Roman" w:hAnsi="Times New Roman" w:eastAsia="黑体" w:cs="Times New Roman"/>
                <w:b w:val="0"/>
                <w:bCs w:val="0"/>
                <w:sz w:val="24"/>
                <w:szCs w:val="24"/>
              </w:rPr>
              <w:t>工艺</w:t>
            </w:r>
            <w:bookmarkEnd w:id="94"/>
            <w:bookmarkEnd w:id="95"/>
          </w:p>
        </w:tc>
        <w:tc>
          <w:tcPr>
            <w:tcW w:w="1268" w:type="dxa"/>
            <w:vAlign w:val="center"/>
          </w:tcPr>
          <w:p w14:paraId="6F7BBA15">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黑体" w:cs="Times New Roman"/>
                <w:b w:val="0"/>
                <w:bCs w:val="0"/>
                <w:sz w:val="24"/>
                <w:szCs w:val="24"/>
              </w:rPr>
            </w:pPr>
            <w:bookmarkStart w:id="96" w:name="_Toc18757"/>
            <w:bookmarkStart w:id="97" w:name="_Toc19292"/>
            <w:r>
              <w:rPr>
                <w:rFonts w:hint="default" w:ascii="Times New Roman" w:hAnsi="Times New Roman" w:eastAsia="黑体" w:cs="Times New Roman"/>
                <w:b w:val="0"/>
                <w:bCs w:val="0"/>
                <w:sz w:val="24"/>
                <w:szCs w:val="24"/>
              </w:rPr>
              <w:t>设计处理能力（m³/d）</w:t>
            </w:r>
            <w:bookmarkEnd w:id="96"/>
            <w:bookmarkEnd w:id="97"/>
          </w:p>
        </w:tc>
        <w:tc>
          <w:tcPr>
            <w:tcW w:w="1063" w:type="dxa"/>
            <w:vAlign w:val="center"/>
          </w:tcPr>
          <w:p w14:paraId="2E145021">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黑体" w:cs="Times New Roman"/>
                <w:b w:val="0"/>
                <w:bCs w:val="0"/>
                <w:sz w:val="24"/>
                <w:szCs w:val="24"/>
              </w:rPr>
            </w:pPr>
            <w:bookmarkStart w:id="98" w:name="_Toc2023"/>
            <w:bookmarkStart w:id="99" w:name="_Toc16745"/>
            <w:r>
              <w:rPr>
                <w:rFonts w:hint="default" w:ascii="Times New Roman" w:hAnsi="Times New Roman" w:eastAsia="黑体" w:cs="Times New Roman"/>
                <w:b w:val="0"/>
                <w:bCs w:val="0"/>
                <w:sz w:val="24"/>
                <w:szCs w:val="24"/>
              </w:rPr>
              <w:t>实际处理能力（m³/d）</w:t>
            </w:r>
            <w:bookmarkEnd w:id="98"/>
            <w:bookmarkEnd w:id="99"/>
          </w:p>
        </w:tc>
        <w:tc>
          <w:tcPr>
            <w:tcW w:w="1099" w:type="dxa"/>
            <w:vAlign w:val="center"/>
          </w:tcPr>
          <w:p w14:paraId="22F35B2B">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黑体" w:cs="Times New Roman"/>
                <w:b w:val="0"/>
                <w:bCs w:val="0"/>
                <w:sz w:val="24"/>
                <w:szCs w:val="24"/>
              </w:rPr>
            </w:pPr>
            <w:bookmarkStart w:id="100" w:name="_Toc3190"/>
            <w:bookmarkStart w:id="101" w:name="_Toc3919"/>
            <w:r>
              <w:rPr>
                <w:rFonts w:hint="default" w:ascii="Times New Roman" w:hAnsi="Times New Roman" w:eastAsia="黑体" w:cs="Times New Roman"/>
                <w:b w:val="0"/>
                <w:bCs w:val="0"/>
                <w:sz w:val="24"/>
                <w:szCs w:val="24"/>
              </w:rPr>
              <w:t>污水处理率（%）</w:t>
            </w:r>
            <w:bookmarkEnd w:id="100"/>
            <w:bookmarkEnd w:id="101"/>
          </w:p>
        </w:tc>
        <w:tc>
          <w:tcPr>
            <w:tcW w:w="715" w:type="dxa"/>
            <w:vAlign w:val="center"/>
          </w:tcPr>
          <w:p w14:paraId="3B35AF48">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黑体" w:cs="Times New Roman"/>
                <w:b w:val="0"/>
                <w:bCs w:val="0"/>
                <w:sz w:val="24"/>
                <w:szCs w:val="24"/>
              </w:rPr>
            </w:pPr>
            <w:bookmarkStart w:id="102" w:name="_Toc7526"/>
            <w:bookmarkStart w:id="103" w:name="_Toc19683"/>
            <w:r>
              <w:rPr>
                <w:rFonts w:hint="default" w:ascii="Times New Roman" w:hAnsi="Times New Roman" w:eastAsia="黑体" w:cs="Times New Roman"/>
                <w:b w:val="0"/>
                <w:bCs w:val="0"/>
                <w:sz w:val="24"/>
                <w:szCs w:val="24"/>
              </w:rPr>
              <w:t>执行排放标准</w:t>
            </w:r>
            <w:bookmarkEnd w:id="102"/>
            <w:bookmarkEnd w:id="103"/>
          </w:p>
        </w:tc>
        <w:tc>
          <w:tcPr>
            <w:tcW w:w="772" w:type="dxa"/>
            <w:vAlign w:val="center"/>
          </w:tcPr>
          <w:p w14:paraId="545652C2">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黑体" w:cs="Times New Roman"/>
                <w:b w:val="0"/>
                <w:bCs w:val="0"/>
                <w:sz w:val="24"/>
                <w:szCs w:val="24"/>
              </w:rPr>
            </w:pPr>
            <w:bookmarkStart w:id="104" w:name="_Toc26430"/>
            <w:bookmarkStart w:id="105" w:name="_Toc32687"/>
            <w:r>
              <w:rPr>
                <w:rFonts w:hint="default" w:ascii="Times New Roman" w:hAnsi="Times New Roman" w:eastAsia="黑体" w:cs="Times New Roman"/>
                <w:b w:val="0"/>
                <w:bCs w:val="0"/>
                <w:sz w:val="24"/>
                <w:szCs w:val="24"/>
              </w:rPr>
              <w:t>出水受纳水体</w:t>
            </w:r>
            <w:bookmarkEnd w:id="104"/>
            <w:bookmarkEnd w:id="105"/>
          </w:p>
        </w:tc>
      </w:tr>
      <w:tr w14:paraId="372B4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14:paraId="306D8E3F">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06" w:name="_Toc12256"/>
            <w:bookmarkStart w:id="107" w:name="_Toc23278"/>
            <w:r>
              <w:rPr>
                <w:rFonts w:hint="default" w:ascii="Times New Roman" w:hAnsi="Times New Roman" w:eastAsia="仿宋_GB2312" w:cs="Times New Roman"/>
                <w:b w:val="0"/>
                <w:bCs w:val="0"/>
                <w:sz w:val="24"/>
                <w:szCs w:val="24"/>
              </w:rPr>
              <w:t>拦江镇</w:t>
            </w:r>
            <w:bookmarkEnd w:id="106"/>
            <w:bookmarkEnd w:id="107"/>
          </w:p>
        </w:tc>
        <w:tc>
          <w:tcPr>
            <w:tcW w:w="1144" w:type="dxa"/>
            <w:vAlign w:val="center"/>
          </w:tcPr>
          <w:p w14:paraId="1CF33D06">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08" w:name="_Toc25599"/>
            <w:bookmarkStart w:id="109" w:name="_Toc30374"/>
            <w:r>
              <w:rPr>
                <w:rFonts w:hint="default" w:ascii="Times New Roman" w:hAnsi="Times New Roman" w:eastAsia="仿宋_GB2312" w:cs="Times New Roman"/>
                <w:b w:val="0"/>
                <w:bCs w:val="0"/>
                <w:sz w:val="24"/>
                <w:szCs w:val="24"/>
              </w:rPr>
              <w:t>拦江镇污水处理厂</w:t>
            </w:r>
            <w:bookmarkEnd w:id="108"/>
            <w:bookmarkEnd w:id="109"/>
          </w:p>
        </w:tc>
        <w:tc>
          <w:tcPr>
            <w:tcW w:w="1091" w:type="dxa"/>
            <w:vAlign w:val="center"/>
          </w:tcPr>
          <w:p w14:paraId="6D436928">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10" w:name="_Toc16342"/>
            <w:bookmarkStart w:id="111" w:name="_Toc24125"/>
            <w:r>
              <w:rPr>
                <w:rFonts w:hint="default" w:ascii="Times New Roman" w:hAnsi="Times New Roman" w:eastAsia="仿宋_GB2312" w:cs="Times New Roman"/>
                <w:b w:val="0"/>
                <w:bCs w:val="0"/>
                <w:sz w:val="24"/>
                <w:szCs w:val="24"/>
              </w:rPr>
              <w:t>10.9</w:t>
            </w:r>
            <w:bookmarkEnd w:id="110"/>
            <w:bookmarkEnd w:id="111"/>
          </w:p>
        </w:tc>
        <w:tc>
          <w:tcPr>
            <w:tcW w:w="1040" w:type="dxa"/>
            <w:vAlign w:val="center"/>
          </w:tcPr>
          <w:p w14:paraId="6B5608ED">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12" w:name="_Toc15775"/>
            <w:bookmarkStart w:id="113" w:name="_Toc19760"/>
            <w:r>
              <w:rPr>
                <w:rFonts w:hint="default" w:ascii="Times New Roman" w:hAnsi="Times New Roman" w:eastAsia="仿宋_GB2312" w:cs="Times New Roman"/>
                <w:b w:val="0"/>
                <w:bCs w:val="0"/>
                <w:sz w:val="24"/>
                <w:szCs w:val="24"/>
              </w:rPr>
              <w:t>4</w:t>
            </w:r>
            <w:bookmarkEnd w:id="112"/>
            <w:bookmarkEnd w:id="113"/>
          </w:p>
        </w:tc>
        <w:tc>
          <w:tcPr>
            <w:tcW w:w="1110" w:type="dxa"/>
            <w:vAlign w:val="center"/>
          </w:tcPr>
          <w:p w14:paraId="03715230">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14" w:name="_Toc28816"/>
            <w:bookmarkStart w:id="115" w:name="_Toc16212"/>
            <w:r>
              <w:rPr>
                <w:rFonts w:hint="default" w:ascii="Times New Roman" w:hAnsi="Times New Roman" w:eastAsia="仿宋_GB2312" w:cs="Times New Roman"/>
                <w:b w:val="0"/>
                <w:bCs w:val="0"/>
                <w:sz w:val="24"/>
                <w:szCs w:val="24"/>
              </w:rPr>
              <w:t>变型一体化氧化沟+人工快渗</w:t>
            </w:r>
            <w:bookmarkEnd w:id="114"/>
            <w:bookmarkEnd w:id="115"/>
          </w:p>
        </w:tc>
        <w:tc>
          <w:tcPr>
            <w:tcW w:w="1268" w:type="dxa"/>
            <w:vAlign w:val="center"/>
          </w:tcPr>
          <w:p w14:paraId="336B9A06">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16" w:name="_Toc20889"/>
            <w:bookmarkStart w:id="117" w:name="_Toc31768"/>
            <w:r>
              <w:rPr>
                <w:rFonts w:hint="default" w:ascii="Times New Roman" w:hAnsi="Times New Roman" w:eastAsia="仿宋_GB2312" w:cs="Times New Roman"/>
                <w:b w:val="0"/>
                <w:bCs w:val="0"/>
                <w:sz w:val="24"/>
                <w:szCs w:val="24"/>
              </w:rPr>
              <w:t>2200</w:t>
            </w:r>
            <w:bookmarkEnd w:id="116"/>
            <w:bookmarkEnd w:id="117"/>
          </w:p>
        </w:tc>
        <w:tc>
          <w:tcPr>
            <w:tcW w:w="1063" w:type="dxa"/>
            <w:vAlign w:val="center"/>
          </w:tcPr>
          <w:p w14:paraId="00EB6567">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18" w:name="_Toc1201"/>
            <w:bookmarkStart w:id="119" w:name="_Toc23505"/>
            <w:r>
              <w:rPr>
                <w:rFonts w:hint="default" w:ascii="Times New Roman" w:hAnsi="Times New Roman" w:eastAsia="仿宋_GB2312" w:cs="Times New Roman"/>
                <w:b w:val="0"/>
                <w:bCs w:val="0"/>
                <w:sz w:val="24"/>
                <w:szCs w:val="24"/>
              </w:rPr>
              <w:t>1700</w:t>
            </w:r>
            <w:bookmarkEnd w:id="118"/>
            <w:bookmarkEnd w:id="119"/>
          </w:p>
        </w:tc>
        <w:tc>
          <w:tcPr>
            <w:tcW w:w="1099" w:type="dxa"/>
            <w:vAlign w:val="center"/>
          </w:tcPr>
          <w:p w14:paraId="0CC79F39">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20" w:name="_Toc452"/>
            <w:bookmarkStart w:id="121" w:name="_Toc10115"/>
            <w:r>
              <w:rPr>
                <w:rFonts w:hint="default" w:ascii="Times New Roman" w:hAnsi="Times New Roman" w:eastAsia="仿宋_GB2312" w:cs="Times New Roman"/>
                <w:b w:val="0"/>
                <w:bCs w:val="0"/>
                <w:sz w:val="24"/>
                <w:szCs w:val="24"/>
              </w:rPr>
              <w:t>80.62</w:t>
            </w:r>
            <w:bookmarkEnd w:id="120"/>
            <w:bookmarkEnd w:id="121"/>
          </w:p>
        </w:tc>
        <w:tc>
          <w:tcPr>
            <w:tcW w:w="715" w:type="dxa"/>
            <w:vAlign w:val="center"/>
          </w:tcPr>
          <w:p w14:paraId="1E0528D4">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22" w:name="_Toc15625"/>
            <w:bookmarkStart w:id="123" w:name="_Toc15526"/>
            <w:r>
              <w:rPr>
                <w:rFonts w:hint="default" w:ascii="Times New Roman" w:hAnsi="Times New Roman" w:eastAsia="仿宋_GB2312" w:cs="Times New Roman"/>
                <w:b w:val="0"/>
                <w:bCs w:val="0"/>
                <w:sz w:val="24"/>
                <w:szCs w:val="24"/>
              </w:rPr>
              <w:t>一级A标</w:t>
            </w:r>
            <w:bookmarkEnd w:id="122"/>
            <w:bookmarkEnd w:id="123"/>
          </w:p>
        </w:tc>
        <w:tc>
          <w:tcPr>
            <w:tcW w:w="772" w:type="dxa"/>
            <w:vAlign w:val="center"/>
          </w:tcPr>
          <w:p w14:paraId="36FA34CC">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24" w:name="_Toc22041"/>
            <w:bookmarkStart w:id="125" w:name="_Toc10007"/>
            <w:r>
              <w:rPr>
                <w:rFonts w:hint="default" w:ascii="Times New Roman" w:hAnsi="Times New Roman" w:eastAsia="仿宋_GB2312" w:cs="Times New Roman"/>
                <w:b w:val="0"/>
                <w:bCs w:val="0"/>
                <w:sz w:val="24"/>
                <w:szCs w:val="24"/>
              </w:rPr>
              <w:t>麻子滩水库</w:t>
            </w:r>
            <w:bookmarkEnd w:id="124"/>
            <w:bookmarkEnd w:id="125"/>
          </w:p>
        </w:tc>
      </w:tr>
      <w:tr w14:paraId="50597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14:paraId="20572114">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26" w:name="_Toc18986"/>
            <w:bookmarkStart w:id="127" w:name="_Toc27580"/>
            <w:r>
              <w:rPr>
                <w:rFonts w:hint="default" w:ascii="Times New Roman" w:hAnsi="Times New Roman" w:eastAsia="仿宋_GB2312" w:cs="Times New Roman"/>
                <w:b w:val="0"/>
                <w:bCs w:val="0"/>
                <w:sz w:val="24"/>
                <w:szCs w:val="24"/>
              </w:rPr>
              <w:t>白马镇</w:t>
            </w:r>
            <w:bookmarkEnd w:id="126"/>
            <w:bookmarkEnd w:id="127"/>
          </w:p>
        </w:tc>
        <w:tc>
          <w:tcPr>
            <w:tcW w:w="1144" w:type="dxa"/>
            <w:vAlign w:val="center"/>
          </w:tcPr>
          <w:p w14:paraId="03583E99">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28" w:name="_Toc4268"/>
            <w:bookmarkStart w:id="129" w:name="_Toc19797"/>
            <w:r>
              <w:rPr>
                <w:rFonts w:hint="default" w:ascii="Times New Roman" w:hAnsi="Times New Roman" w:eastAsia="仿宋_GB2312" w:cs="Times New Roman"/>
                <w:b w:val="0"/>
                <w:bCs w:val="0"/>
                <w:sz w:val="24"/>
                <w:szCs w:val="24"/>
              </w:rPr>
              <w:t>白马镇污水处理厂</w:t>
            </w:r>
            <w:bookmarkEnd w:id="128"/>
            <w:bookmarkEnd w:id="129"/>
          </w:p>
        </w:tc>
        <w:tc>
          <w:tcPr>
            <w:tcW w:w="1091" w:type="dxa"/>
            <w:vAlign w:val="center"/>
          </w:tcPr>
          <w:p w14:paraId="67D0F491">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30" w:name="_Toc26929"/>
            <w:bookmarkStart w:id="131" w:name="_Toc12831"/>
            <w:r>
              <w:rPr>
                <w:rFonts w:hint="default" w:ascii="Times New Roman" w:hAnsi="Times New Roman" w:eastAsia="仿宋_GB2312" w:cs="Times New Roman"/>
                <w:b w:val="0"/>
                <w:bCs w:val="0"/>
                <w:sz w:val="24"/>
                <w:szCs w:val="24"/>
              </w:rPr>
              <w:t>9.1</w:t>
            </w:r>
            <w:bookmarkEnd w:id="130"/>
            <w:bookmarkEnd w:id="131"/>
          </w:p>
        </w:tc>
        <w:tc>
          <w:tcPr>
            <w:tcW w:w="1040" w:type="dxa"/>
            <w:vAlign w:val="center"/>
          </w:tcPr>
          <w:p w14:paraId="434B7CE5">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32" w:name="_Toc24309"/>
            <w:bookmarkStart w:id="133" w:name="_Toc24173"/>
            <w:r>
              <w:rPr>
                <w:rFonts w:hint="default" w:ascii="Times New Roman" w:hAnsi="Times New Roman" w:eastAsia="仿宋_GB2312" w:cs="Times New Roman"/>
                <w:b w:val="0"/>
                <w:bCs w:val="0"/>
                <w:sz w:val="24"/>
                <w:szCs w:val="24"/>
              </w:rPr>
              <w:t>2.7</w:t>
            </w:r>
            <w:bookmarkEnd w:id="132"/>
            <w:bookmarkEnd w:id="133"/>
          </w:p>
        </w:tc>
        <w:tc>
          <w:tcPr>
            <w:tcW w:w="1110" w:type="dxa"/>
            <w:vAlign w:val="center"/>
          </w:tcPr>
          <w:p w14:paraId="3939D2B7">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34" w:name="_Toc9010"/>
            <w:bookmarkStart w:id="135" w:name="_Toc13667"/>
            <w:r>
              <w:rPr>
                <w:rFonts w:hint="default" w:ascii="Times New Roman" w:hAnsi="Times New Roman" w:eastAsia="仿宋_GB2312" w:cs="Times New Roman"/>
                <w:b w:val="0"/>
                <w:bCs w:val="0"/>
                <w:sz w:val="24"/>
                <w:szCs w:val="24"/>
              </w:rPr>
              <w:t>MBBR+斜管沉淀+高效沉淀+滤布滤池</w:t>
            </w:r>
            <w:bookmarkEnd w:id="134"/>
            <w:bookmarkEnd w:id="135"/>
          </w:p>
        </w:tc>
        <w:tc>
          <w:tcPr>
            <w:tcW w:w="1268" w:type="dxa"/>
            <w:vAlign w:val="center"/>
          </w:tcPr>
          <w:p w14:paraId="39C2B5EC">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36" w:name="_Toc10712"/>
            <w:bookmarkStart w:id="137" w:name="_Toc10947"/>
            <w:r>
              <w:rPr>
                <w:rFonts w:hint="default" w:ascii="Times New Roman" w:hAnsi="Times New Roman" w:eastAsia="仿宋_GB2312" w:cs="Times New Roman"/>
                <w:b w:val="0"/>
                <w:bCs w:val="0"/>
                <w:sz w:val="24"/>
                <w:szCs w:val="24"/>
              </w:rPr>
              <w:t>800</w:t>
            </w:r>
            <w:bookmarkEnd w:id="136"/>
            <w:bookmarkEnd w:id="137"/>
          </w:p>
        </w:tc>
        <w:tc>
          <w:tcPr>
            <w:tcW w:w="1063" w:type="dxa"/>
            <w:vAlign w:val="center"/>
          </w:tcPr>
          <w:p w14:paraId="17293CC3">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38" w:name="_Toc18539"/>
            <w:bookmarkStart w:id="139" w:name="_Toc14752"/>
            <w:r>
              <w:rPr>
                <w:rFonts w:hint="default" w:ascii="Times New Roman" w:hAnsi="Times New Roman" w:eastAsia="仿宋_GB2312" w:cs="Times New Roman"/>
                <w:b w:val="0"/>
                <w:bCs w:val="0"/>
                <w:sz w:val="24"/>
                <w:szCs w:val="24"/>
              </w:rPr>
              <w:t>700</w:t>
            </w:r>
            <w:bookmarkEnd w:id="138"/>
            <w:bookmarkEnd w:id="139"/>
          </w:p>
        </w:tc>
        <w:tc>
          <w:tcPr>
            <w:tcW w:w="1099" w:type="dxa"/>
            <w:vAlign w:val="center"/>
          </w:tcPr>
          <w:p w14:paraId="1302D5CC">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40" w:name="_Toc3914"/>
            <w:bookmarkStart w:id="141" w:name="_Toc26314"/>
            <w:r>
              <w:rPr>
                <w:rFonts w:hint="default" w:ascii="Times New Roman" w:hAnsi="Times New Roman" w:eastAsia="仿宋_GB2312" w:cs="Times New Roman"/>
                <w:b w:val="0"/>
                <w:bCs w:val="0"/>
                <w:sz w:val="24"/>
                <w:szCs w:val="24"/>
              </w:rPr>
              <w:t>83.43</w:t>
            </w:r>
            <w:bookmarkEnd w:id="140"/>
            <w:bookmarkEnd w:id="141"/>
          </w:p>
        </w:tc>
        <w:tc>
          <w:tcPr>
            <w:tcW w:w="715" w:type="dxa"/>
            <w:vAlign w:val="center"/>
          </w:tcPr>
          <w:p w14:paraId="40313FC3">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42" w:name="_Toc20376"/>
            <w:bookmarkStart w:id="143" w:name="_Toc12986"/>
            <w:r>
              <w:rPr>
                <w:rFonts w:hint="default" w:ascii="Times New Roman" w:hAnsi="Times New Roman" w:eastAsia="仿宋_GB2312" w:cs="Times New Roman"/>
                <w:b w:val="0"/>
                <w:bCs w:val="0"/>
                <w:sz w:val="24"/>
                <w:szCs w:val="24"/>
              </w:rPr>
              <w:t>一级A标</w:t>
            </w:r>
            <w:bookmarkEnd w:id="142"/>
            <w:bookmarkEnd w:id="143"/>
          </w:p>
        </w:tc>
        <w:tc>
          <w:tcPr>
            <w:tcW w:w="772" w:type="dxa"/>
            <w:vAlign w:val="center"/>
          </w:tcPr>
          <w:p w14:paraId="46A45116">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44" w:name="_Toc29326"/>
            <w:bookmarkStart w:id="145" w:name="_Toc6623"/>
            <w:r>
              <w:rPr>
                <w:rFonts w:hint="default" w:ascii="Times New Roman" w:hAnsi="Times New Roman" w:eastAsia="仿宋_GB2312" w:cs="Times New Roman"/>
                <w:b w:val="0"/>
                <w:bCs w:val="0"/>
                <w:sz w:val="24"/>
                <w:szCs w:val="24"/>
              </w:rPr>
              <w:t>白安河</w:t>
            </w:r>
            <w:bookmarkEnd w:id="144"/>
            <w:bookmarkEnd w:id="145"/>
          </w:p>
        </w:tc>
      </w:tr>
      <w:tr w14:paraId="5CCAB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14:paraId="26BB3EAB">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46" w:name="_Toc11864"/>
            <w:bookmarkStart w:id="147" w:name="_Toc31651"/>
            <w:r>
              <w:rPr>
                <w:rFonts w:hint="default" w:ascii="Times New Roman" w:hAnsi="Times New Roman" w:eastAsia="仿宋_GB2312" w:cs="Times New Roman"/>
                <w:b w:val="0"/>
                <w:bCs w:val="0"/>
                <w:sz w:val="24"/>
                <w:szCs w:val="24"/>
              </w:rPr>
              <w:t>中兴镇</w:t>
            </w:r>
            <w:bookmarkEnd w:id="146"/>
            <w:bookmarkEnd w:id="147"/>
          </w:p>
        </w:tc>
        <w:tc>
          <w:tcPr>
            <w:tcW w:w="1144" w:type="dxa"/>
            <w:vAlign w:val="center"/>
          </w:tcPr>
          <w:p w14:paraId="14072E9D">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48" w:name="_Toc5787"/>
            <w:bookmarkStart w:id="149" w:name="_Toc11777"/>
            <w:r>
              <w:rPr>
                <w:rFonts w:hint="default" w:ascii="Times New Roman" w:hAnsi="Times New Roman" w:eastAsia="仿宋_GB2312" w:cs="Times New Roman"/>
                <w:b w:val="0"/>
                <w:bCs w:val="0"/>
                <w:sz w:val="24"/>
                <w:szCs w:val="24"/>
              </w:rPr>
              <w:t>中兴镇污水处理厂</w:t>
            </w:r>
            <w:bookmarkEnd w:id="148"/>
            <w:bookmarkEnd w:id="149"/>
          </w:p>
        </w:tc>
        <w:tc>
          <w:tcPr>
            <w:tcW w:w="1091" w:type="dxa"/>
            <w:vAlign w:val="center"/>
          </w:tcPr>
          <w:p w14:paraId="0F204190">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50" w:name="_Toc923"/>
            <w:bookmarkStart w:id="151" w:name="_Toc8859"/>
            <w:r>
              <w:rPr>
                <w:rFonts w:hint="default" w:ascii="Times New Roman" w:hAnsi="Times New Roman" w:eastAsia="仿宋_GB2312" w:cs="Times New Roman"/>
                <w:b w:val="0"/>
                <w:bCs w:val="0"/>
                <w:sz w:val="24"/>
                <w:szCs w:val="24"/>
              </w:rPr>
              <w:t>3.75</w:t>
            </w:r>
            <w:bookmarkEnd w:id="150"/>
            <w:bookmarkEnd w:id="151"/>
          </w:p>
        </w:tc>
        <w:tc>
          <w:tcPr>
            <w:tcW w:w="1040" w:type="dxa"/>
            <w:vAlign w:val="center"/>
          </w:tcPr>
          <w:p w14:paraId="36AF922A">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52" w:name="_Toc10544"/>
            <w:bookmarkStart w:id="153" w:name="_Toc8608"/>
            <w:r>
              <w:rPr>
                <w:rFonts w:hint="default" w:ascii="Times New Roman" w:hAnsi="Times New Roman" w:eastAsia="仿宋_GB2312" w:cs="Times New Roman"/>
                <w:b w:val="0"/>
                <w:bCs w:val="0"/>
                <w:sz w:val="24"/>
                <w:szCs w:val="24"/>
              </w:rPr>
              <w:t>1.9</w:t>
            </w:r>
            <w:bookmarkEnd w:id="152"/>
            <w:bookmarkEnd w:id="153"/>
          </w:p>
        </w:tc>
        <w:tc>
          <w:tcPr>
            <w:tcW w:w="1110" w:type="dxa"/>
            <w:vAlign w:val="center"/>
          </w:tcPr>
          <w:p w14:paraId="43CEF8D1">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54" w:name="_Toc31815"/>
            <w:bookmarkStart w:id="155" w:name="_Toc27367"/>
            <w:r>
              <w:rPr>
                <w:rFonts w:hint="default" w:ascii="Times New Roman" w:hAnsi="Times New Roman" w:eastAsia="仿宋_GB2312" w:cs="Times New Roman"/>
                <w:b w:val="0"/>
                <w:bCs w:val="0"/>
                <w:sz w:val="24"/>
                <w:szCs w:val="24"/>
              </w:rPr>
              <w:t>A</w:t>
            </w:r>
            <w:r>
              <w:rPr>
                <w:rFonts w:hint="default" w:ascii="Times New Roman" w:hAnsi="Times New Roman" w:eastAsia="仿宋_GB2312" w:cs="Times New Roman"/>
                <w:b w:val="0"/>
                <w:bCs w:val="0"/>
                <w:color w:val="auto"/>
                <w:kern w:val="0"/>
                <w:sz w:val="24"/>
                <w:szCs w:val="24"/>
                <w:vertAlign w:val="superscript"/>
                <w:lang w:val="en-US" w:eastAsia="zh-CN" w:bidi="ar-SA"/>
              </w:rPr>
              <w:t>2</w:t>
            </w:r>
            <w:r>
              <w:rPr>
                <w:rFonts w:hint="default" w:ascii="Times New Roman" w:hAnsi="Times New Roman" w:eastAsia="仿宋_GB2312" w:cs="Times New Roman"/>
                <w:b w:val="0"/>
                <w:bCs w:val="0"/>
                <w:sz w:val="24"/>
                <w:szCs w:val="24"/>
              </w:rPr>
              <w:t>O+MBR</w:t>
            </w:r>
            <w:bookmarkEnd w:id="154"/>
            <w:bookmarkEnd w:id="155"/>
          </w:p>
        </w:tc>
        <w:tc>
          <w:tcPr>
            <w:tcW w:w="1268" w:type="dxa"/>
            <w:vAlign w:val="center"/>
          </w:tcPr>
          <w:p w14:paraId="1149C5A4">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56" w:name="_Toc26066"/>
            <w:bookmarkStart w:id="157" w:name="_Toc23193"/>
            <w:r>
              <w:rPr>
                <w:rFonts w:hint="default" w:ascii="Times New Roman" w:hAnsi="Times New Roman" w:eastAsia="仿宋_GB2312" w:cs="Times New Roman"/>
                <w:b w:val="0"/>
                <w:bCs w:val="0"/>
                <w:sz w:val="24"/>
                <w:szCs w:val="24"/>
              </w:rPr>
              <w:t>400</w:t>
            </w:r>
            <w:bookmarkEnd w:id="156"/>
            <w:bookmarkEnd w:id="157"/>
          </w:p>
        </w:tc>
        <w:tc>
          <w:tcPr>
            <w:tcW w:w="1063" w:type="dxa"/>
            <w:vAlign w:val="center"/>
          </w:tcPr>
          <w:p w14:paraId="2EDA2F7C">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58" w:name="_Toc3968"/>
            <w:bookmarkStart w:id="159" w:name="_Toc13201"/>
            <w:r>
              <w:rPr>
                <w:rFonts w:hint="default" w:ascii="Times New Roman" w:hAnsi="Times New Roman" w:eastAsia="仿宋_GB2312" w:cs="Times New Roman"/>
                <w:b w:val="0"/>
                <w:bCs w:val="0"/>
                <w:sz w:val="24"/>
                <w:szCs w:val="24"/>
              </w:rPr>
              <w:t>330</w:t>
            </w:r>
            <w:bookmarkEnd w:id="158"/>
            <w:bookmarkEnd w:id="159"/>
          </w:p>
        </w:tc>
        <w:tc>
          <w:tcPr>
            <w:tcW w:w="1099" w:type="dxa"/>
            <w:vAlign w:val="center"/>
          </w:tcPr>
          <w:p w14:paraId="3DF3E3DB">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60" w:name="_Toc21185"/>
            <w:bookmarkStart w:id="161" w:name="_Toc28969"/>
            <w:r>
              <w:rPr>
                <w:rFonts w:hint="default" w:ascii="Times New Roman" w:hAnsi="Times New Roman" w:eastAsia="仿宋_GB2312" w:cs="Times New Roman"/>
                <w:b w:val="0"/>
                <w:bCs w:val="0"/>
                <w:sz w:val="24"/>
                <w:szCs w:val="24"/>
              </w:rPr>
              <w:t>73.75</w:t>
            </w:r>
            <w:bookmarkEnd w:id="160"/>
            <w:bookmarkEnd w:id="161"/>
          </w:p>
        </w:tc>
        <w:tc>
          <w:tcPr>
            <w:tcW w:w="715" w:type="dxa"/>
            <w:vAlign w:val="center"/>
          </w:tcPr>
          <w:p w14:paraId="4CE2F1B9">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62" w:name="_Toc20500"/>
            <w:bookmarkStart w:id="163" w:name="_Toc15171"/>
            <w:r>
              <w:rPr>
                <w:rFonts w:hint="default" w:ascii="Times New Roman" w:hAnsi="Times New Roman" w:eastAsia="仿宋_GB2312" w:cs="Times New Roman"/>
                <w:b w:val="0"/>
                <w:bCs w:val="0"/>
                <w:sz w:val="24"/>
                <w:szCs w:val="24"/>
              </w:rPr>
              <w:t>一级A标</w:t>
            </w:r>
            <w:bookmarkEnd w:id="162"/>
            <w:bookmarkEnd w:id="163"/>
          </w:p>
        </w:tc>
        <w:tc>
          <w:tcPr>
            <w:tcW w:w="772" w:type="dxa"/>
            <w:vAlign w:val="center"/>
          </w:tcPr>
          <w:p w14:paraId="65C70285">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64" w:name="_Toc10981"/>
            <w:bookmarkStart w:id="165" w:name="_Toc32550"/>
            <w:r>
              <w:rPr>
                <w:rFonts w:hint="default" w:ascii="Times New Roman" w:hAnsi="Times New Roman" w:eastAsia="仿宋_GB2312" w:cs="Times New Roman"/>
                <w:b w:val="0"/>
                <w:bCs w:val="0"/>
                <w:sz w:val="24"/>
                <w:szCs w:val="24"/>
              </w:rPr>
              <w:t>麻子滩水库</w:t>
            </w:r>
            <w:bookmarkEnd w:id="164"/>
            <w:bookmarkEnd w:id="165"/>
          </w:p>
        </w:tc>
      </w:tr>
      <w:tr w14:paraId="188CE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14:paraId="2AE208AF">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66" w:name="_Toc16025"/>
            <w:bookmarkStart w:id="167" w:name="_Toc14277"/>
            <w:r>
              <w:rPr>
                <w:rFonts w:hint="default" w:ascii="Times New Roman" w:hAnsi="Times New Roman" w:eastAsia="仿宋_GB2312" w:cs="Times New Roman"/>
                <w:b w:val="0"/>
                <w:bCs w:val="0"/>
                <w:sz w:val="24"/>
                <w:szCs w:val="24"/>
              </w:rPr>
              <w:t>保石镇</w:t>
            </w:r>
            <w:bookmarkEnd w:id="166"/>
            <w:bookmarkEnd w:id="167"/>
          </w:p>
        </w:tc>
        <w:tc>
          <w:tcPr>
            <w:tcW w:w="1144" w:type="dxa"/>
            <w:vAlign w:val="center"/>
          </w:tcPr>
          <w:p w14:paraId="5E1E8AA3">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68" w:name="_Toc14363"/>
            <w:bookmarkStart w:id="169" w:name="_Toc18904"/>
            <w:r>
              <w:rPr>
                <w:rFonts w:hint="default" w:ascii="Times New Roman" w:hAnsi="Times New Roman" w:eastAsia="仿宋_GB2312" w:cs="Times New Roman"/>
                <w:b w:val="0"/>
                <w:bCs w:val="0"/>
                <w:sz w:val="24"/>
                <w:szCs w:val="24"/>
              </w:rPr>
              <w:t>保石镇污水处理厂</w:t>
            </w:r>
            <w:bookmarkEnd w:id="168"/>
            <w:bookmarkEnd w:id="169"/>
          </w:p>
        </w:tc>
        <w:tc>
          <w:tcPr>
            <w:tcW w:w="1091" w:type="dxa"/>
            <w:vAlign w:val="center"/>
          </w:tcPr>
          <w:p w14:paraId="4F847848">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leftChars="0"/>
              <w:jc w:val="center"/>
              <w:textAlignment w:val="auto"/>
              <w:rPr>
                <w:rFonts w:hint="default" w:ascii="Times New Roman" w:hAnsi="Times New Roman" w:eastAsia="宋体" w:cs="Times New Roman"/>
                <w:b w:val="0"/>
                <w:bCs w:val="0"/>
                <w:sz w:val="24"/>
                <w:szCs w:val="24"/>
              </w:rPr>
            </w:pPr>
            <w:bookmarkStart w:id="170" w:name="_Toc1380"/>
            <w:bookmarkStart w:id="171" w:name="_Toc19081"/>
            <w:r>
              <w:rPr>
                <w:rFonts w:hint="default" w:ascii="Times New Roman" w:hAnsi="Times New Roman" w:eastAsia="仿宋_GB2312" w:cs="Times New Roman"/>
                <w:b w:val="0"/>
                <w:bCs w:val="0"/>
                <w:sz w:val="24"/>
                <w:szCs w:val="24"/>
              </w:rPr>
              <w:t>2.65</w:t>
            </w:r>
            <w:bookmarkEnd w:id="170"/>
            <w:bookmarkEnd w:id="171"/>
          </w:p>
        </w:tc>
        <w:tc>
          <w:tcPr>
            <w:tcW w:w="1040" w:type="dxa"/>
            <w:vAlign w:val="center"/>
          </w:tcPr>
          <w:p w14:paraId="2FA8288B">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leftChars="0"/>
              <w:jc w:val="center"/>
              <w:textAlignment w:val="auto"/>
              <w:rPr>
                <w:rFonts w:hint="default" w:ascii="Times New Roman" w:hAnsi="Times New Roman" w:eastAsia="宋体" w:cs="Times New Roman"/>
                <w:b w:val="0"/>
                <w:bCs w:val="0"/>
                <w:sz w:val="24"/>
                <w:szCs w:val="24"/>
              </w:rPr>
            </w:pPr>
            <w:bookmarkStart w:id="172" w:name="_Toc10521"/>
            <w:bookmarkStart w:id="173" w:name="_Toc9114"/>
            <w:r>
              <w:rPr>
                <w:rFonts w:hint="default" w:ascii="Times New Roman" w:hAnsi="Times New Roman" w:eastAsia="仿宋_GB2312" w:cs="Times New Roman"/>
                <w:b w:val="0"/>
                <w:bCs w:val="0"/>
                <w:sz w:val="24"/>
                <w:szCs w:val="24"/>
              </w:rPr>
              <w:t>1.5</w:t>
            </w:r>
            <w:bookmarkEnd w:id="172"/>
            <w:bookmarkEnd w:id="173"/>
          </w:p>
        </w:tc>
        <w:tc>
          <w:tcPr>
            <w:tcW w:w="1110" w:type="dxa"/>
            <w:vAlign w:val="center"/>
          </w:tcPr>
          <w:p w14:paraId="01DDD3A8">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74" w:name="_Toc30716"/>
            <w:bookmarkStart w:id="175" w:name="_Toc32677"/>
            <w:r>
              <w:rPr>
                <w:rFonts w:hint="default" w:ascii="Times New Roman" w:hAnsi="Times New Roman" w:eastAsia="仿宋_GB2312" w:cs="Times New Roman"/>
                <w:b w:val="0"/>
                <w:bCs w:val="0"/>
                <w:sz w:val="24"/>
                <w:szCs w:val="24"/>
              </w:rPr>
              <w:t>MBBR+滤布滤池</w:t>
            </w:r>
            <w:bookmarkEnd w:id="174"/>
            <w:bookmarkEnd w:id="175"/>
          </w:p>
        </w:tc>
        <w:tc>
          <w:tcPr>
            <w:tcW w:w="1268" w:type="dxa"/>
            <w:vAlign w:val="center"/>
          </w:tcPr>
          <w:p w14:paraId="3621F4A4">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76" w:name="_Toc1853"/>
            <w:bookmarkStart w:id="177" w:name="_Toc3007"/>
            <w:r>
              <w:rPr>
                <w:rFonts w:hint="default" w:ascii="Times New Roman" w:hAnsi="Times New Roman" w:eastAsia="仿宋_GB2312" w:cs="Times New Roman"/>
                <w:b w:val="0"/>
                <w:bCs w:val="0"/>
                <w:sz w:val="24"/>
                <w:szCs w:val="24"/>
              </w:rPr>
              <w:t>350</w:t>
            </w:r>
            <w:bookmarkEnd w:id="176"/>
            <w:bookmarkEnd w:id="177"/>
          </w:p>
        </w:tc>
        <w:tc>
          <w:tcPr>
            <w:tcW w:w="1063" w:type="dxa"/>
            <w:vAlign w:val="center"/>
          </w:tcPr>
          <w:p w14:paraId="32101181">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78" w:name="_Toc17649"/>
            <w:bookmarkStart w:id="179" w:name="_Toc10220"/>
            <w:r>
              <w:rPr>
                <w:rFonts w:hint="default" w:ascii="Times New Roman" w:hAnsi="Times New Roman" w:eastAsia="仿宋_GB2312" w:cs="Times New Roman"/>
                <w:b w:val="0"/>
                <w:bCs w:val="0"/>
                <w:sz w:val="24"/>
                <w:szCs w:val="24"/>
              </w:rPr>
              <w:t>280</w:t>
            </w:r>
            <w:bookmarkEnd w:id="178"/>
            <w:bookmarkEnd w:id="179"/>
          </w:p>
        </w:tc>
        <w:tc>
          <w:tcPr>
            <w:tcW w:w="1099" w:type="dxa"/>
            <w:vAlign w:val="center"/>
          </w:tcPr>
          <w:p w14:paraId="785CECF2">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80" w:name="_Toc21504"/>
            <w:bookmarkStart w:id="181" w:name="_Toc1604"/>
            <w:r>
              <w:rPr>
                <w:rFonts w:hint="default" w:ascii="Times New Roman" w:hAnsi="Times New Roman" w:eastAsia="仿宋_GB2312" w:cs="Times New Roman"/>
                <w:b w:val="0"/>
                <w:bCs w:val="0"/>
                <w:sz w:val="24"/>
                <w:szCs w:val="24"/>
              </w:rPr>
              <w:t>85.88</w:t>
            </w:r>
            <w:bookmarkEnd w:id="180"/>
            <w:bookmarkEnd w:id="181"/>
          </w:p>
        </w:tc>
        <w:tc>
          <w:tcPr>
            <w:tcW w:w="715" w:type="dxa"/>
            <w:vAlign w:val="center"/>
          </w:tcPr>
          <w:p w14:paraId="1CDE1AF8">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82" w:name="_Toc30991"/>
            <w:bookmarkStart w:id="183" w:name="_Toc11076"/>
            <w:r>
              <w:rPr>
                <w:rFonts w:hint="default" w:ascii="Times New Roman" w:hAnsi="Times New Roman" w:eastAsia="仿宋_GB2312" w:cs="Times New Roman"/>
                <w:b w:val="0"/>
                <w:bCs w:val="0"/>
                <w:sz w:val="24"/>
                <w:szCs w:val="24"/>
              </w:rPr>
              <w:t>一级A标</w:t>
            </w:r>
            <w:bookmarkEnd w:id="182"/>
            <w:bookmarkEnd w:id="183"/>
          </w:p>
        </w:tc>
        <w:tc>
          <w:tcPr>
            <w:tcW w:w="772" w:type="dxa"/>
            <w:vAlign w:val="center"/>
          </w:tcPr>
          <w:p w14:paraId="205F49A2">
            <w:pPr>
              <w:pStyle w:val="4"/>
              <w:keepNext w:val="0"/>
              <w:keepLines w:val="0"/>
              <w:pageBreakBefore w:val="0"/>
              <w:widowControl w:val="0"/>
              <w:numPr>
                <w:ilvl w:val="0"/>
                <w:numId w:val="0"/>
              </w:numPr>
              <w:tabs>
                <w:tab w:val="clear" w:pos="3260"/>
              </w:tabs>
              <w:kinsoku/>
              <w:wordWrap/>
              <w:overflowPunct/>
              <w:topLinePunct w:val="0"/>
              <w:autoSpaceDE w:val="0"/>
              <w:autoSpaceDN w:val="0"/>
              <w:bidi w:val="0"/>
              <w:adjustRightInd/>
              <w:snapToGrid/>
              <w:spacing w:line="300" w:lineRule="exact"/>
              <w:ind w:left="0"/>
              <w:jc w:val="center"/>
              <w:textAlignment w:val="auto"/>
              <w:rPr>
                <w:rFonts w:hint="default" w:ascii="Times New Roman" w:hAnsi="Times New Roman" w:eastAsia="宋体" w:cs="Times New Roman"/>
                <w:b w:val="0"/>
                <w:bCs w:val="0"/>
                <w:sz w:val="24"/>
                <w:szCs w:val="24"/>
              </w:rPr>
            </w:pPr>
            <w:bookmarkStart w:id="184" w:name="_Toc12877"/>
            <w:bookmarkStart w:id="185" w:name="_Toc21229"/>
            <w:r>
              <w:rPr>
                <w:rFonts w:hint="default" w:ascii="Times New Roman" w:hAnsi="Times New Roman" w:eastAsia="仿宋_GB2312" w:cs="Times New Roman"/>
                <w:b w:val="0"/>
                <w:bCs w:val="0"/>
                <w:sz w:val="24"/>
                <w:szCs w:val="24"/>
              </w:rPr>
              <w:t>保石河</w:t>
            </w:r>
            <w:bookmarkEnd w:id="184"/>
            <w:bookmarkEnd w:id="185"/>
          </w:p>
        </w:tc>
      </w:tr>
    </w:tbl>
    <w:p w14:paraId="761C4A14">
      <w:pPr>
        <w:keepNext w:val="0"/>
        <w:keepLines w:val="0"/>
        <w:pageBreakBefore w:val="0"/>
        <w:widowControl w:val="0"/>
        <w:kinsoku/>
        <w:wordWrap/>
        <w:overflowPunct/>
        <w:topLinePunct w:val="0"/>
        <w:autoSpaceDE w:val="0"/>
        <w:autoSpaceDN w:val="0"/>
        <w:bidi w:val="0"/>
        <w:adjustRightInd/>
        <w:snapToGrid/>
        <w:spacing w:line="576" w:lineRule="exact"/>
        <w:ind w:firstLine="0" w:firstLineChars="0"/>
        <w:jc w:val="center"/>
        <w:textAlignment w:val="auto"/>
        <w:rPr>
          <w:rFonts w:hint="default" w:ascii="Times New Roman" w:hAnsi="Times New Roman" w:cs="Times New Roman"/>
          <w:sz w:val="32"/>
          <w:szCs w:val="32"/>
        </w:rPr>
      </w:pPr>
      <w:r>
        <w:rPr>
          <w:rFonts w:hint="default" w:ascii="Times New Roman" w:hAnsi="Times New Roman" w:eastAsia="仿宋_GB2312" w:cs="Times New Roman"/>
          <w:b/>
          <w:bCs/>
          <w:sz w:val="32"/>
          <w:szCs w:val="32"/>
        </w:rPr>
        <w:t>现状农村污水处理设施情况一览表</w:t>
      </w:r>
    </w:p>
    <w:tbl>
      <w:tblPr>
        <w:tblStyle w:val="24"/>
        <w:tblW w:w="10137" w:type="dxa"/>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419"/>
        <w:gridCol w:w="2778"/>
        <w:gridCol w:w="1500"/>
        <w:gridCol w:w="1645"/>
        <w:gridCol w:w="1912"/>
      </w:tblGrid>
      <w:tr w14:paraId="3294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Align w:val="center"/>
          </w:tcPr>
          <w:p w14:paraId="573F16D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黑体" w:cs="Times New Roman"/>
                <w:b w:val="0"/>
                <w:bCs w:val="0"/>
                <w:color w:val="auto"/>
                <w:sz w:val="24"/>
                <w:szCs w:val="24"/>
                <w:vertAlign w:val="baseline"/>
              </w:rPr>
            </w:pPr>
            <w:r>
              <w:rPr>
                <w:rFonts w:hint="default" w:ascii="Times New Roman" w:hAnsi="Times New Roman" w:eastAsia="黑体" w:cs="Times New Roman"/>
                <w:b w:val="0"/>
                <w:bCs w:val="0"/>
                <w:color w:val="auto"/>
                <w:sz w:val="24"/>
                <w:szCs w:val="24"/>
              </w:rPr>
              <w:t>乡镇</w:t>
            </w:r>
          </w:p>
        </w:tc>
        <w:tc>
          <w:tcPr>
            <w:tcW w:w="1419" w:type="dxa"/>
            <w:vAlign w:val="center"/>
          </w:tcPr>
          <w:p w14:paraId="743654A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黑体" w:cs="Times New Roman"/>
                <w:b w:val="0"/>
                <w:bCs w:val="0"/>
                <w:color w:val="auto"/>
                <w:sz w:val="24"/>
                <w:szCs w:val="24"/>
                <w:vertAlign w:val="baseline"/>
              </w:rPr>
            </w:pPr>
            <w:r>
              <w:rPr>
                <w:rFonts w:hint="default" w:ascii="Times New Roman" w:hAnsi="Times New Roman" w:eastAsia="黑体" w:cs="Times New Roman"/>
                <w:b w:val="0"/>
                <w:bCs w:val="0"/>
                <w:color w:val="auto"/>
                <w:sz w:val="24"/>
                <w:szCs w:val="24"/>
              </w:rPr>
              <w:t>行政村</w:t>
            </w:r>
          </w:p>
        </w:tc>
        <w:tc>
          <w:tcPr>
            <w:tcW w:w="2778" w:type="dxa"/>
            <w:vAlign w:val="center"/>
          </w:tcPr>
          <w:p w14:paraId="2BEA898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黑体" w:cs="Times New Roman"/>
                <w:b w:val="0"/>
                <w:bCs w:val="0"/>
                <w:color w:val="auto"/>
                <w:sz w:val="24"/>
                <w:szCs w:val="24"/>
                <w:vertAlign w:val="baseline"/>
              </w:rPr>
            </w:pPr>
            <w:r>
              <w:rPr>
                <w:rFonts w:hint="default" w:ascii="Times New Roman" w:hAnsi="Times New Roman" w:eastAsia="黑体" w:cs="Times New Roman"/>
                <w:b w:val="0"/>
                <w:bCs w:val="0"/>
                <w:color w:val="auto"/>
                <w:sz w:val="24"/>
                <w:szCs w:val="24"/>
              </w:rPr>
              <w:t>设施名称</w:t>
            </w:r>
          </w:p>
        </w:tc>
        <w:tc>
          <w:tcPr>
            <w:tcW w:w="1500" w:type="dxa"/>
            <w:vAlign w:val="center"/>
          </w:tcPr>
          <w:p w14:paraId="11D342E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黑体" w:cs="Times New Roman"/>
                <w:b w:val="0"/>
                <w:bCs w:val="0"/>
                <w:color w:val="auto"/>
                <w:sz w:val="24"/>
                <w:szCs w:val="24"/>
                <w:vertAlign w:val="baseline"/>
              </w:rPr>
            </w:pPr>
            <w:r>
              <w:rPr>
                <w:rFonts w:hint="default" w:ascii="Times New Roman" w:hAnsi="Times New Roman" w:eastAsia="黑体" w:cs="Times New Roman"/>
                <w:b w:val="0"/>
                <w:bCs w:val="0"/>
                <w:color w:val="auto"/>
                <w:sz w:val="24"/>
                <w:szCs w:val="24"/>
              </w:rPr>
              <w:t>工艺</w:t>
            </w:r>
          </w:p>
        </w:tc>
        <w:tc>
          <w:tcPr>
            <w:tcW w:w="1645" w:type="dxa"/>
            <w:vAlign w:val="center"/>
          </w:tcPr>
          <w:p w14:paraId="779C2A9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黑体" w:cs="Times New Roman"/>
                <w:b w:val="0"/>
                <w:bCs w:val="0"/>
                <w:color w:val="auto"/>
                <w:sz w:val="24"/>
                <w:szCs w:val="24"/>
                <w:vertAlign w:val="baseline"/>
              </w:rPr>
            </w:pPr>
            <w:r>
              <w:rPr>
                <w:rFonts w:hint="default" w:ascii="Times New Roman" w:hAnsi="Times New Roman" w:eastAsia="黑体" w:cs="Times New Roman"/>
                <w:b w:val="0"/>
                <w:bCs w:val="0"/>
                <w:color w:val="auto"/>
                <w:sz w:val="24"/>
                <w:szCs w:val="24"/>
              </w:rPr>
              <w:t>设计处理量（m³/d）</w:t>
            </w:r>
          </w:p>
        </w:tc>
        <w:tc>
          <w:tcPr>
            <w:tcW w:w="1912" w:type="dxa"/>
            <w:vAlign w:val="center"/>
          </w:tcPr>
          <w:p w14:paraId="7E6F901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黑体" w:cs="Times New Roman"/>
                <w:b w:val="0"/>
                <w:bCs w:val="0"/>
                <w:color w:val="auto"/>
                <w:sz w:val="24"/>
                <w:szCs w:val="24"/>
                <w:vertAlign w:val="baseline"/>
              </w:rPr>
            </w:pPr>
            <w:r>
              <w:rPr>
                <w:rFonts w:hint="default" w:ascii="Times New Roman" w:hAnsi="Times New Roman" w:eastAsia="黑体" w:cs="Times New Roman"/>
                <w:b w:val="0"/>
                <w:bCs w:val="0"/>
                <w:color w:val="auto"/>
                <w:sz w:val="24"/>
                <w:szCs w:val="24"/>
              </w:rPr>
              <w:t>实际处理量（m³/d）</w:t>
            </w:r>
          </w:p>
        </w:tc>
      </w:tr>
      <w:tr w14:paraId="57D5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restart"/>
            <w:vAlign w:val="center"/>
          </w:tcPr>
          <w:p w14:paraId="5142F07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拦江镇</w:t>
            </w:r>
          </w:p>
        </w:tc>
        <w:tc>
          <w:tcPr>
            <w:tcW w:w="1419" w:type="dxa"/>
            <w:vAlign w:val="center"/>
          </w:tcPr>
          <w:p w14:paraId="2DDC77F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会龙桥村</w:t>
            </w:r>
          </w:p>
        </w:tc>
        <w:tc>
          <w:tcPr>
            <w:tcW w:w="2778" w:type="dxa"/>
            <w:vAlign w:val="center"/>
          </w:tcPr>
          <w:p w14:paraId="759CC4E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张家湾居民聚居点污水处理站</w:t>
            </w:r>
          </w:p>
        </w:tc>
        <w:tc>
          <w:tcPr>
            <w:tcW w:w="1500" w:type="dxa"/>
            <w:vAlign w:val="center"/>
          </w:tcPr>
          <w:p w14:paraId="628E031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b w:val="0"/>
                <w:bCs w:val="0"/>
                <w:color w:val="auto"/>
                <w:sz w:val="24"/>
                <w:szCs w:val="24"/>
              </w:rPr>
              <w:t>O</w:t>
            </w:r>
          </w:p>
        </w:tc>
        <w:tc>
          <w:tcPr>
            <w:tcW w:w="1645" w:type="dxa"/>
            <w:vAlign w:val="center"/>
          </w:tcPr>
          <w:p w14:paraId="5902D20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12</w:t>
            </w:r>
          </w:p>
        </w:tc>
        <w:tc>
          <w:tcPr>
            <w:tcW w:w="1912" w:type="dxa"/>
            <w:vAlign w:val="center"/>
          </w:tcPr>
          <w:p w14:paraId="6104240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firstLine="480" w:firstLineChars="200"/>
              <w:jc w:val="center"/>
              <w:textAlignment w:val="auto"/>
              <w:rPr>
                <w:rFonts w:hint="default" w:ascii="Times New Roman" w:hAnsi="Times New Roman" w:eastAsia="宋体" w:cs="Times New Roman"/>
                <w:b w:val="0"/>
                <w:bCs w:val="0"/>
                <w:color w:val="auto"/>
                <w:sz w:val="24"/>
                <w:szCs w:val="24"/>
                <w:vertAlign w:val="baseline"/>
              </w:rPr>
            </w:pPr>
          </w:p>
        </w:tc>
      </w:tr>
      <w:tr w14:paraId="6F76D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6D3C51F6">
            <w:pPr>
              <w:keepNext w:val="0"/>
              <w:keepLines w:val="0"/>
              <w:pageBreakBefore w:val="0"/>
              <w:kinsoku/>
              <w:wordWrap/>
              <w:overflowPunct/>
              <w:topLinePunct w:val="0"/>
              <w:autoSpaceDE w:val="0"/>
              <w:autoSpaceDN w:val="0"/>
              <w:bidi w:val="0"/>
              <w:adjustRightInd/>
              <w:snapToGrid/>
              <w:spacing w:beforeAutospacing="0" w:afterAutospacing="0" w:line="380" w:lineRule="exact"/>
              <w:jc w:val="center"/>
              <w:textAlignment w:val="auto"/>
              <w:rPr>
                <w:rFonts w:hint="default" w:ascii="Times New Roman" w:hAnsi="Times New Roman" w:eastAsia="宋体" w:cs="Times New Roman"/>
                <w:b w:val="0"/>
                <w:bCs w:val="0"/>
                <w:color w:val="auto"/>
                <w:sz w:val="24"/>
                <w:szCs w:val="24"/>
                <w:vertAlign w:val="baseline"/>
              </w:rPr>
            </w:pPr>
          </w:p>
        </w:tc>
        <w:tc>
          <w:tcPr>
            <w:tcW w:w="1419" w:type="dxa"/>
            <w:vAlign w:val="center"/>
          </w:tcPr>
          <w:p w14:paraId="7406B53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洪家岩村</w:t>
            </w:r>
          </w:p>
        </w:tc>
        <w:tc>
          <w:tcPr>
            <w:tcW w:w="2778" w:type="dxa"/>
            <w:vAlign w:val="center"/>
          </w:tcPr>
          <w:p w14:paraId="5AD0A1C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幸福桥居民聚居点污水处理站</w:t>
            </w:r>
          </w:p>
        </w:tc>
        <w:tc>
          <w:tcPr>
            <w:tcW w:w="1500" w:type="dxa"/>
            <w:vAlign w:val="center"/>
          </w:tcPr>
          <w:p w14:paraId="026D6FE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b w:val="0"/>
                <w:bCs w:val="0"/>
                <w:color w:val="auto"/>
                <w:sz w:val="24"/>
                <w:szCs w:val="24"/>
              </w:rPr>
              <w:t>O</w:t>
            </w:r>
          </w:p>
        </w:tc>
        <w:tc>
          <w:tcPr>
            <w:tcW w:w="1645" w:type="dxa"/>
            <w:vAlign w:val="center"/>
          </w:tcPr>
          <w:p w14:paraId="47E8DF6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12</w:t>
            </w:r>
          </w:p>
        </w:tc>
        <w:tc>
          <w:tcPr>
            <w:tcW w:w="1912" w:type="dxa"/>
            <w:vAlign w:val="center"/>
          </w:tcPr>
          <w:p w14:paraId="0176B29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firstLine="480" w:firstLineChars="200"/>
              <w:jc w:val="center"/>
              <w:textAlignment w:val="auto"/>
              <w:rPr>
                <w:rFonts w:hint="default" w:ascii="Times New Roman" w:hAnsi="Times New Roman" w:eastAsia="宋体" w:cs="Times New Roman"/>
                <w:b w:val="0"/>
                <w:bCs w:val="0"/>
                <w:color w:val="auto"/>
                <w:sz w:val="24"/>
                <w:szCs w:val="24"/>
                <w:vertAlign w:val="baseline"/>
              </w:rPr>
            </w:pPr>
          </w:p>
        </w:tc>
      </w:tr>
      <w:tr w14:paraId="3A09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1EC0C906">
            <w:pPr>
              <w:keepNext w:val="0"/>
              <w:keepLines w:val="0"/>
              <w:pageBreakBefore w:val="0"/>
              <w:kinsoku/>
              <w:wordWrap/>
              <w:overflowPunct/>
              <w:topLinePunct w:val="0"/>
              <w:autoSpaceDE w:val="0"/>
              <w:autoSpaceDN w:val="0"/>
              <w:bidi w:val="0"/>
              <w:adjustRightInd/>
              <w:snapToGrid/>
              <w:spacing w:beforeAutospacing="0" w:afterAutospacing="0" w:line="380" w:lineRule="exact"/>
              <w:jc w:val="center"/>
              <w:textAlignment w:val="auto"/>
              <w:rPr>
                <w:rFonts w:hint="default" w:ascii="Times New Roman" w:hAnsi="Times New Roman" w:eastAsia="宋体" w:cs="Times New Roman"/>
                <w:b w:val="0"/>
                <w:bCs w:val="0"/>
                <w:color w:val="auto"/>
                <w:sz w:val="24"/>
                <w:szCs w:val="24"/>
                <w:vertAlign w:val="baseline"/>
              </w:rPr>
            </w:pPr>
          </w:p>
        </w:tc>
        <w:tc>
          <w:tcPr>
            <w:tcW w:w="1419" w:type="dxa"/>
            <w:vAlign w:val="center"/>
          </w:tcPr>
          <w:p w14:paraId="69BFB98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上沟村</w:t>
            </w:r>
          </w:p>
        </w:tc>
        <w:tc>
          <w:tcPr>
            <w:tcW w:w="2778" w:type="dxa"/>
            <w:vAlign w:val="center"/>
          </w:tcPr>
          <w:p w14:paraId="487EB5A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岔马路居民聚居点污水处理站</w:t>
            </w:r>
          </w:p>
        </w:tc>
        <w:tc>
          <w:tcPr>
            <w:tcW w:w="1500" w:type="dxa"/>
            <w:vAlign w:val="center"/>
          </w:tcPr>
          <w:p w14:paraId="5B7AFA5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b w:val="0"/>
                <w:bCs w:val="0"/>
                <w:color w:val="auto"/>
                <w:sz w:val="24"/>
                <w:szCs w:val="24"/>
              </w:rPr>
              <w:t>O</w:t>
            </w:r>
          </w:p>
        </w:tc>
        <w:tc>
          <w:tcPr>
            <w:tcW w:w="1645" w:type="dxa"/>
            <w:vAlign w:val="center"/>
          </w:tcPr>
          <w:p w14:paraId="370E2B3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10</w:t>
            </w:r>
          </w:p>
        </w:tc>
        <w:tc>
          <w:tcPr>
            <w:tcW w:w="1912" w:type="dxa"/>
            <w:vAlign w:val="center"/>
          </w:tcPr>
          <w:p w14:paraId="3BFB4D5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firstLine="480" w:firstLineChars="200"/>
              <w:jc w:val="center"/>
              <w:textAlignment w:val="auto"/>
              <w:rPr>
                <w:rFonts w:hint="default" w:ascii="Times New Roman" w:hAnsi="Times New Roman" w:eastAsia="宋体" w:cs="Times New Roman"/>
                <w:b w:val="0"/>
                <w:bCs w:val="0"/>
                <w:color w:val="auto"/>
                <w:sz w:val="24"/>
                <w:szCs w:val="24"/>
                <w:vertAlign w:val="baseline"/>
              </w:rPr>
            </w:pPr>
          </w:p>
        </w:tc>
      </w:tr>
      <w:tr w14:paraId="63632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78ADC60F">
            <w:pPr>
              <w:keepNext w:val="0"/>
              <w:keepLines w:val="0"/>
              <w:pageBreakBefore w:val="0"/>
              <w:kinsoku/>
              <w:wordWrap/>
              <w:overflowPunct/>
              <w:topLinePunct w:val="0"/>
              <w:autoSpaceDE w:val="0"/>
              <w:autoSpaceDN w:val="0"/>
              <w:bidi w:val="0"/>
              <w:adjustRightInd/>
              <w:snapToGrid/>
              <w:spacing w:beforeAutospacing="0" w:afterAutospacing="0" w:line="380" w:lineRule="exact"/>
              <w:jc w:val="center"/>
              <w:textAlignment w:val="auto"/>
              <w:rPr>
                <w:rFonts w:hint="default" w:ascii="Times New Roman" w:hAnsi="Times New Roman" w:eastAsia="宋体" w:cs="Times New Roman"/>
                <w:b w:val="0"/>
                <w:bCs w:val="0"/>
                <w:color w:val="auto"/>
                <w:sz w:val="24"/>
                <w:szCs w:val="24"/>
                <w:vertAlign w:val="baseline"/>
              </w:rPr>
            </w:pPr>
          </w:p>
        </w:tc>
        <w:tc>
          <w:tcPr>
            <w:tcW w:w="1419" w:type="dxa"/>
            <w:vAlign w:val="center"/>
          </w:tcPr>
          <w:p w14:paraId="16C5EE3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柏林村</w:t>
            </w:r>
          </w:p>
        </w:tc>
        <w:tc>
          <w:tcPr>
            <w:tcW w:w="2778" w:type="dxa"/>
            <w:vAlign w:val="center"/>
          </w:tcPr>
          <w:p w14:paraId="39343D7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柏林居民聚居点污水处理站</w:t>
            </w:r>
          </w:p>
        </w:tc>
        <w:tc>
          <w:tcPr>
            <w:tcW w:w="1500" w:type="dxa"/>
            <w:vAlign w:val="center"/>
          </w:tcPr>
          <w:p w14:paraId="5236F68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b w:val="0"/>
                <w:bCs w:val="0"/>
                <w:color w:val="auto"/>
                <w:sz w:val="24"/>
                <w:szCs w:val="24"/>
              </w:rPr>
              <w:t>O</w:t>
            </w:r>
          </w:p>
        </w:tc>
        <w:tc>
          <w:tcPr>
            <w:tcW w:w="1645" w:type="dxa"/>
            <w:vAlign w:val="center"/>
          </w:tcPr>
          <w:p w14:paraId="28D481E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20</w:t>
            </w:r>
          </w:p>
        </w:tc>
        <w:tc>
          <w:tcPr>
            <w:tcW w:w="1912" w:type="dxa"/>
            <w:vAlign w:val="center"/>
          </w:tcPr>
          <w:p w14:paraId="0D72789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firstLine="480" w:firstLineChars="200"/>
              <w:jc w:val="center"/>
              <w:textAlignment w:val="auto"/>
              <w:rPr>
                <w:rFonts w:hint="default" w:ascii="Times New Roman" w:hAnsi="Times New Roman" w:eastAsia="宋体" w:cs="Times New Roman"/>
                <w:b w:val="0"/>
                <w:bCs w:val="0"/>
                <w:color w:val="auto"/>
                <w:sz w:val="24"/>
                <w:szCs w:val="24"/>
                <w:vertAlign w:val="baseline"/>
              </w:rPr>
            </w:pPr>
          </w:p>
        </w:tc>
      </w:tr>
      <w:tr w14:paraId="4D53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3C5D61AE">
            <w:pPr>
              <w:keepNext w:val="0"/>
              <w:keepLines w:val="0"/>
              <w:pageBreakBefore w:val="0"/>
              <w:kinsoku/>
              <w:wordWrap/>
              <w:overflowPunct/>
              <w:topLinePunct w:val="0"/>
              <w:autoSpaceDE w:val="0"/>
              <w:autoSpaceDN w:val="0"/>
              <w:bidi w:val="0"/>
              <w:adjustRightInd/>
              <w:snapToGrid/>
              <w:spacing w:beforeAutospacing="0" w:afterAutospacing="0" w:line="380" w:lineRule="exact"/>
              <w:jc w:val="center"/>
              <w:textAlignment w:val="auto"/>
              <w:rPr>
                <w:rFonts w:hint="default" w:ascii="Times New Roman" w:hAnsi="Times New Roman" w:eastAsia="宋体" w:cs="Times New Roman"/>
                <w:b w:val="0"/>
                <w:bCs w:val="0"/>
                <w:color w:val="auto"/>
                <w:sz w:val="24"/>
                <w:szCs w:val="24"/>
                <w:vertAlign w:val="baseline"/>
              </w:rPr>
            </w:pPr>
          </w:p>
        </w:tc>
        <w:tc>
          <w:tcPr>
            <w:tcW w:w="1419" w:type="dxa"/>
            <w:vAlign w:val="center"/>
          </w:tcPr>
          <w:p w14:paraId="2392445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马河嘴村</w:t>
            </w:r>
          </w:p>
        </w:tc>
        <w:tc>
          <w:tcPr>
            <w:tcW w:w="2778" w:type="dxa"/>
            <w:vAlign w:val="center"/>
          </w:tcPr>
          <w:p w14:paraId="5F57DBF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马河居民聚居点污水处理站</w:t>
            </w:r>
          </w:p>
        </w:tc>
        <w:tc>
          <w:tcPr>
            <w:tcW w:w="1500" w:type="dxa"/>
            <w:vAlign w:val="center"/>
          </w:tcPr>
          <w:p w14:paraId="26DDF9A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b w:val="0"/>
                <w:bCs w:val="0"/>
                <w:color w:val="auto"/>
                <w:sz w:val="24"/>
                <w:szCs w:val="24"/>
              </w:rPr>
              <w:t>O</w:t>
            </w:r>
          </w:p>
        </w:tc>
        <w:tc>
          <w:tcPr>
            <w:tcW w:w="1645" w:type="dxa"/>
            <w:vAlign w:val="center"/>
          </w:tcPr>
          <w:p w14:paraId="55874BA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70</w:t>
            </w:r>
          </w:p>
        </w:tc>
        <w:tc>
          <w:tcPr>
            <w:tcW w:w="1912" w:type="dxa"/>
            <w:vAlign w:val="center"/>
          </w:tcPr>
          <w:p w14:paraId="71BE67C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firstLine="480" w:firstLineChars="200"/>
              <w:jc w:val="center"/>
              <w:textAlignment w:val="auto"/>
              <w:rPr>
                <w:rFonts w:hint="default" w:ascii="Times New Roman" w:hAnsi="Times New Roman" w:eastAsia="宋体" w:cs="Times New Roman"/>
                <w:b w:val="0"/>
                <w:bCs w:val="0"/>
                <w:color w:val="auto"/>
                <w:sz w:val="24"/>
                <w:szCs w:val="24"/>
                <w:vertAlign w:val="baseline"/>
              </w:rPr>
            </w:pPr>
          </w:p>
        </w:tc>
      </w:tr>
      <w:tr w14:paraId="2F401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1856C0F0">
            <w:pPr>
              <w:keepNext w:val="0"/>
              <w:keepLines w:val="0"/>
              <w:pageBreakBefore w:val="0"/>
              <w:kinsoku/>
              <w:wordWrap/>
              <w:overflowPunct/>
              <w:topLinePunct w:val="0"/>
              <w:autoSpaceDE w:val="0"/>
              <w:autoSpaceDN w:val="0"/>
              <w:bidi w:val="0"/>
              <w:adjustRightInd/>
              <w:snapToGrid/>
              <w:spacing w:beforeAutospacing="0" w:afterAutospacing="0" w:line="380" w:lineRule="exact"/>
              <w:jc w:val="center"/>
              <w:textAlignment w:val="auto"/>
              <w:rPr>
                <w:rFonts w:hint="default" w:ascii="Times New Roman" w:hAnsi="Times New Roman" w:eastAsia="宋体" w:cs="Times New Roman"/>
                <w:b w:val="0"/>
                <w:bCs w:val="0"/>
                <w:color w:val="auto"/>
                <w:sz w:val="24"/>
                <w:szCs w:val="24"/>
                <w:vertAlign w:val="baseline"/>
              </w:rPr>
            </w:pPr>
          </w:p>
        </w:tc>
        <w:tc>
          <w:tcPr>
            <w:tcW w:w="1419" w:type="dxa"/>
            <w:vAlign w:val="center"/>
          </w:tcPr>
          <w:p w14:paraId="7AF4915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广福村</w:t>
            </w:r>
          </w:p>
        </w:tc>
        <w:tc>
          <w:tcPr>
            <w:tcW w:w="2778" w:type="dxa"/>
            <w:vAlign w:val="center"/>
          </w:tcPr>
          <w:p w14:paraId="0E369B2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广福居民聚居点污水处理站</w:t>
            </w:r>
          </w:p>
        </w:tc>
        <w:tc>
          <w:tcPr>
            <w:tcW w:w="1500" w:type="dxa"/>
            <w:vAlign w:val="center"/>
          </w:tcPr>
          <w:p w14:paraId="061B8EC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b w:val="0"/>
                <w:bCs w:val="0"/>
                <w:color w:val="auto"/>
                <w:sz w:val="24"/>
                <w:szCs w:val="24"/>
              </w:rPr>
              <w:t>O</w:t>
            </w:r>
          </w:p>
        </w:tc>
        <w:tc>
          <w:tcPr>
            <w:tcW w:w="1645" w:type="dxa"/>
            <w:vAlign w:val="center"/>
          </w:tcPr>
          <w:p w14:paraId="1EF1382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50</w:t>
            </w:r>
          </w:p>
        </w:tc>
        <w:tc>
          <w:tcPr>
            <w:tcW w:w="1912" w:type="dxa"/>
            <w:vAlign w:val="center"/>
          </w:tcPr>
          <w:p w14:paraId="15529C4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firstLine="480" w:firstLineChars="200"/>
              <w:jc w:val="center"/>
              <w:textAlignment w:val="auto"/>
              <w:rPr>
                <w:rFonts w:hint="default" w:ascii="Times New Roman" w:hAnsi="Times New Roman" w:eastAsia="宋体" w:cs="Times New Roman"/>
                <w:b w:val="0"/>
                <w:bCs w:val="0"/>
                <w:color w:val="auto"/>
                <w:sz w:val="24"/>
                <w:szCs w:val="24"/>
                <w:vertAlign w:val="baseline"/>
              </w:rPr>
            </w:pPr>
          </w:p>
        </w:tc>
      </w:tr>
      <w:tr w14:paraId="7F1E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20E93428">
            <w:pPr>
              <w:keepNext w:val="0"/>
              <w:keepLines w:val="0"/>
              <w:pageBreakBefore w:val="0"/>
              <w:kinsoku/>
              <w:wordWrap/>
              <w:overflowPunct/>
              <w:topLinePunct w:val="0"/>
              <w:autoSpaceDE w:val="0"/>
              <w:autoSpaceDN w:val="0"/>
              <w:bidi w:val="0"/>
              <w:adjustRightInd/>
              <w:snapToGrid/>
              <w:spacing w:beforeAutospacing="0" w:afterAutospacing="0" w:line="380" w:lineRule="exact"/>
              <w:jc w:val="center"/>
              <w:textAlignment w:val="auto"/>
              <w:rPr>
                <w:rFonts w:hint="default" w:ascii="Times New Roman" w:hAnsi="Times New Roman" w:eastAsia="宋体" w:cs="Times New Roman"/>
                <w:b w:val="0"/>
                <w:bCs w:val="0"/>
                <w:color w:val="auto"/>
                <w:sz w:val="24"/>
                <w:szCs w:val="24"/>
                <w:vertAlign w:val="baseline"/>
              </w:rPr>
            </w:pPr>
          </w:p>
        </w:tc>
        <w:tc>
          <w:tcPr>
            <w:tcW w:w="1419" w:type="dxa"/>
            <w:vAlign w:val="center"/>
          </w:tcPr>
          <w:p w14:paraId="0C82602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莲花村</w:t>
            </w:r>
          </w:p>
        </w:tc>
        <w:tc>
          <w:tcPr>
            <w:tcW w:w="2778" w:type="dxa"/>
            <w:vAlign w:val="center"/>
          </w:tcPr>
          <w:p w14:paraId="369E442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莲花污水处理厂</w:t>
            </w:r>
          </w:p>
        </w:tc>
        <w:tc>
          <w:tcPr>
            <w:tcW w:w="1500" w:type="dxa"/>
            <w:vAlign w:val="center"/>
          </w:tcPr>
          <w:p w14:paraId="1AB5090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AO+滤布滤池</w:t>
            </w:r>
          </w:p>
        </w:tc>
        <w:tc>
          <w:tcPr>
            <w:tcW w:w="1645" w:type="dxa"/>
            <w:vAlign w:val="center"/>
          </w:tcPr>
          <w:p w14:paraId="2D7A4DC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140</w:t>
            </w:r>
          </w:p>
        </w:tc>
        <w:tc>
          <w:tcPr>
            <w:tcW w:w="1912" w:type="dxa"/>
            <w:vAlign w:val="center"/>
          </w:tcPr>
          <w:p w14:paraId="67843C5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80</w:t>
            </w:r>
          </w:p>
        </w:tc>
      </w:tr>
      <w:tr w14:paraId="599A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restart"/>
            <w:vAlign w:val="center"/>
          </w:tcPr>
          <w:p w14:paraId="326800A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both"/>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白马镇</w:t>
            </w:r>
          </w:p>
        </w:tc>
        <w:tc>
          <w:tcPr>
            <w:tcW w:w="1419" w:type="dxa"/>
            <w:vAlign w:val="center"/>
          </w:tcPr>
          <w:p w14:paraId="2F83D7D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炭洞子村</w:t>
            </w:r>
          </w:p>
        </w:tc>
        <w:tc>
          <w:tcPr>
            <w:tcW w:w="2778" w:type="dxa"/>
            <w:vAlign w:val="center"/>
          </w:tcPr>
          <w:p w14:paraId="22A2624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步云污水处理厂</w:t>
            </w:r>
          </w:p>
        </w:tc>
        <w:tc>
          <w:tcPr>
            <w:tcW w:w="1500" w:type="dxa"/>
            <w:vAlign w:val="center"/>
          </w:tcPr>
          <w:p w14:paraId="37369FD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厌氧+缺氧+MBBR+MBR</w:t>
            </w:r>
          </w:p>
        </w:tc>
        <w:tc>
          <w:tcPr>
            <w:tcW w:w="1645" w:type="dxa"/>
            <w:vAlign w:val="center"/>
          </w:tcPr>
          <w:p w14:paraId="5C0B95F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150</w:t>
            </w:r>
          </w:p>
        </w:tc>
        <w:tc>
          <w:tcPr>
            <w:tcW w:w="1912" w:type="dxa"/>
            <w:vAlign w:val="center"/>
          </w:tcPr>
          <w:p w14:paraId="0007DC8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80</w:t>
            </w:r>
          </w:p>
        </w:tc>
      </w:tr>
      <w:tr w14:paraId="5D4B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77F823AC">
            <w:pPr>
              <w:keepNext w:val="0"/>
              <w:keepLines w:val="0"/>
              <w:pageBreakBefore w:val="0"/>
              <w:kinsoku/>
              <w:wordWrap/>
              <w:overflowPunct/>
              <w:topLinePunct w:val="0"/>
              <w:autoSpaceDE w:val="0"/>
              <w:autoSpaceDN w:val="0"/>
              <w:bidi w:val="0"/>
              <w:adjustRightInd/>
              <w:snapToGrid/>
              <w:spacing w:beforeAutospacing="0" w:afterAutospacing="0" w:line="380" w:lineRule="exact"/>
              <w:jc w:val="center"/>
              <w:textAlignment w:val="auto"/>
              <w:rPr>
                <w:rFonts w:hint="default" w:ascii="Times New Roman" w:hAnsi="Times New Roman" w:eastAsia="宋体" w:cs="Times New Roman"/>
                <w:b w:val="0"/>
                <w:bCs w:val="0"/>
                <w:color w:val="auto"/>
                <w:sz w:val="24"/>
                <w:szCs w:val="24"/>
                <w:vertAlign w:val="baseline"/>
              </w:rPr>
            </w:pPr>
          </w:p>
        </w:tc>
        <w:tc>
          <w:tcPr>
            <w:tcW w:w="1419" w:type="dxa"/>
            <w:vAlign w:val="center"/>
          </w:tcPr>
          <w:p w14:paraId="4DA4F6E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毗庐寺村</w:t>
            </w:r>
          </w:p>
        </w:tc>
        <w:tc>
          <w:tcPr>
            <w:tcW w:w="2778" w:type="dxa"/>
            <w:vAlign w:val="center"/>
          </w:tcPr>
          <w:p w14:paraId="4BA3994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解放场镇居民聚居点污水处理站</w:t>
            </w:r>
          </w:p>
        </w:tc>
        <w:tc>
          <w:tcPr>
            <w:tcW w:w="1500" w:type="dxa"/>
            <w:vAlign w:val="center"/>
          </w:tcPr>
          <w:p w14:paraId="719B443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b w:val="0"/>
                <w:bCs w:val="0"/>
                <w:color w:val="auto"/>
                <w:sz w:val="24"/>
                <w:szCs w:val="24"/>
              </w:rPr>
              <w:t>O</w:t>
            </w:r>
          </w:p>
        </w:tc>
        <w:tc>
          <w:tcPr>
            <w:tcW w:w="1645" w:type="dxa"/>
            <w:vAlign w:val="center"/>
          </w:tcPr>
          <w:p w14:paraId="643B72A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100</w:t>
            </w:r>
          </w:p>
        </w:tc>
        <w:tc>
          <w:tcPr>
            <w:tcW w:w="1912" w:type="dxa"/>
            <w:vAlign w:val="center"/>
          </w:tcPr>
          <w:p w14:paraId="3CD8307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50</w:t>
            </w:r>
          </w:p>
        </w:tc>
      </w:tr>
      <w:tr w14:paraId="44840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5DA7B4BA">
            <w:pPr>
              <w:keepNext w:val="0"/>
              <w:keepLines w:val="0"/>
              <w:pageBreakBefore w:val="0"/>
              <w:kinsoku/>
              <w:wordWrap/>
              <w:overflowPunct/>
              <w:topLinePunct w:val="0"/>
              <w:autoSpaceDE w:val="0"/>
              <w:autoSpaceDN w:val="0"/>
              <w:bidi w:val="0"/>
              <w:adjustRightInd/>
              <w:snapToGrid/>
              <w:spacing w:beforeAutospacing="0" w:afterAutospacing="0" w:line="380" w:lineRule="exact"/>
              <w:jc w:val="center"/>
              <w:textAlignment w:val="auto"/>
              <w:rPr>
                <w:rFonts w:hint="default" w:ascii="Times New Roman" w:hAnsi="Times New Roman" w:eastAsia="宋体" w:cs="Times New Roman"/>
                <w:b w:val="0"/>
                <w:bCs w:val="0"/>
                <w:color w:val="auto"/>
                <w:sz w:val="24"/>
                <w:szCs w:val="24"/>
                <w:vertAlign w:val="baseline"/>
              </w:rPr>
            </w:pPr>
          </w:p>
        </w:tc>
        <w:tc>
          <w:tcPr>
            <w:tcW w:w="1419" w:type="dxa"/>
            <w:vAlign w:val="center"/>
          </w:tcPr>
          <w:p w14:paraId="4B25C98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四方井村</w:t>
            </w:r>
          </w:p>
        </w:tc>
        <w:tc>
          <w:tcPr>
            <w:tcW w:w="2778" w:type="dxa"/>
            <w:vAlign w:val="center"/>
          </w:tcPr>
          <w:p w14:paraId="1730F29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平宁场镇居民聚居点污水处理站</w:t>
            </w:r>
          </w:p>
        </w:tc>
        <w:tc>
          <w:tcPr>
            <w:tcW w:w="1500" w:type="dxa"/>
            <w:vAlign w:val="center"/>
          </w:tcPr>
          <w:p w14:paraId="47B5DA3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b w:val="0"/>
                <w:bCs w:val="0"/>
                <w:color w:val="auto"/>
                <w:sz w:val="24"/>
                <w:szCs w:val="24"/>
              </w:rPr>
              <w:t>O</w:t>
            </w:r>
          </w:p>
        </w:tc>
        <w:tc>
          <w:tcPr>
            <w:tcW w:w="1645" w:type="dxa"/>
            <w:vAlign w:val="center"/>
          </w:tcPr>
          <w:p w14:paraId="258835A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1#100</w:t>
            </w:r>
            <w:r>
              <w:rPr>
                <w:rFonts w:hint="default" w:ascii="Times New Roman" w:hAnsi="Times New Roman" w:eastAsia="仿宋_GB2312" w:cs="Times New Roman"/>
                <w:b w:val="0"/>
                <w:bCs w:val="0"/>
                <w:color w:val="auto"/>
                <w:sz w:val="24"/>
                <w:szCs w:val="24"/>
                <w:lang w:eastAsia="zh-CN"/>
              </w:rPr>
              <w:t>；</w:t>
            </w:r>
            <w:r>
              <w:rPr>
                <w:rFonts w:hint="default" w:ascii="Times New Roman" w:hAnsi="Times New Roman" w:eastAsia="仿宋_GB2312" w:cs="Times New Roman"/>
                <w:b w:val="0"/>
                <w:bCs w:val="0"/>
                <w:color w:val="auto"/>
                <w:sz w:val="24"/>
                <w:szCs w:val="24"/>
              </w:rPr>
              <w:t>2#100</w:t>
            </w:r>
          </w:p>
        </w:tc>
        <w:tc>
          <w:tcPr>
            <w:tcW w:w="1912" w:type="dxa"/>
            <w:vAlign w:val="center"/>
          </w:tcPr>
          <w:p w14:paraId="21CE7DA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40</w:t>
            </w:r>
          </w:p>
        </w:tc>
      </w:tr>
      <w:tr w14:paraId="759DB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4A30BD9F">
            <w:pPr>
              <w:keepNext w:val="0"/>
              <w:keepLines w:val="0"/>
              <w:pageBreakBefore w:val="0"/>
              <w:kinsoku/>
              <w:wordWrap/>
              <w:overflowPunct/>
              <w:topLinePunct w:val="0"/>
              <w:autoSpaceDE w:val="0"/>
              <w:autoSpaceDN w:val="0"/>
              <w:bidi w:val="0"/>
              <w:adjustRightInd/>
              <w:snapToGrid/>
              <w:spacing w:beforeAutospacing="0" w:afterAutospacing="0" w:line="380" w:lineRule="exact"/>
              <w:jc w:val="center"/>
              <w:textAlignment w:val="auto"/>
              <w:rPr>
                <w:rFonts w:hint="default" w:ascii="Times New Roman" w:hAnsi="Times New Roman" w:eastAsia="宋体" w:cs="Times New Roman"/>
                <w:b w:val="0"/>
                <w:bCs w:val="0"/>
                <w:color w:val="auto"/>
                <w:sz w:val="24"/>
                <w:szCs w:val="24"/>
                <w:vertAlign w:val="baseline"/>
              </w:rPr>
            </w:pPr>
          </w:p>
        </w:tc>
        <w:tc>
          <w:tcPr>
            <w:tcW w:w="1419" w:type="dxa"/>
            <w:vAlign w:val="center"/>
          </w:tcPr>
          <w:p w14:paraId="0195266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黄桶坡村</w:t>
            </w:r>
          </w:p>
        </w:tc>
        <w:tc>
          <w:tcPr>
            <w:tcW w:w="2778" w:type="dxa"/>
            <w:vAlign w:val="center"/>
          </w:tcPr>
          <w:p w14:paraId="1439BFB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白马镇黄桶坡村人工湿地</w:t>
            </w:r>
          </w:p>
        </w:tc>
        <w:tc>
          <w:tcPr>
            <w:tcW w:w="1500" w:type="dxa"/>
            <w:vAlign w:val="center"/>
          </w:tcPr>
          <w:p w14:paraId="5A41094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厌氧+人工湿地</w:t>
            </w:r>
          </w:p>
        </w:tc>
        <w:tc>
          <w:tcPr>
            <w:tcW w:w="1645" w:type="dxa"/>
            <w:vAlign w:val="center"/>
          </w:tcPr>
          <w:p w14:paraId="5AE73CA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30</w:t>
            </w:r>
          </w:p>
        </w:tc>
        <w:tc>
          <w:tcPr>
            <w:tcW w:w="1912" w:type="dxa"/>
            <w:vAlign w:val="center"/>
          </w:tcPr>
          <w:p w14:paraId="24D4D7C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20</w:t>
            </w:r>
          </w:p>
        </w:tc>
      </w:tr>
      <w:tr w14:paraId="61E68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restart"/>
            <w:vAlign w:val="center"/>
          </w:tcPr>
          <w:p w14:paraId="5CCBF56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both"/>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保石镇</w:t>
            </w:r>
          </w:p>
        </w:tc>
        <w:tc>
          <w:tcPr>
            <w:tcW w:w="1419" w:type="dxa"/>
            <w:vAlign w:val="center"/>
          </w:tcPr>
          <w:p w14:paraId="429B1D8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石湾村</w:t>
            </w:r>
          </w:p>
        </w:tc>
        <w:tc>
          <w:tcPr>
            <w:tcW w:w="2778" w:type="dxa"/>
            <w:vAlign w:val="center"/>
          </w:tcPr>
          <w:p w14:paraId="67C692B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石湾新村居民聚居点污水处理站</w:t>
            </w:r>
          </w:p>
        </w:tc>
        <w:tc>
          <w:tcPr>
            <w:tcW w:w="1500" w:type="dxa"/>
            <w:vAlign w:val="center"/>
          </w:tcPr>
          <w:p w14:paraId="16BD148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b w:val="0"/>
                <w:bCs w:val="0"/>
                <w:color w:val="auto"/>
                <w:sz w:val="24"/>
                <w:szCs w:val="24"/>
              </w:rPr>
              <w:t>O</w:t>
            </w:r>
          </w:p>
        </w:tc>
        <w:tc>
          <w:tcPr>
            <w:tcW w:w="1645" w:type="dxa"/>
            <w:vAlign w:val="center"/>
          </w:tcPr>
          <w:p w14:paraId="0430A66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30</w:t>
            </w:r>
          </w:p>
        </w:tc>
        <w:tc>
          <w:tcPr>
            <w:tcW w:w="1912" w:type="dxa"/>
            <w:vAlign w:val="center"/>
          </w:tcPr>
          <w:p w14:paraId="6CE3E8D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firstLine="480" w:firstLineChars="200"/>
              <w:jc w:val="center"/>
              <w:textAlignment w:val="auto"/>
              <w:rPr>
                <w:rFonts w:hint="default" w:ascii="Times New Roman" w:hAnsi="Times New Roman" w:eastAsia="宋体" w:cs="Times New Roman"/>
                <w:b w:val="0"/>
                <w:bCs w:val="0"/>
                <w:color w:val="auto"/>
                <w:sz w:val="24"/>
                <w:szCs w:val="24"/>
                <w:vertAlign w:val="baseline"/>
              </w:rPr>
            </w:pPr>
          </w:p>
        </w:tc>
      </w:tr>
      <w:tr w14:paraId="5F734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57764EAA">
            <w:pPr>
              <w:keepNext w:val="0"/>
              <w:keepLines w:val="0"/>
              <w:pageBreakBefore w:val="0"/>
              <w:kinsoku/>
              <w:wordWrap/>
              <w:overflowPunct/>
              <w:topLinePunct w:val="0"/>
              <w:autoSpaceDE w:val="0"/>
              <w:autoSpaceDN w:val="0"/>
              <w:bidi w:val="0"/>
              <w:adjustRightInd/>
              <w:snapToGrid/>
              <w:spacing w:beforeAutospacing="0" w:afterAutospacing="0" w:line="380" w:lineRule="exact"/>
              <w:jc w:val="center"/>
              <w:textAlignment w:val="auto"/>
              <w:rPr>
                <w:rFonts w:hint="default" w:ascii="Times New Roman" w:hAnsi="Times New Roman" w:eastAsia="宋体" w:cs="Times New Roman"/>
                <w:b w:val="0"/>
                <w:bCs w:val="0"/>
                <w:color w:val="auto"/>
                <w:sz w:val="24"/>
                <w:szCs w:val="24"/>
                <w:vertAlign w:val="baseline"/>
              </w:rPr>
            </w:pPr>
          </w:p>
        </w:tc>
        <w:tc>
          <w:tcPr>
            <w:tcW w:w="1419" w:type="dxa"/>
            <w:vAlign w:val="center"/>
          </w:tcPr>
          <w:p w14:paraId="48CF13D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水井村</w:t>
            </w:r>
          </w:p>
        </w:tc>
        <w:tc>
          <w:tcPr>
            <w:tcW w:w="2778" w:type="dxa"/>
            <w:vAlign w:val="center"/>
          </w:tcPr>
          <w:p w14:paraId="30676D4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水井居民聚居点污水处理站</w:t>
            </w:r>
          </w:p>
        </w:tc>
        <w:tc>
          <w:tcPr>
            <w:tcW w:w="1500" w:type="dxa"/>
            <w:vAlign w:val="center"/>
          </w:tcPr>
          <w:p w14:paraId="50F68AD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b w:val="0"/>
                <w:bCs w:val="0"/>
                <w:color w:val="auto"/>
                <w:sz w:val="24"/>
                <w:szCs w:val="24"/>
              </w:rPr>
              <w:t>O</w:t>
            </w:r>
          </w:p>
        </w:tc>
        <w:tc>
          <w:tcPr>
            <w:tcW w:w="1645" w:type="dxa"/>
            <w:vAlign w:val="center"/>
          </w:tcPr>
          <w:p w14:paraId="0AF9E69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300</w:t>
            </w:r>
          </w:p>
        </w:tc>
        <w:tc>
          <w:tcPr>
            <w:tcW w:w="1912" w:type="dxa"/>
            <w:vAlign w:val="center"/>
          </w:tcPr>
          <w:p w14:paraId="2CDDAEB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160</w:t>
            </w:r>
          </w:p>
        </w:tc>
      </w:tr>
      <w:tr w14:paraId="0849F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16D78B07">
            <w:pPr>
              <w:keepNext w:val="0"/>
              <w:keepLines w:val="0"/>
              <w:pageBreakBefore w:val="0"/>
              <w:kinsoku/>
              <w:wordWrap/>
              <w:overflowPunct/>
              <w:topLinePunct w:val="0"/>
              <w:autoSpaceDE w:val="0"/>
              <w:autoSpaceDN w:val="0"/>
              <w:bidi w:val="0"/>
              <w:adjustRightInd/>
              <w:snapToGrid/>
              <w:spacing w:beforeAutospacing="0" w:afterAutospacing="0" w:line="380" w:lineRule="exact"/>
              <w:jc w:val="center"/>
              <w:textAlignment w:val="auto"/>
              <w:rPr>
                <w:rFonts w:hint="default" w:ascii="Times New Roman" w:hAnsi="Times New Roman" w:eastAsia="宋体" w:cs="Times New Roman"/>
                <w:b w:val="0"/>
                <w:bCs w:val="0"/>
                <w:color w:val="auto"/>
                <w:sz w:val="24"/>
                <w:szCs w:val="24"/>
                <w:vertAlign w:val="baseline"/>
              </w:rPr>
            </w:pPr>
          </w:p>
        </w:tc>
        <w:tc>
          <w:tcPr>
            <w:tcW w:w="1419" w:type="dxa"/>
            <w:vAlign w:val="center"/>
          </w:tcPr>
          <w:p w14:paraId="6E11B07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水井村</w:t>
            </w:r>
          </w:p>
        </w:tc>
        <w:tc>
          <w:tcPr>
            <w:tcW w:w="2778" w:type="dxa"/>
            <w:vAlign w:val="center"/>
          </w:tcPr>
          <w:p w14:paraId="253D10A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保石镇海棠村人工湿地</w:t>
            </w:r>
          </w:p>
        </w:tc>
        <w:tc>
          <w:tcPr>
            <w:tcW w:w="1500" w:type="dxa"/>
            <w:vAlign w:val="center"/>
          </w:tcPr>
          <w:p w14:paraId="4BD3CEE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厌氧+人工湿地</w:t>
            </w:r>
          </w:p>
        </w:tc>
        <w:tc>
          <w:tcPr>
            <w:tcW w:w="1645" w:type="dxa"/>
            <w:vAlign w:val="center"/>
          </w:tcPr>
          <w:p w14:paraId="426F100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10</w:t>
            </w:r>
          </w:p>
        </w:tc>
        <w:tc>
          <w:tcPr>
            <w:tcW w:w="1912" w:type="dxa"/>
            <w:vAlign w:val="center"/>
          </w:tcPr>
          <w:p w14:paraId="0607EF6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仿宋_GB2312" w:cs="Times New Roman"/>
                <w:b w:val="0"/>
                <w:bCs w:val="0"/>
                <w:color w:val="auto"/>
                <w:sz w:val="24"/>
                <w:szCs w:val="24"/>
              </w:rPr>
              <w:t>8</w:t>
            </w:r>
          </w:p>
        </w:tc>
      </w:tr>
    </w:tbl>
    <w:p w14:paraId="1A8BEB55">
      <w:pPr>
        <w:pStyle w:val="12"/>
        <w:spacing w:before="2" w:afterLines="10" w:line="720" w:lineRule="auto"/>
        <w:ind w:right="374"/>
        <w:outlineLvl w:val="9"/>
        <w:rPr>
          <w:rFonts w:hint="default" w:ascii="Times New Roman" w:hAnsi="Times New Roman" w:eastAsia="仿宋_GB2312" w:cs="Times New Roman"/>
          <w:b/>
          <w:bCs/>
          <w:sz w:val="30"/>
          <w:szCs w:val="30"/>
          <w:lang w:val="en-US" w:eastAsia="zh-CN" w:bidi="zh-CN"/>
        </w:rPr>
      </w:pPr>
    </w:p>
    <w:p w14:paraId="56DA55C4">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bidi="zh-CN"/>
        </w:rPr>
      </w:pPr>
      <w:bookmarkStart w:id="186" w:name="_Toc23395"/>
      <w:r>
        <w:rPr>
          <w:rFonts w:hint="default" w:ascii="Times New Roman" w:hAnsi="Times New Roman" w:eastAsia="黑体" w:cs="Times New Roman"/>
          <w:b w:val="0"/>
          <w:bCs w:val="0"/>
          <w:sz w:val="32"/>
          <w:szCs w:val="32"/>
          <w:lang w:val="en-US" w:eastAsia="zh-CN" w:bidi="zh-CN"/>
        </w:rPr>
        <w:t>4.4琼江生态种养片区现状情况</w:t>
      </w:r>
      <w:bookmarkEnd w:id="186"/>
    </w:p>
    <w:p w14:paraId="70EC0CA3">
      <w:pPr>
        <w:keepNext w:val="0"/>
        <w:keepLines w:val="0"/>
        <w:pageBreakBefore w:val="0"/>
        <w:widowControl w:val="0"/>
        <w:kinsoku/>
        <w:wordWrap/>
        <w:overflowPunct/>
        <w:topLinePunct w:val="0"/>
        <w:autoSpaceDE w:val="0"/>
        <w:autoSpaceDN w:val="0"/>
        <w:bidi w:val="0"/>
        <w:adjustRightInd/>
        <w:snapToGrid/>
        <w:spacing w:line="576" w:lineRule="exact"/>
        <w:ind w:right="0" w:firstLine="48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镇区均建有污水处理厂，且已完成提标改造，出水水质执行一级A标。各镇均已建雨污水管网，但雨水管网建设滞后，雨污分流不彻底。整个片区有5个村已建有集中污水处理设施，主要为小型污水处理站及人工湿地。其他农户污水排入三格式化粪池或直接排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东禅镇有4个村部分污水排入污水集中收集系统；石洞镇有5个村部分污水排入污水集中收集系统；分水镇有6个村部分污水排入污水集中收集系统；雨季时部分雨水会进入市政污水管网，导致污水处理厂超负荷运行。</w:t>
      </w:r>
    </w:p>
    <w:p w14:paraId="1CD4E1E8">
      <w:pPr>
        <w:keepNext w:val="0"/>
        <w:keepLines w:val="0"/>
        <w:pageBreakBefore w:val="0"/>
        <w:widowControl w:val="0"/>
        <w:kinsoku/>
        <w:wordWrap/>
        <w:overflowPunct/>
        <w:topLinePunct w:val="0"/>
        <w:autoSpaceDE w:val="0"/>
        <w:autoSpaceDN w:val="0"/>
        <w:bidi w:val="0"/>
        <w:adjustRightInd/>
        <w:snapToGrid/>
        <w:spacing w:line="576" w:lineRule="exact"/>
        <w:ind w:right="0" w:firstLine="0" w:firstLineChars="0"/>
        <w:jc w:val="center"/>
        <w:textAlignment w:val="auto"/>
        <w:rPr>
          <w:rFonts w:hint="default" w:ascii="Times New Roman" w:hAnsi="Times New Roman" w:eastAsia="仿宋_GB2312" w:cs="Times New Roman"/>
          <w:b/>
          <w:bCs/>
          <w:sz w:val="32"/>
          <w:szCs w:val="32"/>
        </w:rPr>
      </w:pPr>
    </w:p>
    <w:p w14:paraId="6D3FE5B5">
      <w:pPr>
        <w:keepNext w:val="0"/>
        <w:keepLines w:val="0"/>
        <w:pageBreakBefore w:val="0"/>
        <w:widowControl w:val="0"/>
        <w:kinsoku/>
        <w:wordWrap/>
        <w:overflowPunct/>
        <w:topLinePunct w:val="0"/>
        <w:autoSpaceDE w:val="0"/>
        <w:autoSpaceDN w:val="0"/>
        <w:bidi w:val="0"/>
        <w:adjustRightInd/>
        <w:snapToGrid/>
        <w:spacing w:line="576" w:lineRule="exact"/>
        <w:ind w:right="0" w:firstLine="0" w:firstLineChars="0"/>
        <w:jc w:val="center"/>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现状城镇污水处理厂情况一览表</w:t>
      </w:r>
    </w:p>
    <w:tbl>
      <w:tblPr>
        <w:tblStyle w:val="24"/>
        <w:tblW w:w="9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792"/>
        <w:gridCol w:w="708"/>
        <w:gridCol w:w="993"/>
        <w:gridCol w:w="873"/>
        <w:gridCol w:w="861"/>
        <w:gridCol w:w="1034"/>
        <w:gridCol w:w="1080"/>
        <w:gridCol w:w="738"/>
        <w:gridCol w:w="810"/>
        <w:gridCol w:w="971"/>
      </w:tblGrid>
      <w:tr w14:paraId="2E7A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jc w:val="center"/>
        </w:trPr>
        <w:tc>
          <w:tcPr>
            <w:tcW w:w="907" w:type="dxa"/>
            <w:vAlign w:val="center"/>
          </w:tcPr>
          <w:p w14:paraId="11B2358A">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乡镇</w:t>
            </w:r>
          </w:p>
        </w:tc>
        <w:tc>
          <w:tcPr>
            <w:tcW w:w="792" w:type="dxa"/>
            <w:vAlign w:val="center"/>
          </w:tcPr>
          <w:p w14:paraId="4E861866">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污水处理设施名称</w:t>
            </w:r>
          </w:p>
        </w:tc>
        <w:tc>
          <w:tcPr>
            <w:tcW w:w="708" w:type="dxa"/>
            <w:vAlign w:val="center"/>
          </w:tcPr>
          <w:p w14:paraId="4F432726">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地址</w:t>
            </w:r>
          </w:p>
        </w:tc>
        <w:tc>
          <w:tcPr>
            <w:tcW w:w="993" w:type="dxa"/>
            <w:vAlign w:val="center"/>
          </w:tcPr>
          <w:p w14:paraId="7A15C1AA">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已建污水主管网长度（公里）</w:t>
            </w:r>
          </w:p>
        </w:tc>
        <w:tc>
          <w:tcPr>
            <w:tcW w:w="873" w:type="dxa"/>
            <w:vAlign w:val="center"/>
          </w:tcPr>
          <w:p w14:paraId="1BB950B6">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已建雨水管网长度（公里）</w:t>
            </w:r>
          </w:p>
        </w:tc>
        <w:tc>
          <w:tcPr>
            <w:tcW w:w="861" w:type="dxa"/>
            <w:vAlign w:val="center"/>
          </w:tcPr>
          <w:p w14:paraId="4486063B">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细化工艺</w:t>
            </w:r>
          </w:p>
        </w:tc>
        <w:tc>
          <w:tcPr>
            <w:tcW w:w="1034" w:type="dxa"/>
            <w:vAlign w:val="center"/>
          </w:tcPr>
          <w:p w14:paraId="7C1D431D">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设计处理能力（立方米/日）</w:t>
            </w:r>
          </w:p>
        </w:tc>
        <w:tc>
          <w:tcPr>
            <w:tcW w:w="1080" w:type="dxa"/>
            <w:vAlign w:val="center"/>
          </w:tcPr>
          <w:p w14:paraId="26CB6D1E">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实际处理能力（立方米/日）</w:t>
            </w:r>
          </w:p>
        </w:tc>
        <w:tc>
          <w:tcPr>
            <w:tcW w:w="738" w:type="dxa"/>
            <w:vAlign w:val="center"/>
          </w:tcPr>
          <w:p w14:paraId="64C1E991">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污水处理率（%）</w:t>
            </w:r>
          </w:p>
        </w:tc>
        <w:tc>
          <w:tcPr>
            <w:tcW w:w="810" w:type="dxa"/>
            <w:vAlign w:val="center"/>
          </w:tcPr>
          <w:p w14:paraId="05817581">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执行排放标准</w:t>
            </w:r>
          </w:p>
        </w:tc>
        <w:tc>
          <w:tcPr>
            <w:tcW w:w="971" w:type="dxa"/>
            <w:vAlign w:val="center"/>
          </w:tcPr>
          <w:p w14:paraId="4A1BADCA">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出水受纳水体</w:t>
            </w:r>
          </w:p>
        </w:tc>
      </w:tr>
      <w:tr w14:paraId="2333B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vAlign w:val="center"/>
          </w:tcPr>
          <w:p w14:paraId="49197591">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东禅镇</w:t>
            </w:r>
          </w:p>
        </w:tc>
        <w:tc>
          <w:tcPr>
            <w:tcW w:w="792" w:type="dxa"/>
            <w:vAlign w:val="center"/>
          </w:tcPr>
          <w:p w14:paraId="0CC68296">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东禅镇污水处理厂</w:t>
            </w:r>
          </w:p>
        </w:tc>
        <w:tc>
          <w:tcPr>
            <w:tcW w:w="708" w:type="dxa"/>
            <w:vAlign w:val="center"/>
          </w:tcPr>
          <w:p w14:paraId="4D3D894B">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东禅镇黄茅沟村8社</w:t>
            </w:r>
          </w:p>
        </w:tc>
        <w:tc>
          <w:tcPr>
            <w:tcW w:w="993" w:type="dxa"/>
            <w:vAlign w:val="center"/>
          </w:tcPr>
          <w:p w14:paraId="75FB1B6D">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4.47</w:t>
            </w:r>
          </w:p>
        </w:tc>
        <w:tc>
          <w:tcPr>
            <w:tcW w:w="873" w:type="dxa"/>
            <w:vAlign w:val="center"/>
          </w:tcPr>
          <w:p w14:paraId="52FFCCEB">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2.1</w:t>
            </w:r>
          </w:p>
        </w:tc>
        <w:tc>
          <w:tcPr>
            <w:tcW w:w="861" w:type="dxa"/>
            <w:vAlign w:val="center"/>
          </w:tcPr>
          <w:p w14:paraId="0EE372B3">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厌氧+缺氧+MBBR+MBR</w:t>
            </w:r>
          </w:p>
        </w:tc>
        <w:tc>
          <w:tcPr>
            <w:tcW w:w="1034" w:type="dxa"/>
            <w:vAlign w:val="center"/>
          </w:tcPr>
          <w:p w14:paraId="04C1DE78">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900</w:t>
            </w:r>
          </w:p>
        </w:tc>
        <w:tc>
          <w:tcPr>
            <w:tcW w:w="1080" w:type="dxa"/>
            <w:vAlign w:val="center"/>
          </w:tcPr>
          <w:p w14:paraId="4C5964D7">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500</w:t>
            </w:r>
          </w:p>
        </w:tc>
        <w:tc>
          <w:tcPr>
            <w:tcW w:w="738" w:type="dxa"/>
            <w:vAlign w:val="center"/>
          </w:tcPr>
          <w:p w14:paraId="473A2B4F">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71.26</w:t>
            </w:r>
          </w:p>
        </w:tc>
        <w:tc>
          <w:tcPr>
            <w:tcW w:w="810" w:type="dxa"/>
            <w:vAlign w:val="center"/>
          </w:tcPr>
          <w:p w14:paraId="017A4B97">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一级A标</w:t>
            </w:r>
          </w:p>
        </w:tc>
        <w:tc>
          <w:tcPr>
            <w:tcW w:w="971" w:type="dxa"/>
            <w:vAlign w:val="center"/>
          </w:tcPr>
          <w:p w14:paraId="09DC9D75">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琼江河</w:t>
            </w:r>
          </w:p>
        </w:tc>
      </w:tr>
      <w:tr w14:paraId="4618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vAlign w:val="center"/>
          </w:tcPr>
          <w:p w14:paraId="48030AF0">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分水镇</w:t>
            </w:r>
          </w:p>
        </w:tc>
        <w:tc>
          <w:tcPr>
            <w:tcW w:w="792" w:type="dxa"/>
            <w:vAlign w:val="center"/>
          </w:tcPr>
          <w:p w14:paraId="5DE71D79">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分水镇污水处理厂</w:t>
            </w:r>
          </w:p>
        </w:tc>
        <w:tc>
          <w:tcPr>
            <w:tcW w:w="708" w:type="dxa"/>
            <w:vAlign w:val="center"/>
          </w:tcPr>
          <w:p w14:paraId="371823EA">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分水镇夹石槽村</w:t>
            </w:r>
          </w:p>
        </w:tc>
        <w:tc>
          <w:tcPr>
            <w:tcW w:w="993" w:type="dxa"/>
            <w:vAlign w:val="center"/>
          </w:tcPr>
          <w:p w14:paraId="042AAE25">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3.09</w:t>
            </w:r>
          </w:p>
        </w:tc>
        <w:tc>
          <w:tcPr>
            <w:tcW w:w="873" w:type="dxa"/>
            <w:vAlign w:val="center"/>
          </w:tcPr>
          <w:p w14:paraId="70D95F97">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1.8</w:t>
            </w:r>
          </w:p>
        </w:tc>
        <w:tc>
          <w:tcPr>
            <w:tcW w:w="861" w:type="dxa"/>
            <w:vAlign w:val="center"/>
          </w:tcPr>
          <w:p w14:paraId="607250B0">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AO+滤布滤池</w:t>
            </w:r>
          </w:p>
        </w:tc>
        <w:tc>
          <w:tcPr>
            <w:tcW w:w="1034" w:type="dxa"/>
            <w:vAlign w:val="center"/>
          </w:tcPr>
          <w:p w14:paraId="1647170A">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500</w:t>
            </w:r>
          </w:p>
        </w:tc>
        <w:tc>
          <w:tcPr>
            <w:tcW w:w="1080" w:type="dxa"/>
            <w:vAlign w:val="center"/>
          </w:tcPr>
          <w:p w14:paraId="03B81481">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400</w:t>
            </w:r>
          </w:p>
        </w:tc>
        <w:tc>
          <w:tcPr>
            <w:tcW w:w="738" w:type="dxa"/>
            <w:vAlign w:val="center"/>
          </w:tcPr>
          <w:p w14:paraId="6C321015">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86.20</w:t>
            </w:r>
          </w:p>
        </w:tc>
        <w:tc>
          <w:tcPr>
            <w:tcW w:w="810" w:type="dxa"/>
            <w:vAlign w:val="center"/>
          </w:tcPr>
          <w:p w14:paraId="554AE8AD">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一级A标</w:t>
            </w:r>
          </w:p>
        </w:tc>
        <w:tc>
          <w:tcPr>
            <w:tcW w:w="971" w:type="dxa"/>
            <w:vAlign w:val="center"/>
          </w:tcPr>
          <w:p w14:paraId="4D3976E5">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小溪河</w:t>
            </w:r>
          </w:p>
        </w:tc>
      </w:tr>
      <w:tr w14:paraId="5AFA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vAlign w:val="center"/>
          </w:tcPr>
          <w:p w14:paraId="3D5B4B78">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石洞镇</w:t>
            </w:r>
          </w:p>
        </w:tc>
        <w:tc>
          <w:tcPr>
            <w:tcW w:w="792" w:type="dxa"/>
            <w:vAlign w:val="center"/>
          </w:tcPr>
          <w:p w14:paraId="2050B244">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石洞镇污水处理厂</w:t>
            </w:r>
          </w:p>
        </w:tc>
        <w:tc>
          <w:tcPr>
            <w:tcW w:w="708" w:type="dxa"/>
            <w:vAlign w:val="center"/>
          </w:tcPr>
          <w:p w14:paraId="3F6D5358">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石洞镇老庙村车1社</w:t>
            </w:r>
          </w:p>
        </w:tc>
        <w:tc>
          <w:tcPr>
            <w:tcW w:w="993" w:type="dxa"/>
            <w:vAlign w:val="center"/>
          </w:tcPr>
          <w:p w14:paraId="0137CB01">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7.7</w:t>
            </w:r>
          </w:p>
        </w:tc>
        <w:tc>
          <w:tcPr>
            <w:tcW w:w="873" w:type="dxa"/>
            <w:vAlign w:val="center"/>
          </w:tcPr>
          <w:p w14:paraId="7CB0862D">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5</w:t>
            </w:r>
          </w:p>
        </w:tc>
        <w:tc>
          <w:tcPr>
            <w:tcW w:w="861" w:type="dxa"/>
            <w:vAlign w:val="center"/>
          </w:tcPr>
          <w:p w14:paraId="48439A34">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厌氧+缺氧+MBBR+MBR</w:t>
            </w:r>
          </w:p>
        </w:tc>
        <w:tc>
          <w:tcPr>
            <w:tcW w:w="1034" w:type="dxa"/>
            <w:vAlign w:val="center"/>
          </w:tcPr>
          <w:p w14:paraId="654C540E">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500</w:t>
            </w:r>
          </w:p>
        </w:tc>
        <w:tc>
          <w:tcPr>
            <w:tcW w:w="1080" w:type="dxa"/>
            <w:vAlign w:val="center"/>
          </w:tcPr>
          <w:p w14:paraId="7839ECF2">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360</w:t>
            </w:r>
          </w:p>
        </w:tc>
        <w:tc>
          <w:tcPr>
            <w:tcW w:w="738" w:type="dxa"/>
            <w:vAlign w:val="center"/>
          </w:tcPr>
          <w:p w14:paraId="518736FC">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87.45</w:t>
            </w:r>
          </w:p>
        </w:tc>
        <w:tc>
          <w:tcPr>
            <w:tcW w:w="810" w:type="dxa"/>
            <w:vAlign w:val="center"/>
          </w:tcPr>
          <w:p w14:paraId="20DFED13">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一级A标</w:t>
            </w:r>
          </w:p>
        </w:tc>
        <w:tc>
          <w:tcPr>
            <w:tcW w:w="971" w:type="dxa"/>
            <w:vAlign w:val="center"/>
          </w:tcPr>
          <w:p w14:paraId="3065D09E">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0" w:firstLineChars="0"/>
              <w:jc w:val="center"/>
              <w:textAlignment w:val="auto"/>
              <w:rPr>
                <w:rFonts w:hint="default" w:ascii="Times New Roman" w:hAnsi="Times New Roman" w:cs="Times New Roman"/>
                <w:b w:val="0"/>
                <w:bCs/>
                <w:color w:val="000000"/>
                <w:sz w:val="24"/>
                <w:szCs w:val="24"/>
              </w:rPr>
            </w:pPr>
            <w:r>
              <w:rPr>
                <w:rFonts w:hint="default" w:ascii="Times New Roman" w:hAnsi="Times New Roman" w:eastAsia="仿宋_GB2312" w:cs="Times New Roman"/>
                <w:b w:val="0"/>
                <w:bCs/>
                <w:color w:val="000000"/>
                <w:sz w:val="24"/>
                <w:szCs w:val="24"/>
              </w:rPr>
              <w:t>白安河</w:t>
            </w:r>
          </w:p>
        </w:tc>
      </w:tr>
    </w:tbl>
    <w:p w14:paraId="5DE6EA3E">
      <w:pPr>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br w:type="page"/>
      </w:r>
    </w:p>
    <w:p w14:paraId="4D2647FA">
      <w:pPr>
        <w:keepNext w:val="0"/>
        <w:keepLines w:val="0"/>
        <w:pageBreakBefore w:val="0"/>
        <w:widowControl w:val="0"/>
        <w:kinsoku/>
        <w:wordWrap/>
        <w:overflowPunct/>
        <w:topLinePunct w:val="0"/>
        <w:autoSpaceDE w:val="0"/>
        <w:autoSpaceDN w:val="0"/>
        <w:bidi w:val="0"/>
        <w:adjustRightInd/>
        <w:snapToGrid/>
        <w:spacing w:line="576" w:lineRule="exact"/>
        <w:ind w:right="0" w:firstLine="0" w:firstLineChars="0"/>
        <w:jc w:val="center"/>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现状农村污水处理设施情况一览表</w:t>
      </w:r>
    </w:p>
    <w:tbl>
      <w:tblPr>
        <w:tblStyle w:val="24"/>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1339"/>
        <w:gridCol w:w="2343"/>
        <w:gridCol w:w="1325"/>
        <w:gridCol w:w="1510"/>
        <w:gridCol w:w="1510"/>
      </w:tblGrid>
      <w:tr w14:paraId="5C58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vAlign w:val="center"/>
          </w:tcPr>
          <w:p w14:paraId="30D52D71">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b w:val="0"/>
                <w:bCs w:val="0"/>
                <w:sz w:val="24"/>
                <w:szCs w:val="24"/>
                <w:vertAlign w:val="baseline"/>
              </w:rPr>
            </w:pPr>
            <w:r>
              <w:rPr>
                <w:rFonts w:hint="default" w:ascii="Times New Roman" w:hAnsi="Times New Roman" w:eastAsia="黑体" w:cs="Times New Roman"/>
                <w:b w:val="0"/>
                <w:bCs w:val="0"/>
                <w:sz w:val="24"/>
                <w:szCs w:val="24"/>
              </w:rPr>
              <w:t>乡镇</w:t>
            </w:r>
          </w:p>
        </w:tc>
        <w:tc>
          <w:tcPr>
            <w:tcW w:w="1339" w:type="dxa"/>
            <w:vAlign w:val="center"/>
          </w:tcPr>
          <w:p w14:paraId="6001BFE7">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b w:val="0"/>
                <w:bCs w:val="0"/>
                <w:sz w:val="24"/>
                <w:szCs w:val="24"/>
                <w:vertAlign w:val="baseline"/>
              </w:rPr>
            </w:pPr>
            <w:r>
              <w:rPr>
                <w:rFonts w:hint="default" w:ascii="Times New Roman" w:hAnsi="Times New Roman" w:eastAsia="黑体" w:cs="Times New Roman"/>
                <w:b w:val="0"/>
                <w:bCs w:val="0"/>
                <w:sz w:val="24"/>
                <w:szCs w:val="24"/>
              </w:rPr>
              <w:t>行政村</w:t>
            </w:r>
          </w:p>
        </w:tc>
        <w:tc>
          <w:tcPr>
            <w:tcW w:w="2343" w:type="dxa"/>
            <w:vAlign w:val="center"/>
          </w:tcPr>
          <w:p w14:paraId="40C5E7B1">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b w:val="0"/>
                <w:bCs w:val="0"/>
                <w:sz w:val="24"/>
                <w:szCs w:val="24"/>
                <w:vertAlign w:val="baseline"/>
              </w:rPr>
            </w:pPr>
            <w:r>
              <w:rPr>
                <w:rFonts w:hint="default" w:ascii="Times New Roman" w:hAnsi="Times New Roman" w:eastAsia="黑体" w:cs="Times New Roman"/>
                <w:b w:val="0"/>
                <w:bCs w:val="0"/>
                <w:sz w:val="24"/>
                <w:szCs w:val="24"/>
              </w:rPr>
              <w:t>设施名称</w:t>
            </w:r>
          </w:p>
        </w:tc>
        <w:tc>
          <w:tcPr>
            <w:tcW w:w="1325" w:type="dxa"/>
            <w:vAlign w:val="center"/>
          </w:tcPr>
          <w:p w14:paraId="0866A305">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b w:val="0"/>
                <w:bCs w:val="0"/>
                <w:sz w:val="24"/>
                <w:szCs w:val="24"/>
                <w:vertAlign w:val="baseline"/>
              </w:rPr>
            </w:pPr>
            <w:r>
              <w:rPr>
                <w:rFonts w:hint="default" w:ascii="Times New Roman" w:hAnsi="Times New Roman" w:eastAsia="黑体" w:cs="Times New Roman"/>
                <w:b w:val="0"/>
                <w:bCs w:val="0"/>
                <w:sz w:val="24"/>
                <w:szCs w:val="24"/>
              </w:rPr>
              <w:t>工艺</w:t>
            </w:r>
          </w:p>
        </w:tc>
        <w:tc>
          <w:tcPr>
            <w:tcW w:w="1510" w:type="dxa"/>
            <w:vAlign w:val="center"/>
          </w:tcPr>
          <w:p w14:paraId="76EA02DB">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b w:val="0"/>
                <w:bCs w:val="0"/>
                <w:sz w:val="24"/>
                <w:szCs w:val="24"/>
                <w:vertAlign w:val="baseline"/>
              </w:rPr>
            </w:pPr>
            <w:r>
              <w:rPr>
                <w:rFonts w:hint="default" w:ascii="Times New Roman" w:hAnsi="Times New Roman" w:eastAsia="黑体" w:cs="Times New Roman"/>
                <w:b w:val="0"/>
                <w:bCs w:val="0"/>
                <w:sz w:val="24"/>
                <w:szCs w:val="24"/>
              </w:rPr>
              <w:t>设计处理量（立方米/日）</w:t>
            </w:r>
          </w:p>
        </w:tc>
        <w:tc>
          <w:tcPr>
            <w:tcW w:w="1510" w:type="dxa"/>
            <w:vAlign w:val="center"/>
          </w:tcPr>
          <w:p w14:paraId="460E82F7">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b w:val="0"/>
                <w:bCs w:val="0"/>
                <w:sz w:val="24"/>
                <w:szCs w:val="24"/>
                <w:vertAlign w:val="baseline"/>
              </w:rPr>
            </w:pPr>
            <w:r>
              <w:rPr>
                <w:rFonts w:hint="default" w:ascii="Times New Roman" w:hAnsi="Times New Roman" w:eastAsia="黑体" w:cs="Times New Roman"/>
                <w:b w:val="0"/>
                <w:bCs w:val="0"/>
                <w:sz w:val="24"/>
                <w:szCs w:val="24"/>
              </w:rPr>
              <w:t>实际处理量（立方米/日）</w:t>
            </w:r>
          </w:p>
        </w:tc>
      </w:tr>
      <w:tr w14:paraId="35472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vAlign w:val="center"/>
          </w:tcPr>
          <w:p w14:paraId="362EFA36">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东禅镇</w:t>
            </w:r>
          </w:p>
        </w:tc>
        <w:tc>
          <w:tcPr>
            <w:tcW w:w="1339" w:type="dxa"/>
            <w:vAlign w:val="center"/>
          </w:tcPr>
          <w:p w14:paraId="4E43BB5C">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龙塘村</w:t>
            </w:r>
          </w:p>
        </w:tc>
        <w:tc>
          <w:tcPr>
            <w:tcW w:w="2343" w:type="dxa"/>
            <w:vAlign w:val="center"/>
          </w:tcPr>
          <w:p w14:paraId="5D14F385">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龙塘居民聚居点污水处理站</w:t>
            </w:r>
          </w:p>
        </w:tc>
        <w:tc>
          <w:tcPr>
            <w:tcW w:w="1325" w:type="dxa"/>
            <w:vAlign w:val="center"/>
          </w:tcPr>
          <w:p w14:paraId="465D806B">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A</w:t>
            </w:r>
            <w:r>
              <w:rPr>
                <w:rFonts w:hint="default" w:ascii="Times New Roman" w:hAnsi="Times New Roman" w:eastAsia="仿宋_GB2312" w:cs="Times New Roman"/>
                <w:b w:val="0"/>
                <w:bCs w:val="0"/>
                <w:sz w:val="24"/>
                <w:szCs w:val="24"/>
                <w:vertAlign w:val="superscript"/>
              </w:rPr>
              <w:t>2</w:t>
            </w:r>
            <w:r>
              <w:rPr>
                <w:rFonts w:hint="default" w:ascii="Times New Roman" w:hAnsi="Times New Roman" w:eastAsia="仿宋_GB2312" w:cs="Times New Roman"/>
                <w:b w:val="0"/>
                <w:bCs w:val="0"/>
                <w:sz w:val="24"/>
                <w:szCs w:val="24"/>
              </w:rPr>
              <w:t>O</w:t>
            </w:r>
          </w:p>
        </w:tc>
        <w:tc>
          <w:tcPr>
            <w:tcW w:w="1510" w:type="dxa"/>
            <w:vAlign w:val="center"/>
          </w:tcPr>
          <w:p w14:paraId="6C29835D">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30</w:t>
            </w:r>
          </w:p>
        </w:tc>
        <w:tc>
          <w:tcPr>
            <w:tcW w:w="1510" w:type="dxa"/>
            <w:vAlign w:val="center"/>
          </w:tcPr>
          <w:p w14:paraId="6A610600">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30</w:t>
            </w:r>
          </w:p>
        </w:tc>
      </w:tr>
      <w:tr w14:paraId="4412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vMerge w:val="restart"/>
            <w:vAlign w:val="center"/>
          </w:tcPr>
          <w:p w14:paraId="5D52B4FB">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分水镇</w:t>
            </w:r>
          </w:p>
        </w:tc>
        <w:tc>
          <w:tcPr>
            <w:tcW w:w="1339" w:type="dxa"/>
            <w:vAlign w:val="center"/>
          </w:tcPr>
          <w:p w14:paraId="03A52A3C">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干坝子村</w:t>
            </w:r>
          </w:p>
        </w:tc>
        <w:tc>
          <w:tcPr>
            <w:tcW w:w="2343" w:type="dxa"/>
            <w:vAlign w:val="center"/>
          </w:tcPr>
          <w:p w14:paraId="57F3572D">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兴旺场镇居民聚居点污水处理站</w:t>
            </w:r>
          </w:p>
        </w:tc>
        <w:tc>
          <w:tcPr>
            <w:tcW w:w="1325" w:type="dxa"/>
            <w:vAlign w:val="center"/>
          </w:tcPr>
          <w:p w14:paraId="756193B2">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A</w:t>
            </w:r>
            <w:r>
              <w:rPr>
                <w:rFonts w:hint="default" w:ascii="Times New Roman" w:hAnsi="Times New Roman" w:eastAsia="仿宋_GB2312" w:cs="Times New Roman"/>
                <w:b w:val="0"/>
                <w:bCs w:val="0"/>
                <w:sz w:val="24"/>
                <w:szCs w:val="24"/>
                <w:vertAlign w:val="superscript"/>
              </w:rPr>
              <w:t>2</w:t>
            </w:r>
            <w:r>
              <w:rPr>
                <w:rFonts w:hint="default" w:ascii="Times New Roman" w:hAnsi="Times New Roman" w:eastAsia="仿宋_GB2312" w:cs="Times New Roman"/>
                <w:b w:val="0"/>
                <w:bCs w:val="0"/>
                <w:sz w:val="24"/>
                <w:szCs w:val="24"/>
              </w:rPr>
              <w:t>O</w:t>
            </w:r>
          </w:p>
        </w:tc>
        <w:tc>
          <w:tcPr>
            <w:tcW w:w="1510" w:type="dxa"/>
            <w:vAlign w:val="center"/>
          </w:tcPr>
          <w:p w14:paraId="0D2E9BB4">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200</w:t>
            </w:r>
          </w:p>
        </w:tc>
        <w:tc>
          <w:tcPr>
            <w:tcW w:w="1510" w:type="dxa"/>
            <w:vAlign w:val="center"/>
          </w:tcPr>
          <w:p w14:paraId="032A4B6B">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30</w:t>
            </w:r>
          </w:p>
        </w:tc>
      </w:tr>
      <w:tr w14:paraId="0326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vMerge w:val="continue"/>
            <w:vAlign w:val="center"/>
          </w:tcPr>
          <w:p w14:paraId="3E5B170F">
            <w:pPr>
              <w:keepNext w:val="0"/>
              <w:keepLines w:val="0"/>
              <w:pageBreakBefore w:val="0"/>
              <w:kinsoku/>
              <w:wordWrap/>
              <w:overflowPunct/>
              <w:topLinePunct w:val="0"/>
              <w:autoSpaceDE w:val="0"/>
              <w:autoSpaceDN w:val="0"/>
              <w:bidi w:val="0"/>
              <w:adjustRightInd/>
              <w:snapToGrid/>
              <w:spacing w:beforeAutospacing="0" w:afterAutospacing="0" w:line="340" w:lineRule="exact"/>
              <w:ind w:firstLine="480" w:firstLineChars="200"/>
              <w:jc w:val="center"/>
              <w:textAlignment w:val="auto"/>
              <w:rPr>
                <w:rFonts w:hint="default" w:ascii="Times New Roman" w:hAnsi="Times New Roman" w:cs="Times New Roman"/>
                <w:b w:val="0"/>
                <w:bCs w:val="0"/>
                <w:sz w:val="24"/>
                <w:szCs w:val="24"/>
                <w:vertAlign w:val="baseline"/>
              </w:rPr>
            </w:pPr>
          </w:p>
        </w:tc>
        <w:tc>
          <w:tcPr>
            <w:tcW w:w="1339" w:type="dxa"/>
            <w:vAlign w:val="center"/>
          </w:tcPr>
          <w:p w14:paraId="2A7B126E">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太阳桥村</w:t>
            </w:r>
          </w:p>
        </w:tc>
        <w:tc>
          <w:tcPr>
            <w:tcW w:w="2343" w:type="dxa"/>
            <w:vAlign w:val="center"/>
          </w:tcPr>
          <w:p w14:paraId="33940671">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太阳桥村人工湿地</w:t>
            </w:r>
          </w:p>
        </w:tc>
        <w:tc>
          <w:tcPr>
            <w:tcW w:w="1325" w:type="dxa"/>
            <w:vAlign w:val="center"/>
          </w:tcPr>
          <w:p w14:paraId="38768D02">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厌氧+人工湿地</w:t>
            </w:r>
          </w:p>
        </w:tc>
        <w:tc>
          <w:tcPr>
            <w:tcW w:w="1510" w:type="dxa"/>
            <w:vAlign w:val="center"/>
          </w:tcPr>
          <w:p w14:paraId="3F652DB6">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12.1</w:t>
            </w:r>
          </w:p>
        </w:tc>
        <w:tc>
          <w:tcPr>
            <w:tcW w:w="1510" w:type="dxa"/>
            <w:vAlign w:val="center"/>
          </w:tcPr>
          <w:p w14:paraId="313B550C">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5</w:t>
            </w:r>
          </w:p>
        </w:tc>
      </w:tr>
      <w:tr w14:paraId="51D7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vMerge w:val="restart"/>
            <w:vAlign w:val="center"/>
          </w:tcPr>
          <w:p w14:paraId="4D0F1090">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石洞镇</w:t>
            </w:r>
          </w:p>
        </w:tc>
        <w:tc>
          <w:tcPr>
            <w:tcW w:w="1339" w:type="dxa"/>
            <w:vAlign w:val="center"/>
          </w:tcPr>
          <w:p w14:paraId="1A0F0928">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牛角湾村</w:t>
            </w:r>
          </w:p>
        </w:tc>
        <w:tc>
          <w:tcPr>
            <w:tcW w:w="2343" w:type="dxa"/>
            <w:vAlign w:val="center"/>
          </w:tcPr>
          <w:p w14:paraId="34FED5D8">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牛角湾村居民聚居点污水处理站</w:t>
            </w:r>
          </w:p>
        </w:tc>
        <w:tc>
          <w:tcPr>
            <w:tcW w:w="1325" w:type="dxa"/>
            <w:vAlign w:val="center"/>
          </w:tcPr>
          <w:p w14:paraId="1C581A60">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A</w:t>
            </w:r>
            <w:r>
              <w:rPr>
                <w:rFonts w:hint="default" w:ascii="Times New Roman" w:hAnsi="Times New Roman" w:eastAsia="仿宋_GB2312" w:cs="Times New Roman"/>
                <w:b w:val="0"/>
                <w:bCs w:val="0"/>
                <w:sz w:val="24"/>
                <w:szCs w:val="24"/>
                <w:vertAlign w:val="superscript"/>
              </w:rPr>
              <w:t>2</w:t>
            </w:r>
            <w:r>
              <w:rPr>
                <w:rFonts w:hint="default" w:ascii="Times New Roman" w:hAnsi="Times New Roman" w:eastAsia="仿宋_GB2312" w:cs="Times New Roman"/>
                <w:b w:val="0"/>
                <w:bCs w:val="0"/>
                <w:sz w:val="24"/>
                <w:szCs w:val="24"/>
              </w:rPr>
              <w:t>O</w:t>
            </w:r>
          </w:p>
        </w:tc>
        <w:tc>
          <w:tcPr>
            <w:tcW w:w="1510" w:type="dxa"/>
            <w:vAlign w:val="center"/>
          </w:tcPr>
          <w:p w14:paraId="7AAAF36F">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30</w:t>
            </w:r>
          </w:p>
        </w:tc>
        <w:tc>
          <w:tcPr>
            <w:tcW w:w="1510" w:type="dxa"/>
            <w:vAlign w:val="center"/>
          </w:tcPr>
          <w:p w14:paraId="15A211A8">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firstLine="480" w:firstLineChars="200"/>
              <w:jc w:val="center"/>
              <w:textAlignment w:val="auto"/>
              <w:rPr>
                <w:rFonts w:hint="default" w:ascii="Times New Roman" w:hAnsi="Times New Roman" w:cs="Times New Roman"/>
                <w:b w:val="0"/>
                <w:bCs w:val="0"/>
                <w:sz w:val="24"/>
                <w:szCs w:val="24"/>
                <w:vertAlign w:val="baseline"/>
              </w:rPr>
            </w:pPr>
          </w:p>
        </w:tc>
      </w:tr>
      <w:tr w14:paraId="465BE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vMerge w:val="continue"/>
            <w:vAlign w:val="center"/>
          </w:tcPr>
          <w:p w14:paraId="725F9D92">
            <w:pPr>
              <w:keepNext w:val="0"/>
              <w:keepLines w:val="0"/>
              <w:pageBreakBefore w:val="0"/>
              <w:kinsoku/>
              <w:wordWrap/>
              <w:overflowPunct/>
              <w:topLinePunct w:val="0"/>
              <w:autoSpaceDE w:val="0"/>
              <w:autoSpaceDN w:val="0"/>
              <w:bidi w:val="0"/>
              <w:adjustRightInd/>
              <w:snapToGrid/>
              <w:spacing w:beforeAutospacing="0" w:afterAutospacing="0" w:line="340" w:lineRule="exact"/>
              <w:ind w:firstLine="480" w:firstLineChars="200"/>
              <w:jc w:val="center"/>
              <w:textAlignment w:val="auto"/>
              <w:rPr>
                <w:rFonts w:hint="default" w:ascii="Times New Roman" w:hAnsi="Times New Roman" w:cs="Times New Roman"/>
                <w:b w:val="0"/>
                <w:bCs w:val="0"/>
                <w:sz w:val="24"/>
                <w:szCs w:val="24"/>
                <w:vertAlign w:val="baseline"/>
              </w:rPr>
            </w:pPr>
          </w:p>
        </w:tc>
        <w:tc>
          <w:tcPr>
            <w:tcW w:w="1339" w:type="dxa"/>
            <w:vAlign w:val="center"/>
          </w:tcPr>
          <w:p w14:paraId="4D15B1D8">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谭家坝村</w:t>
            </w:r>
          </w:p>
        </w:tc>
        <w:tc>
          <w:tcPr>
            <w:tcW w:w="2343" w:type="dxa"/>
            <w:vAlign w:val="center"/>
          </w:tcPr>
          <w:p w14:paraId="04D288FC">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谭家坝村人工湿地</w:t>
            </w:r>
          </w:p>
        </w:tc>
        <w:tc>
          <w:tcPr>
            <w:tcW w:w="1325" w:type="dxa"/>
            <w:vAlign w:val="center"/>
          </w:tcPr>
          <w:p w14:paraId="49D34A39">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厌氧+人工湿地</w:t>
            </w:r>
          </w:p>
        </w:tc>
        <w:tc>
          <w:tcPr>
            <w:tcW w:w="1510" w:type="dxa"/>
            <w:vAlign w:val="center"/>
          </w:tcPr>
          <w:p w14:paraId="459C5915">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20</w:t>
            </w:r>
          </w:p>
        </w:tc>
        <w:tc>
          <w:tcPr>
            <w:tcW w:w="1510" w:type="dxa"/>
            <w:vAlign w:val="center"/>
          </w:tcPr>
          <w:p w14:paraId="7924B7A0">
            <w:pPr>
              <w:pStyle w:val="22"/>
              <w:keepNext w:val="0"/>
              <w:keepLines w:val="0"/>
              <w:pageBreakBefore w:val="0"/>
              <w:widowControl/>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cs="Times New Roman"/>
                <w:b w:val="0"/>
                <w:bCs w:val="0"/>
                <w:sz w:val="24"/>
                <w:szCs w:val="24"/>
                <w:vertAlign w:val="baseline"/>
              </w:rPr>
            </w:pPr>
            <w:r>
              <w:rPr>
                <w:rFonts w:hint="default" w:ascii="Times New Roman" w:hAnsi="Times New Roman" w:eastAsia="仿宋_GB2312" w:cs="Times New Roman"/>
                <w:b w:val="0"/>
                <w:bCs w:val="0"/>
                <w:sz w:val="24"/>
                <w:szCs w:val="24"/>
              </w:rPr>
              <w:t>20</w:t>
            </w:r>
          </w:p>
        </w:tc>
      </w:tr>
    </w:tbl>
    <w:p w14:paraId="5A09BE30">
      <w:pPr>
        <w:pStyle w:val="2"/>
        <w:rPr>
          <w:rFonts w:hint="default" w:ascii="Times New Roman" w:hAnsi="Times New Roman" w:cs="Times New Roman"/>
        </w:rPr>
      </w:pPr>
    </w:p>
    <w:p w14:paraId="09264DD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outlineLvl w:val="1"/>
        <w:rPr>
          <w:rFonts w:hint="default" w:ascii="Times New Roman" w:hAnsi="Times New Roman" w:eastAsia="黑体" w:cs="Times New Roman"/>
          <w:b w:val="0"/>
          <w:bCs w:val="0"/>
          <w:sz w:val="32"/>
          <w:szCs w:val="32"/>
          <w:lang w:val="en-US" w:eastAsia="zh-CN" w:bidi="zh-CN"/>
        </w:rPr>
      </w:pPr>
      <w:bookmarkStart w:id="187" w:name="_Toc27712"/>
      <w:r>
        <w:rPr>
          <w:rFonts w:hint="default" w:ascii="Times New Roman" w:hAnsi="Times New Roman" w:eastAsia="黑体" w:cs="Times New Roman"/>
          <w:b w:val="0"/>
          <w:bCs w:val="0"/>
          <w:sz w:val="32"/>
          <w:szCs w:val="32"/>
          <w:lang w:val="en-US" w:eastAsia="zh-CN" w:bidi="zh-CN"/>
        </w:rPr>
        <w:t>4.5遂潼三产融合片区现状情况</w:t>
      </w:r>
      <w:bookmarkEnd w:id="187"/>
    </w:p>
    <w:p w14:paraId="33BFD595">
      <w:pPr>
        <w:keepNext w:val="0"/>
        <w:keepLines w:val="0"/>
        <w:pageBreakBefore w:val="0"/>
        <w:widowControl w:val="0"/>
        <w:kinsoku/>
        <w:wordWrap/>
        <w:overflowPunct/>
        <w:topLinePunct w:val="0"/>
        <w:autoSpaceDE w:val="0"/>
        <w:autoSpaceDN w:val="0"/>
        <w:bidi w:val="0"/>
        <w:adjustRightInd/>
        <w:snapToGrid/>
        <w:spacing w:line="576"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片区现有城镇污水处理厂2座，均已实施提标改造，满足现状需求，但出水水质偶尔不达标；雨污分流不完善，仍有合流管道未改造，下雨时污水溢流、雨水进入污水处理厂致超负荷运行，且场镇仍有部分污水直排。片区内仅有7个村的部分生活污水纳入乡镇污水处理厂集中处理。片区已建乡村生活污水治理设施8座，其中小型污水处理厂站4座，人工湿地4座，收集的污水涉及6个村。居住分散的农户生活污水，加之农民环保意识不强，大部分都未经过无害化处理直接排放，对环境造成一定影响。通过城镇污水处理厂及乡村生活污水治理设施和“三格式化粪池”农户分散处理，虽86%行政村生活污水得到有效处理，但污水有效处理率约为33%，低于全区治理水平。</w:t>
      </w:r>
    </w:p>
    <w:p w14:paraId="28CE6C50">
      <w:pPr>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br w:type="page"/>
      </w:r>
    </w:p>
    <w:p w14:paraId="483B52C3">
      <w:pPr>
        <w:keepNext w:val="0"/>
        <w:keepLines w:val="0"/>
        <w:pageBreakBefore w:val="0"/>
        <w:widowControl w:val="0"/>
        <w:kinsoku/>
        <w:wordWrap/>
        <w:overflowPunct/>
        <w:topLinePunct w:val="0"/>
        <w:autoSpaceDE w:val="0"/>
        <w:autoSpaceDN w:val="0"/>
        <w:bidi w:val="0"/>
        <w:adjustRightInd/>
        <w:snapToGrid/>
        <w:spacing w:line="576" w:lineRule="exact"/>
        <w:ind w:right="0" w:firstLine="0" w:firstLineChars="0"/>
        <w:jc w:val="center"/>
        <w:textAlignment w:val="auto"/>
        <w:outlineLvl w:val="0"/>
        <w:rPr>
          <w:rFonts w:hint="default" w:ascii="Times New Roman" w:hAnsi="Times New Roman" w:eastAsia="仿宋_GB2312" w:cs="Times New Roman"/>
          <w:b/>
          <w:bCs/>
          <w:sz w:val="32"/>
          <w:szCs w:val="32"/>
        </w:rPr>
      </w:pPr>
      <w:bookmarkStart w:id="188" w:name="_Toc13723"/>
      <w:r>
        <w:rPr>
          <w:rFonts w:hint="default" w:ascii="Times New Roman" w:hAnsi="Times New Roman" w:eastAsia="仿宋_GB2312" w:cs="Times New Roman"/>
          <w:b/>
          <w:bCs/>
          <w:sz w:val="32"/>
          <w:szCs w:val="32"/>
        </w:rPr>
        <w:t>现状城镇污水处理厂情况一览表</w:t>
      </w:r>
      <w:bookmarkEnd w:id="188"/>
    </w:p>
    <w:tbl>
      <w:tblPr>
        <w:tblStyle w:val="24"/>
        <w:tblW w:w="10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903"/>
        <w:gridCol w:w="903"/>
        <w:gridCol w:w="903"/>
        <w:gridCol w:w="903"/>
        <w:gridCol w:w="903"/>
        <w:gridCol w:w="903"/>
        <w:gridCol w:w="903"/>
        <w:gridCol w:w="903"/>
        <w:gridCol w:w="903"/>
        <w:gridCol w:w="903"/>
        <w:gridCol w:w="764"/>
      </w:tblGrid>
      <w:tr w14:paraId="2E7F0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52" w:type="dxa"/>
            <w:vAlign w:val="center"/>
          </w:tcPr>
          <w:p w14:paraId="0CD09FC6">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设施名称</w:t>
            </w:r>
          </w:p>
        </w:tc>
        <w:tc>
          <w:tcPr>
            <w:tcW w:w="903" w:type="dxa"/>
            <w:vAlign w:val="center"/>
          </w:tcPr>
          <w:p w14:paraId="68FE2BD9">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提标改造建成时间</w:t>
            </w:r>
          </w:p>
        </w:tc>
        <w:tc>
          <w:tcPr>
            <w:tcW w:w="903" w:type="dxa"/>
            <w:vAlign w:val="center"/>
          </w:tcPr>
          <w:p w14:paraId="43D509C5">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建成污水管网长度（公里）</w:t>
            </w:r>
          </w:p>
        </w:tc>
        <w:tc>
          <w:tcPr>
            <w:tcW w:w="903" w:type="dxa"/>
            <w:vAlign w:val="center"/>
          </w:tcPr>
          <w:p w14:paraId="3C348B9D">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建成雨水管网长度（公里）</w:t>
            </w:r>
          </w:p>
        </w:tc>
        <w:tc>
          <w:tcPr>
            <w:tcW w:w="903" w:type="dxa"/>
            <w:vAlign w:val="center"/>
          </w:tcPr>
          <w:p w14:paraId="6589371D">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建成合流制管网长度（公里）</w:t>
            </w:r>
          </w:p>
        </w:tc>
        <w:tc>
          <w:tcPr>
            <w:tcW w:w="903" w:type="dxa"/>
            <w:vAlign w:val="center"/>
          </w:tcPr>
          <w:p w14:paraId="6D87C573">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设计处理量（立方米/日）</w:t>
            </w:r>
          </w:p>
        </w:tc>
        <w:tc>
          <w:tcPr>
            <w:tcW w:w="903" w:type="dxa"/>
            <w:vAlign w:val="center"/>
          </w:tcPr>
          <w:p w14:paraId="5110BDD1">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实际处理量（立方米/日）</w:t>
            </w:r>
          </w:p>
        </w:tc>
        <w:tc>
          <w:tcPr>
            <w:tcW w:w="903" w:type="dxa"/>
            <w:vAlign w:val="center"/>
          </w:tcPr>
          <w:p w14:paraId="2B51B960">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工艺</w:t>
            </w:r>
          </w:p>
        </w:tc>
        <w:tc>
          <w:tcPr>
            <w:tcW w:w="903" w:type="dxa"/>
            <w:vAlign w:val="center"/>
          </w:tcPr>
          <w:p w14:paraId="7BAF9DA6">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服务人口数量（万人）</w:t>
            </w:r>
          </w:p>
        </w:tc>
        <w:tc>
          <w:tcPr>
            <w:tcW w:w="903" w:type="dxa"/>
            <w:vAlign w:val="center"/>
          </w:tcPr>
          <w:p w14:paraId="31CD2EFF">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收纳污水覆盖的行政村</w:t>
            </w:r>
          </w:p>
        </w:tc>
        <w:tc>
          <w:tcPr>
            <w:tcW w:w="903" w:type="dxa"/>
            <w:vAlign w:val="center"/>
          </w:tcPr>
          <w:p w14:paraId="1953BE80">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污水处理率（%）</w:t>
            </w:r>
          </w:p>
        </w:tc>
        <w:tc>
          <w:tcPr>
            <w:tcW w:w="764" w:type="dxa"/>
            <w:vAlign w:val="center"/>
          </w:tcPr>
          <w:p w14:paraId="36FFF119">
            <w:pPr>
              <w:pStyle w:val="22"/>
              <w:keepNext w:val="0"/>
              <w:keepLines w:val="0"/>
              <w:widowControl/>
              <w:suppressLineNumbers w:val="0"/>
              <w:spacing w:line="240" w:lineRule="auto"/>
              <w:ind w:left="0" w:leftChars="0" w:firstLine="0" w:firstLineChars="0"/>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排放标准</w:t>
            </w:r>
          </w:p>
        </w:tc>
      </w:tr>
      <w:tr w14:paraId="3140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jc w:val="center"/>
        </w:trPr>
        <w:tc>
          <w:tcPr>
            <w:tcW w:w="652" w:type="dxa"/>
            <w:vAlign w:val="center"/>
          </w:tcPr>
          <w:p w14:paraId="6D4E985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西眉镇污水处理厂</w:t>
            </w:r>
          </w:p>
        </w:tc>
        <w:tc>
          <w:tcPr>
            <w:tcW w:w="903" w:type="dxa"/>
            <w:vAlign w:val="center"/>
          </w:tcPr>
          <w:p w14:paraId="50FD504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2021.04</w:t>
            </w:r>
          </w:p>
        </w:tc>
        <w:tc>
          <w:tcPr>
            <w:tcW w:w="903" w:type="dxa"/>
            <w:vAlign w:val="center"/>
          </w:tcPr>
          <w:p w14:paraId="202AAE7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7.8</w:t>
            </w:r>
          </w:p>
        </w:tc>
        <w:tc>
          <w:tcPr>
            <w:tcW w:w="903" w:type="dxa"/>
            <w:vAlign w:val="center"/>
          </w:tcPr>
          <w:p w14:paraId="626EA6D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2</w:t>
            </w:r>
          </w:p>
        </w:tc>
        <w:tc>
          <w:tcPr>
            <w:tcW w:w="903" w:type="dxa"/>
            <w:vAlign w:val="center"/>
          </w:tcPr>
          <w:p w14:paraId="03EECF4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p>
        </w:tc>
        <w:tc>
          <w:tcPr>
            <w:tcW w:w="903" w:type="dxa"/>
            <w:vAlign w:val="center"/>
          </w:tcPr>
          <w:p w14:paraId="6C71993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1200</w:t>
            </w:r>
          </w:p>
        </w:tc>
        <w:tc>
          <w:tcPr>
            <w:tcW w:w="903" w:type="dxa"/>
            <w:vAlign w:val="center"/>
          </w:tcPr>
          <w:p w14:paraId="1AFBA2D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1100</w:t>
            </w:r>
          </w:p>
        </w:tc>
        <w:tc>
          <w:tcPr>
            <w:tcW w:w="903" w:type="dxa"/>
            <w:vAlign w:val="center"/>
          </w:tcPr>
          <w:p w14:paraId="4674378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A</w:t>
            </w:r>
            <w:r>
              <w:rPr>
                <w:rFonts w:hint="default" w:ascii="Times New Roman" w:hAnsi="Times New Roman" w:eastAsia="仿宋_GB2312" w:cs="Times New Roman"/>
                <w:b w:val="0"/>
                <w:bCs w:val="0"/>
                <w:color w:val="auto"/>
                <w:sz w:val="24"/>
                <w:szCs w:val="24"/>
                <w:vertAlign w:val="superscript"/>
              </w:rPr>
              <w:t>2</w:t>
            </w:r>
            <w:r>
              <w:rPr>
                <w:rFonts w:hint="default" w:ascii="Times New Roman" w:hAnsi="Times New Roman" w:eastAsia="仿宋_GB2312" w:cs="Times New Roman"/>
                <w:b w:val="0"/>
                <w:bCs w:val="0"/>
                <w:color w:val="auto"/>
                <w:sz w:val="24"/>
                <w:szCs w:val="24"/>
              </w:rPr>
              <w:t>O+斜管沉淀+滤布滤池</w:t>
            </w:r>
          </w:p>
        </w:tc>
        <w:tc>
          <w:tcPr>
            <w:tcW w:w="903" w:type="dxa"/>
            <w:vAlign w:val="center"/>
          </w:tcPr>
          <w:p w14:paraId="719C8A1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1.5</w:t>
            </w:r>
          </w:p>
        </w:tc>
        <w:tc>
          <w:tcPr>
            <w:tcW w:w="903" w:type="dxa"/>
            <w:vAlign w:val="center"/>
          </w:tcPr>
          <w:p w14:paraId="389DDAE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长垭村、金乐村</w:t>
            </w:r>
          </w:p>
        </w:tc>
        <w:tc>
          <w:tcPr>
            <w:tcW w:w="903" w:type="dxa"/>
            <w:vAlign w:val="center"/>
          </w:tcPr>
          <w:p w14:paraId="74615AE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74.14</w:t>
            </w:r>
          </w:p>
        </w:tc>
        <w:tc>
          <w:tcPr>
            <w:tcW w:w="764" w:type="dxa"/>
            <w:vAlign w:val="center"/>
          </w:tcPr>
          <w:p w14:paraId="0F5B88B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一级A标</w:t>
            </w:r>
          </w:p>
        </w:tc>
      </w:tr>
      <w:tr w14:paraId="28E7D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atLeast"/>
          <w:jc w:val="center"/>
        </w:trPr>
        <w:tc>
          <w:tcPr>
            <w:tcW w:w="652" w:type="dxa"/>
            <w:vAlign w:val="center"/>
          </w:tcPr>
          <w:p w14:paraId="053AE08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磨溪镇污水处理厂</w:t>
            </w:r>
          </w:p>
        </w:tc>
        <w:tc>
          <w:tcPr>
            <w:tcW w:w="903" w:type="dxa"/>
            <w:vAlign w:val="center"/>
          </w:tcPr>
          <w:p w14:paraId="24750B3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2020.9</w:t>
            </w:r>
          </w:p>
        </w:tc>
        <w:tc>
          <w:tcPr>
            <w:tcW w:w="903" w:type="dxa"/>
            <w:vAlign w:val="center"/>
          </w:tcPr>
          <w:p w14:paraId="702072B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6.3</w:t>
            </w:r>
          </w:p>
        </w:tc>
        <w:tc>
          <w:tcPr>
            <w:tcW w:w="903" w:type="dxa"/>
            <w:vAlign w:val="center"/>
          </w:tcPr>
          <w:p w14:paraId="505E353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6</w:t>
            </w:r>
          </w:p>
        </w:tc>
        <w:tc>
          <w:tcPr>
            <w:tcW w:w="903" w:type="dxa"/>
            <w:vAlign w:val="center"/>
          </w:tcPr>
          <w:p w14:paraId="3F64891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1.1</w:t>
            </w:r>
          </w:p>
        </w:tc>
        <w:tc>
          <w:tcPr>
            <w:tcW w:w="903" w:type="dxa"/>
            <w:vAlign w:val="center"/>
          </w:tcPr>
          <w:p w14:paraId="53366CD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600</w:t>
            </w:r>
          </w:p>
        </w:tc>
        <w:tc>
          <w:tcPr>
            <w:tcW w:w="903" w:type="dxa"/>
            <w:vAlign w:val="center"/>
          </w:tcPr>
          <w:p w14:paraId="78E2101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540</w:t>
            </w:r>
          </w:p>
        </w:tc>
        <w:tc>
          <w:tcPr>
            <w:tcW w:w="903" w:type="dxa"/>
            <w:vAlign w:val="center"/>
          </w:tcPr>
          <w:p w14:paraId="47877D8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厌氧+缺氧+MBBR+MBR</w:t>
            </w:r>
          </w:p>
        </w:tc>
        <w:tc>
          <w:tcPr>
            <w:tcW w:w="903" w:type="dxa"/>
            <w:vAlign w:val="center"/>
          </w:tcPr>
          <w:p w14:paraId="4E68BBD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0.6</w:t>
            </w:r>
          </w:p>
        </w:tc>
        <w:tc>
          <w:tcPr>
            <w:tcW w:w="903" w:type="dxa"/>
            <w:vAlign w:val="center"/>
          </w:tcPr>
          <w:p w14:paraId="1A2BB7D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登高村、千丘村</w:t>
            </w:r>
          </w:p>
        </w:tc>
        <w:tc>
          <w:tcPr>
            <w:tcW w:w="903" w:type="dxa"/>
            <w:vAlign w:val="center"/>
          </w:tcPr>
          <w:p w14:paraId="07CEE98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83.44</w:t>
            </w:r>
          </w:p>
        </w:tc>
        <w:tc>
          <w:tcPr>
            <w:tcW w:w="764" w:type="dxa"/>
            <w:vAlign w:val="center"/>
          </w:tcPr>
          <w:p w14:paraId="3964B34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仿宋_GB2312" w:cs="Times New Roman"/>
                <w:b w:val="0"/>
                <w:bCs w:val="0"/>
                <w:color w:val="auto"/>
                <w:sz w:val="24"/>
                <w:szCs w:val="24"/>
              </w:rPr>
              <w:t>一级A标</w:t>
            </w:r>
          </w:p>
        </w:tc>
      </w:tr>
    </w:tbl>
    <w:p w14:paraId="67A29F5C">
      <w:pPr>
        <w:pStyle w:val="3"/>
        <w:numPr>
          <w:ilvl w:val="0"/>
          <w:numId w:val="0"/>
        </w:numPr>
        <w:tabs>
          <w:tab w:val="left" w:pos="1275"/>
        </w:tabs>
        <w:spacing w:before="1"/>
        <w:jc w:val="left"/>
        <w:outlineLvl w:val="9"/>
        <w:rPr>
          <w:rFonts w:hint="default" w:ascii="Times New Roman" w:hAnsi="Times New Roman" w:eastAsia="仿宋_GB2312" w:cs="Times New Roman"/>
          <w:sz w:val="36"/>
          <w:szCs w:val="36"/>
          <w:lang w:val="en-US"/>
        </w:rPr>
      </w:pPr>
      <w:bookmarkStart w:id="189" w:name="_bookmark20"/>
      <w:bookmarkEnd w:id="189"/>
      <w:bookmarkStart w:id="190" w:name="4.1整治内容_"/>
      <w:bookmarkEnd w:id="190"/>
      <w:bookmarkStart w:id="191" w:name="_Toc19054"/>
      <w:bookmarkStart w:id="192" w:name="_Toc7421"/>
      <w:bookmarkStart w:id="193" w:name="_Toc14929"/>
      <w:bookmarkStart w:id="194" w:name="_Toc1537"/>
      <w:bookmarkStart w:id="195" w:name="_Toc29500"/>
      <w:bookmarkStart w:id="196" w:name="_Toc21404"/>
    </w:p>
    <w:p w14:paraId="0AD3CDB4">
      <w:pPr>
        <w:rPr>
          <w:rFonts w:hint="default" w:ascii="Times New Roman" w:hAnsi="Times New Roman" w:eastAsia="仿宋_GB2312" w:cs="Times New Roman"/>
          <w:sz w:val="36"/>
          <w:szCs w:val="36"/>
          <w:lang w:val="en-US"/>
        </w:rPr>
      </w:pPr>
    </w:p>
    <w:p w14:paraId="75A8C3F0">
      <w:pPr>
        <w:pStyle w:val="2"/>
        <w:rPr>
          <w:rFonts w:hint="default" w:ascii="Times New Roman" w:hAnsi="Times New Roman" w:cs="Times New Roman"/>
          <w:sz w:val="36"/>
          <w:szCs w:val="36"/>
          <w:lang w:val="en-US"/>
        </w:rPr>
      </w:pPr>
    </w:p>
    <w:p w14:paraId="7DC47912">
      <w:pPr>
        <w:rPr>
          <w:rFonts w:hint="default" w:ascii="Times New Roman" w:hAnsi="Times New Roman" w:eastAsia="仿宋_GB2312" w:cs="Times New Roman"/>
          <w:sz w:val="36"/>
          <w:szCs w:val="36"/>
          <w:lang w:val="en-US"/>
        </w:rPr>
      </w:pPr>
    </w:p>
    <w:p w14:paraId="0E64861B">
      <w:pPr>
        <w:pStyle w:val="2"/>
        <w:rPr>
          <w:rFonts w:hint="default" w:ascii="Times New Roman" w:hAnsi="Times New Roman" w:cs="Times New Roman"/>
          <w:sz w:val="36"/>
          <w:szCs w:val="36"/>
          <w:lang w:val="en-US"/>
        </w:rPr>
      </w:pPr>
    </w:p>
    <w:p w14:paraId="04654DAE">
      <w:pPr>
        <w:rPr>
          <w:rFonts w:hint="default" w:ascii="Times New Roman" w:hAnsi="Times New Roman" w:eastAsia="仿宋_GB2312" w:cs="Times New Roman"/>
          <w:sz w:val="36"/>
          <w:szCs w:val="36"/>
          <w:lang w:val="en-US"/>
        </w:rPr>
      </w:pPr>
    </w:p>
    <w:p w14:paraId="5E9902D4">
      <w:pPr>
        <w:pStyle w:val="2"/>
        <w:rPr>
          <w:rFonts w:hint="default" w:ascii="Times New Roman" w:hAnsi="Times New Roman" w:cs="Times New Roman"/>
          <w:sz w:val="36"/>
          <w:szCs w:val="36"/>
          <w:lang w:val="en-US"/>
        </w:rPr>
      </w:pPr>
    </w:p>
    <w:bookmarkEnd w:id="191"/>
    <w:bookmarkEnd w:id="192"/>
    <w:p w14:paraId="00A86601">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line="576" w:lineRule="exact"/>
        <w:ind w:leftChars="0" w:right="0" w:rightChars="0"/>
        <w:jc w:val="center"/>
        <w:textAlignment w:val="auto"/>
        <w:rPr>
          <w:rFonts w:hint="default" w:ascii="Times New Roman" w:hAnsi="Times New Roman" w:eastAsia="仿宋_GB2312" w:cs="Times New Roman"/>
          <w:sz w:val="44"/>
          <w:szCs w:val="44"/>
          <w:lang w:val="en-US" w:eastAsia="zh-CN"/>
        </w:rPr>
      </w:pPr>
      <w:bookmarkStart w:id="197" w:name="_Toc13730"/>
      <w:r>
        <w:rPr>
          <w:rFonts w:hint="eastAsia" w:ascii="Times New Roman" w:hAnsi="Times New Roman" w:eastAsia="方正小标宋简体" w:cs="Times New Roman"/>
          <w:b w:val="0"/>
          <w:bCs w:val="0"/>
          <w:sz w:val="44"/>
          <w:szCs w:val="44"/>
          <w:lang w:val="en-US" w:eastAsia="zh-CN"/>
        </w:rPr>
        <w:t xml:space="preserve">第五章   </w:t>
      </w:r>
      <w:r>
        <w:rPr>
          <w:rFonts w:hint="default" w:ascii="Times New Roman" w:hAnsi="Times New Roman" w:eastAsia="方正小标宋简体" w:cs="Times New Roman"/>
          <w:b w:val="0"/>
          <w:bCs w:val="0"/>
          <w:sz w:val="44"/>
          <w:szCs w:val="44"/>
          <w:lang w:val="en-US" w:eastAsia="zh-CN"/>
        </w:rPr>
        <w:t>遂宁市安居区农村生活污水处理设施运行维护管理</w:t>
      </w:r>
      <w:bookmarkEnd w:id="197"/>
    </w:p>
    <w:p w14:paraId="0F6F3952">
      <w:pPr>
        <w:pStyle w:val="12"/>
        <w:keepNext w:val="0"/>
        <w:keepLines w:val="0"/>
        <w:pageBreakBefore w:val="0"/>
        <w:widowControl w:val="0"/>
        <w:kinsoku/>
        <w:wordWrap/>
        <w:overflowPunct/>
        <w:topLinePunct w:val="0"/>
        <w:autoSpaceDE w:val="0"/>
        <w:autoSpaceDN w:val="0"/>
        <w:bidi w:val="0"/>
        <w:adjustRightInd/>
        <w:snapToGrid/>
        <w:spacing w:line="576" w:lineRule="exact"/>
        <w:ind w:right="0"/>
        <w:textAlignment w:val="auto"/>
        <w:outlineLvl w:val="9"/>
        <w:rPr>
          <w:rFonts w:hint="default" w:ascii="Times New Roman" w:hAnsi="Times New Roman" w:eastAsia="仿宋_GB2312" w:cs="Times New Roman"/>
          <w:b/>
          <w:bCs/>
          <w:sz w:val="32"/>
          <w:szCs w:val="32"/>
          <w:lang w:val="en-US" w:eastAsia="zh-CN" w:bidi="zh-CN"/>
        </w:rPr>
      </w:pPr>
    </w:p>
    <w:p w14:paraId="23BE6C4B">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198" w:name="_Toc29051"/>
      <w:r>
        <w:rPr>
          <w:rFonts w:hint="default" w:ascii="Times New Roman" w:hAnsi="Times New Roman" w:eastAsia="黑体" w:cs="Times New Roman"/>
          <w:b w:val="0"/>
          <w:bCs w:val="0"/>
          <w:sz w:val="32"/>
          <w:szCs w:val="32"/>
          <w:lang w:val="en-US" w:eastAsia="zh-CN"/>
        </w:rPr>
        <w:t>5.1农村污水处理设施现状</w:t>
      </w:r>
      <w:bookmarkEnd w:id="198"/>
    </w:p>
    <w:p w14:paraId="598EE80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由于农村污水处理设施分散，加上参与农村污水建设的各部门、乡镇、村及</w:t>
      </w:r>
      <w:r>
        <w:rPr>
          <w:rFonts w:hint="default" w:ascii="Times New Roman" w:hAnsi="Times New Roman" w:eastAsia="仿宋_GB2312" w:cs="Times New Roman"/>
          <w:sz w:val="32"/>
          <w:szCs w:val="32"/>
          <w:lang w:val="en-US" w:eastAsia="zh-CN"/>
        </w:rPr>
        <w:t>施工</w:t>
      </w:r>
      <w:r>
        <w:rPr>
          <w:rFonts w:hint="default" w:ascii="Times New Roman" w:hAnsi="Times New Roman" w:eastAsia="仿宋_GB2312" w:cs="Times New Roman"/>
          <w:sz w:val="32"/>
          <w:szCs w:val="32"/>
          <w:lang w:val="en-US"/>
        </w:rPr>
        <w:t>单位技术力量参差不齐，造成在分散式生活污水处理设施运营管理过程中，不但遇到水处理技术上的难题，更面临有效管理的巨大挑战。目前农村生活污水处理处理设施运维管理中主要存在问题有：</w:t>
      </w:r>
    </w:p>
    <w:p w14:paraId="69F95E29">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（1）未形成有效的污水处理设施长效运维管理体系，</w:t>
      </w:r>
    </w:p>
    <w:p w14:paraId="5FFA5274">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（2）部分设施站点设计、建设上存在一定的先天不足问题，难以进行有效的正常运维管理。</w:t>
      </w:r>
    </w:p>
    <w:p w14:paraId="5F41A3E5">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管网方面：部分农行户未做检查井；部分设施接户不到位，洗衣废水部分排入沟渠与雨水混流直排；部分农户仅将厕所废水排入化粪池，其余直排；管网检查井不设或部分井盖破损，无法打开等。</w:t>
      </w:r>
    </w:p>
    <w:p w14:paraId="2846849B">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终端方面：治理配套设施不完善，部分站点无有效除磷和消毒设施不规范，导致出水部分指标不达标；部分站点未考虑设置应急设施。</w:t>
      </w:r>
    </w:p>
    <w:p w14:paraId="2D76A9D7">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运维管理水平也有待进一步提升。第三方运维服务公司总体专业人员尚有等进一步提升，服务能力有待加强，企业运维管理平台精细化管理功能、水质自检数据准确性等，均有待进一步提高。在落实“五位一体”管理方面有待进一步提升，如运维范围划分、户内设施运维、化粪池清掏、终端维修养护等责任划分方面有待进一步明确与落实责任主体。</w:t>
      </w:r>
    </w:p>
    <w:p w14:paraId="12B3E65E">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对户内设施的日常运维管理与新建民房的纳管受益工作有待明确责任主体，并落实考核工作与资金保障工作。作为“五位一体”中的重要性和基础性一方，农户负责自家厕所水、厨房水、洗涤水等的接入，并负责做好户内设施（化粪池、接户管、户用检查井等）的渗漏、堵塞和破损等的维修更换工作。但在实践工作中，农户一方（户内设施）的运维与新建民居的纳管工作处于监管缺失状态，缺乏实操性，监管手段缺乏，维护责任难以落实，接户设施的破损与渗漏基本无人管护，并且该现象具有较大的普遍性，一些偏远经济薄弱村落甚是，部分村落的房前屋后因接户设施破损无人维护，甚至有漏滴现象。</w:t>
      </w:r>
    </w:p>
    <w:p w14:paraId="59D9D6D4">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b/>
          <w:bCs/>
          <w:sz w:val="32"/>
          <w:szCs w:val="32"/>
          <w:lang w:val="en-US" w:eastAsia="zh-CN" w:bidi="zh-CN"/>
        </w:rPr>
      </w:pPr>
      <w:r>
        <w:rPr>
          <w:rFonts w:hint="default" w:ascii="Times New Roman" w:hAnsi="Times New Roman" w:eastAsia="仿宋_GB2312" w:cs="Times New Roman"/>
          <w:sz w:val="32"/>
          <w:szCs w:val="32"/>
          <w:lang w:val="en-US" w:eastAsia="zh-CN"/>
        </w:rPr>
        <w:t>（5）部分村庄，农户环保意识不够强，没有充分的认识到环保的重要性，对污水治理意识不够强。</w:t>
      </w:r>
    </w:p>
    <w:p w14:paraId="40C013F4">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199" w:name="_Toc22935"/>
      <w:bookmarkStart w:id="200" w:name="_Toc24920"/>
      <w:bookmarkStart w:id="201" w:name="_Toc9075"/>
      <w:r>
        <w:rPr>
          <w:rFonts w:hint="default" w:ascii="Times New Roman" w:hAnsi="Times New Roman" w:eastAsia="黑体" w:cs="Times New Roman"/>
          <w:b w:val="0"/>
          <w:bCs w:val="0"/>
          <w:sz w:val="32"/>
          <w:szCs w:val="32"/>
          <w:lang w:val="en-US" w:eastAsia="zh-CN"/>
        </w:rPr>
        <w:t>5.2运维管理规划</w:t>
      </w:r>
      <w:bookmarkEnd w:id="199"/>
      <w:bookmarkEnd w:id="200"/>
      <w:bookmarkEnd w:id="201"/>
    </w:p>
    <w:p w14:paraId="3AC5C841">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目前农村生活污水治理设施的运维管理主要有三大模式：</w:t>
      </w:r>
    </w:p>
    <w:p w14:paraId="79E8A8B0">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1、委托第三方运维管理模式：该模式由政府引进第三方专业服务机构，通过购买服务形式将运行管理交由有资质的企业进行，专业化程度较高，运维服务相对比较到位，但监管和考核有一定难度；</w:t>
      </w:r>
    </w:p>
    <w:p w14:paraId="1908F1B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2、乡镇统筹运维管理模式：由乡镇政府直接牵头组织运维，其属地管理职责明确、易于实施，但技术保障不足，易导致政府大包大揽；</w:t>
      </w:r>
    </w:p>
    <w:p w14:paraId="706536CD">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3、村级自我运维管理模式，由村委会牵头承担运维管理，其管理成本低，但容易导致失管失修，管理能力有限、综合效益较低。</w:t>
      </w:r>
    </w:p>
    <w:p w14:paraId="65259436">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sz w:val="32"/>
          <w:szCs w:val="32"/>
          <w:lang w:val="en-US" w:eastAsia="zh-CN"/>
        </w:rPr>
        <w:t>根据目前运维现状情况以及长远规划来看，委托第三方运维管理模式是一种较为有效的，也是应当倡导的运维管理模式。为规范第三方运维服务机构对农村生活污水处理设施的运行维护，充分发挥农村生活污水处理设施治污成效，按照运维管理目标，需健全管理构架，落实各级管理职责，结合当地实际情况，落实“五位一体”运维管理体系。近期，出水污染物排放达标率不低于80%。远期，实现农村生活污水治理水平和运维水平全面提升，出水污染物排放达标率进一步提高，达标率不低于95%。</w:t>
      </w:r>
    </w:p>
    <w:p w14:paraId="4F259ACD">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02" w:name="_Toc8185"/>
      <w:bookmarkStart w:id="203" w:name="_Toc2980"/>
      <w:bookmarkStart w:id="204" w:name="_Toc23039"/>
      <w:r>
        <w:rPr>
          <w:rFonts w:hint="default" w:ascii="Times New Roman" w:hAnsi="Times New Roman" w:eastAsia="黑体" w:cs="Times New Roman"/>
          <w:b w:val="0"/>
          <w:bCs w:val="0"/>
          <w:sz w:val="32"/>
          <w:szCs w:val="32"/>
          <w:lang w:val="en-US" w:eastAsia="zh-CN"/>
        </w:rPr>
        <w:t>5.3农村生活污水治理设施运维模式的选择</w:t>
      </w:r>
      <w:bookmarkEnd w:id="202"/>
      <w:bookmarkEnd w:id="203"/>
      <w:bookmarkEnd w:id="204"/>
    </w:p>
    <w:p w14:paraId="559341C4">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委托第三方运维管理模式是一种较为理想的运维模式；但实际上由于区域面积、生活污水处理设施、技术工艺和分布情况的不同，对城镇建成区周边的村庄，纳入城镇污水厂后，交由第三方运维机构城乡一体化运维；对距离城市较远且布局集中的村庄，鼓励第三方运维机构，按片区托管或总承包的方式开展运维管理服务；对所处地区偏远、布局分散、人口稀少运维技术水平要求不高的村庄，可采用先培训，后自行运维方式。运维管理的设施应包括处理设施和配套管网系统，不宜拆分管理。</w:t>
      </w:r>
    </w:p>
    <w:p w14:paraId="592A765E">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各村经济情况差异，模式的确定需依据不同的情况而定。</w:t>
      </w:r>
    </w:p>
    <w:p w14:paraId="2B66BBCB">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05" w:name="_Toc3357"/>
      <w:bookmarkStart w:id="206" w:name="_Toc26431"/>
      <w:bookmarkStart w:id="207" w:name="_Toc7072"/>
      <w:r>
        <w:rPr>
          <w:rFonts w:hint="default" w:ascii="Times New Roman" w:hAnsi="Times New Roman" w:eastAsia="黑体" w:cs="Times New Roman"/>
          <w:b w:val="0"/>
          <w:bCs w:val="0"/>
          <w:sz w:val="32"/>
          <w:szCs w:val="32"/>
          <w:lang w:val="en-US" w:eastAsia="zh-CN"/>
        </w:rPr>
        <w:t>5.4</w:t>
      </w:r>
      <w:bookmarkEnd w:id="205"/>
      <w:bookmarkEnd w:id="206"/>
      <w:bookmarkStart w:id="208" w:name="_Toc4150"/>
      <w:bookmarkStart w:id="209" w:name="_Toc25803"/>
      <w:r>
        <w:rPr>
          <w:rFonts w:hint="default" w:ascii="Times New Roman" w:hAnsi="Times New Roman" w:eastAsia="黑体" w:cs="Times New Roman"/>
          <w:b w:val="0"/>
          <w:bCs w:val="0"/>
          <w:sz w:val="32"/>
          <w:szCs w:val="32"/>
          <w:lang w:val="en-US" w:eastAsia="zh-CN"/>
        </w:rPr>
        <w:t>建立农村生活污水处理设施运行维护管理办法</w:t>
      </w:r>
      <w:bookmarkEnd w:id="207"/>
      <w:bookmarkEnd w:id="208"/>
      <w:bookmarkEnd w:id="209"/>
    </w:p>
    <w:p w14:paraId="3534D382">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0"/>
        <w:rPr>
          <w:rFonts w:hint="default" w:ascii="Times New Roman" w:hAnsi="Times New Roman" w:eastAsia="仿宋_GB2312" w:cs="Times New Roman"/>
          <w:sz w:val="32"/>
          <w:szCs w:val="32"/>
          <w:lang w:val="en-US" w:eastAsia="zh-CN" w:bidi="zh-CN"/>
        </w:rPr>
      </w:pPr>
      <w:bookmarkStart w:id="210" w:name="_Toc7025"/>
      <w:r>
        <w:rPr>
          <w:rFonts w:hint="default" w:ascii="Times New Roman" w:hAnsi="Times New Roman" w:eastAsia="仿宋_GB2312" w:cs="Times New Roman"/>
          <w:sz w:val="32"/>
          <w:szCs w:val="32"/>
          <w:lang w:val="en-US" w:eastAsia="zh-CN" w:bidi="zh-CN"/>
        </w:rPr>
        <w:t>第一章</w:t>
      </w:r>
      <w:r>
        <w:rPr>
          <w:rFonts w:hint="default" w:ascii="Times New Roman" w:hAnsi="Times New Roman" w:eastAsia="仿宋_GB2312" w:cs="Times New Roman"/>
          <w:sz w:val="32"/>
          <w:szCs w:val="32"/>
          <w:lang w:val="en-US" w:eastAsia="zh-CN" w:bidi="zh-CN"/>
        </w:rPr>
        <w:tab/>
      </w:r>
      <w:r>
        <w:rPr>
          <w:rFonts w:hint="default" w:ascii="Times New Roman" w:hAnsi="Times New Roman" w:eastAsia="仿宋_GB2312" w:cs="Times New Roman"/>
          <w:sz w:val="32"/>
          <w:szCs w:val="32"/>
          <w:lang w:val="en-US" w:eastAsia="zh-CN" w:bidi="zh-CN"/>
        </w:rPr>
        <w:t>总</w:t>
      </w:r>
      <w:r>
        <w:rPr>
          <w:rFonts w:hint="default" w:ascii="Times New Roman" w:hAnsi="Times New Roman" w:eastAsia="仿宋_GB2312" w:cs="Times New Roman"/>
          <w:sz w:val="32"/>
          <w:szCs w:val="32"/>
          <w:lang w:val="en-US" w:eastAsia="zh-CN" w:bidi="zh-CN"/>
        </w:rPr>
        <w:tab/>
      </w:r>
      <w:r>
        <w:rPr>
          <w:rFonts w:hint="default" w:ascii="Times New Roman" w:hAnsi="Times New Roman" w:eastAsia="仿宋_GB2312" w:cs="Times New Roman"/>
          <w:sz w:val="32"/>
          <w:szCs w:val="32"/>
          <w:lang w:val="en-US" w:eastAsia="zh-CN" w:bidi="zh-CN"/>
        </w:rPr>
        <w:t>则</w:t>
      </w:r>
      <w:bookmarkEnd w:id="210"/>
    </w:p>
    <w:p w14:paraId="64856FAC">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一条为规范和加强全区农村生活污水处理设施运维管理，保障处理设施正常运行，做好乡镇行政区划和村级建制调整改革“后半篇”文章，促进乡村生态振兴，根据有关法律、法规，结合工作实际，制定本办法。</w:t>
      </w:r>
    </w:p>
    <w:p w14:paraId="0F7B0A6D">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第二条本办法适用于全区行政区域内农村生活污水处理设施的运行维护和监督管理。</w:t>
      </w:r>
    </w:p>
    <w:p w14:paraId="00017587">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第三条本办法所称农村生活污水，是指农村居民生活活动所产生的污水，主要包括冲厕、洗涤、洗浴和厨房等排水。</w:t>
      </w:r>
    </w:p>
    <w:p w14:paraId="154343DB">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本办法所称农村生活污水处理设施，是指对农村生活污水进行收集处理的建筑物、构筑物及设备，包括污水收集系统、预处理设施、生态处理设施、生物处理设施及其他附属设施。</w:t>
      </w:r>
    </w:p>
    <w:p w14:paraId="6E8AE012">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第四条严格限制农村生活污水处理设施进水种类。屠宰、养殖、酿酒、泡菜、豆制品等行业和中型及以上规模餐馆产生的废水不得进入农村生活污水处理设施。</w:t>
      </w:r>
    </w:p>
    <w:p w14:paraId="6C220E1C">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第五条农村生活污水处理设施运维管理坚持“政府主导、群众参与，属地为主、规范管理，因地制宜、注重实效”原则，实现“设施完好、运行稳定、水质达标、效益持续”目标。</w:t>
      </w:r>
    </w:p>
    <w:p w14:paraId="16FDE03C">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0"/>
        <w:rPr>
          <w:rFonts w:hint="default" w:ascii="Times New Roman" w:hAnsi="Times New Roman" w:eastAsia="仿宋_GB2312" w:cs="Times New Roman"/>
          <w:sz w:val="32"/>
          <w:szCs w:val="32"/>
          <w:lang w:val="en-US" w:eastAsia="zh-CN" w:bidi="zh-CN"/>
        </w:rPr>
      </w:pPr>
      <w:bookmarkStart w:id="211" w:name="_Toc26140"/>
      <w:r>
        <w:rPr>
          <w:rFonts w:hint="default" w:ascii="Times New Roman" w:hAnsi="Times New Roman" w:eastAsia="仿宋_GB2312" w:cs="Times New Roman"/>
          <w:sz w:val="32"/>
          <w:szCs w:val="32"/>
          <w:lang w:val="en-US" w:eastAsia="zh-CN" w:bidi="zh-CN"/>
        </w:rPr>
        <w:t>第二章</w:t>
      </w:r>
      <w:r>
        <w:rPr>
          <w:rFonts w:hint="default" w:ascii="Times New Roman" w:hAnsi="Times New Roman" w:eastAsia="仿宋_GB2312" w:cs="Times New Roman"/>
          <w:sz w:val="32"/>
          <w:szCs w:val="32"/>
          <w:lang w:val="en-US" w:eastAsia="zh-CN" w:bidi="zh-CN"/>
        </w:rPr>
        <w:tab/>
      </w:r>
      <w:r>
        <w:rPr>
          <w:rFonts w:hint="default" w:ascii="Times New Roman" w:hAnsi="Times New Roman" w:eastAsia="仿宋_GB2312" w:cs="Times New Roman"/>
          <w:sz w:val="32"/>
          <w:szCs w:val="32"/>
          <w:lang w:val="en-US" w:eastAsia="zh-CN" w:bidi="zh-CN"/>
        </w:rPr>
        <w:t>管理体系</w:t>
      </w:r>
      <w:bookmarkEnd w:id="211"/>
    </w:p>
    <w:p w14:paraId="107DB69B">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第六条建立健全区级人民政府督导、镇级人民政府负责实施、村级组织配合、第三方专业机构提供服务的农村生活污水处理设施运行维护管理体系。</w:t>
      </w:r>
    </w:p>
    <w:p w14:paraId="74F6856E">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第七条区有关部门按照职责分工协同做好相关工作，确保农村生活污水处理设施得到良好运维。</w:t>
      </w:r>
    </w:p>
    <w:p w14:paraId="1A1A3FE1">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一）安居生态环境局负责全区农村生活污水处理设施运行维护管理的指导工作，随机抽检污水处理设施运行维护管理情况，对农村生活污水处理设施排放水质进行监督性监测，对农村生活污水处理设施项目业主单位加强督促指导。</w:t>
      </w:r>
    </w:p>
    <w:p w14:paraId="64E8284C">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（二）区乡村振兴局负责全区农村旱改厕的督导检查，明确厕所设施管护机制，配套建立相应的维修服务体系。加强农村厕所与生活污水治理的衔接，有效提高污水收集率和资源化利用率。</w:t>
      </w:r>
    </w:p>
    <w:p w14:paraId="1DC7C43A">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（三）区发展和改革局负责会同有关部门积极向上级主管部门争取全区农村生活污水处理设施用电优惠政策。</w:t>
      </w:r>
    </w:p>
    <w:p w14:paraId="49EBFA83">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（四）区财政局负责全区农村生活污水处理设施运行维护资金保障和监管工作。</w:t>
      </w:r>
    </w:p>
    <w:p w14:paraId="07B95A95">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（五）各农村污水处理设施项目业主单位负责加快推进项目建设，确保达标移交、早日投运。其他区直相关部门依据其职能职责做好保障农村生活污水处理设施正常运行相关工作。</w:t>
      </w:r>
    </w:p>
    <w:p w14:paraId="1171D470">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第八条镇人民政府是农村生活污水处理设施运行维护管理的实施主体，履行维护管理责任。</w:t>
      </w:r>
    </w:p>
    <w:p w14:paraId="09CFD978">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九条村级组织应在镇人民政府的指导下，完善村规民约，引导农户逐步提升环保意识，督促农户检查自家厕所污水、厨房洗涤用水等接入设施情况、及时清掏化粪池等，引导农户自觉管理户内污水管网和环境卫生。</w:t>
      </w:r>
    </w:p>
    <w:p w14:paraId="5C82AC48">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0"/>
        <w:rPr>
          <w:rFonts w:hint="default" w:ascii="Times New Roman" w:hAnsi="Times New Roman" w:eastAsia="仿宋_GB2312" w:cs="Times New Roman"/>
          <w:sz w:val="32"/>
          <w:szCs w:val="32"/>
          <w:lang w:val="en-US" w:eastAsia="zh-CN" w:bidi="zh-CN"/>
        </w:rPr>
      </w:pPr>
      <w:bookmarkStart w:id="212" w:name="_Toc113"/>
      <w:r>
        <w:rPr>
          <w:rFonts w:hint="default" w:ascii="Times New Roman" w:hAnsi="Times New Roman" w:eastAsia="仿宋_GB2312" w:cs="Times New Roman"/>
          <w:sz w:val="32"/>
          <w:szCs w:val="32"/>
          <w:lang w:val="en-US" w:eastAsia="zh-CN" w:bidi="zh-CN"/>
        </w:rPr>
        <w:t>第三章</w:t>
      </w:r>
      <w:r>
        <w:rPr>
          <w:rFonts w:hint="default" w:ascii="Times New Roman" w:hAnsi="Times New Roman" w:eastAsia="仿宋_GB2312" w:cs="Times New Roman"/>
          <w:sz w:val="32"/>
          <w:szCs w:val="32"/>
          <w:lang w:val="en-US" w:eastAsia="zh-CN" w:bidi="zh-CN"/>
        </w:rPr>
        <w:tab/>
      </w:r>
      <w:r>
        <w:rPr>
          <w:rFonts w:hint="default" w:ascii="Times New Roman" w:hAnsi="Times New Roman" w:eastAsia="仿宋_GB2312" w:cs="Times New Roman"/>
          <w:sz w:val="32"/>
          <w:szCs w:val="32"/>
          <w:lang w:val="en-US" w:eastAsia="zh-CN" w:bidi="zh-CN"/>
        </w:rPr>
        <w:t>运维管理</w:t>
      </w:r>
      <w:bookmarkEnd w:id="212"/>
    </w:p>
    <w:p w14:paraId="48326FD0">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第十条镇人民政府要依据法律法规、标准规范，制订运行维护手册、操作规程和突发环境事件应急预案等，落实运维管理人员。</w:t>
      </w:r>
    </w:p>
    <w:p w14:paraId="2530147C">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第十一条镇人民政府应建立运维管理台账制度，管理台账应包括巡查、设备检修及养护、运行故障及处理结果、进出水水量及水质监测、物资使用及污泥处理、运输、处置等。</w:t>
      </w:r>
    </w:p>
    <w:p w14:paraId="252073D1">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十二条镇人民政府应定期对农村生活污水处理设施出水水质进行监测，出水水质按照《四川省农村生活污水处理设施水污染物排放标准》（DB51/2626-2019）、《城镇污水处理厂污染物排放标准》（GB18918-2002）相关要求执行。</w:t>
      </w:r>
    </w:p>
    <w:p w14:paraId="0CA46351">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第十三条镇人民政府不得擅自停运农村生活污水处理设施，因检修等原因需要停运或者部分停运的，应当提前十五个工作日向安居生态环境局书面报告停运原因、停运时间、应急措施等。</w:t>
      </w:r>
    </w:p>
    <w:p w14:paraId="2599A2DC">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第十四条农村生活污水处理设施出现故障或因不可抗力导致运行不正常的，镇人民政府应在24小时内向安居生态环境局报告，并启动应急预案，限时完成问题处理。</w:t>
      </w:r>
    </w:p>
    <w:p w14:paraId="3E82286D">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第十五条镇人民政府应在设施所在地公示运维责任、运维人员及联系电话等内容。</w:t>
      </w:r>
    </w:p>
    <w:p w14:paraId="4E1464DC">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十六条镇人民政府应落实专职人员定期做好巡检，在对污水处理设施进行巡检的同时，要做好管网收集系统的巡查和故障的处置，每周应对收集管网系统及其相关构筑物进行一次全面的巡查检查，对管网中出现的一般滴、漏、坏、堵等异常现象，尽快处理修复。人工湿地要定期检查植物生长状况，并进行病虫害防治；及时补种和修枝剪叶，清除杂草、垃圾等，保持植物长势良好；要定期检查过滤系统是否堵塞，如遇堵塞应及时采取措施进行修复，保证出水畅通。</w:t>
      </w:r>
    </w:p>
    <w:p w14:paraId="7FAB8E3A">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第十七条安居生态环境局、区住建局要统筹谋划农村生活污水处理设施运维管理模式，适时启动委托有实力的专业机构作为运维单位，统一运维管理城镇和农村生活污水处理设施。</w:t>
      </w:r>
    </w:p>
    <w:p w14:paraId="1B443E5B">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0"/>
        <w:rPr>
          <w:rFonts w:hint="default" w:ascii="Times New Roman" w:hAnsi="Times New Roman" w:eastAsia="仿宋_GB2312" w:cs="Times New Roman"/>
          <w:sz w:val="32"/>
          <w:szCs w:val="32"/>
          <w:lang w:val="en-US" w:eastAsia="zh-CN" w:bidi="zh-CN"/>
        </w:rPr>
      </w:pPr>
      <w:bookmarkStart w:id="213" w:name="_Toc30821"/>
      <w:r>
        <w:rPr>
          <w:rFonts w:hint="default" w:ascii="Times New Roman" w:hAnsi="Times New Roman" w:eastAsia="仿宋_GB2312" w:cs="Times New Roman"/>
          <w:sz w:val="32"/>
          <w:szCs w:val="32"/>
          <w:lang w:val="en-US" w:eastAsia="zh-CN" w:bidi="zh-CN"/>
        </w:rPr>
        <w:t>第四章监督考核</w:t>
      </w:r>
      <w:bookmarkEnd w:id="213"/>
    </w:p>
    <w:p w14:paraId="3C10188A">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十八条安居生态环境局将农村生活污水处理设施运行管理情况的监督检查纳入日常工作，不定期开展农村生活污水处理设施运维情况抽查，并将抽查情况报告区人民政府，对于发现问题的，向镇人民政府提出限期整改要求，逾期未整改到位的，约谈相关负责人并通报批评。</w:t>
      </w:r>
    </w:p>
    <w:p w14:paraId="629C3229">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第十九条安居生态环境局对农村生活污水处理设施运行维护管理情况进行考核，考核结果计入年度绩效考核，并作为拨付运行维护经费的重要依据。</w:t>
      </w:r>
    </w:p>
    <w:p w14:paraId="7FB34EEC">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0"/>
        <w:rPr>
          <w:rFonts w:hint="default" w:ascii="Times New Roman" w:hAnsi="Times New Roman" w:eastAsia="仿宋_GB2312" w:cs="Times New Roman"/>
          <w:sz w:val="32"/>
          <w:szCs w:val="32"/>
          <w:lang w:val="en-US" w:eastAsia="zh-CN" w:bidi="zh-CN"/>
        </w:rPr>
      </w:pPr>
      <w:bookmarkStart w:id="214" w:name="_Toc23011"/>
      <w:r>
        <w:rPr>
          <w:rFonts w:hint="default" w:ascii="Times New Roman" w:hAnsi="Times New Roman" w:eastAsia="仿宋_GB2312" w:cs="Times New Roman"/>
          <w:sz w:val="32"/>
          <w:szCs w:val="32"/>
          <w:lang w:val="en-US" w:eastAsia="zh-CN" w:bidi="zh-CN"/>
        </w:rPr>
        <w:t>第五章</w:t>
      </w:r>
      <w:r>
        <w:rPr>
          <w:rFonts w:hint="default" w:ascii="Times New Roman" w:hAnsi="Times New Roman" w:eastAsia="仿宋_GB2312" w:cs="Times New Roman"/>
          <w:sz w:val="32"/>
          <w:szCs w:val="32"/>
          <w:lang w:val="en-US" w:eastAsia="zh-CN" w:bidi="zh-CN"/>
        </w:rPr>
        <w:tab/>
      </w:r>
      <w:r>
        <w:rPr>
          <w:rFonts w:hint="default" w:ascii="Times New Roman" w:hAnsi="Times New Roman" w:eastAsia="仿宋_GB2312" w:cs="Times New Roman"/>
          <w:sz w:val="32"/>
          <w:szCs w:val="32"/>
          <w:lang w:val="en-US" w:eastAsia="zh-CN" w:bidi="zh-CN"/>
        </w:rPr>
        <w:t>资金保障</w:t>
      </w:r>
      <w:bookmarkEnd w:id="214"/>
    </w:p>
    <w:p w14:paraId="5F994F46">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第二十条区财政局要加大农村生活污水处理设施运维管理资金投入，将所需经费纳入财政预算，保障污水处理设施长效运行。</w:t>
      </w:r>
    </w:p>
    <w:p w14:paraId="6AF665DC">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第二十一条安居生态环境局负责对农村污水处理设施运维管理费用的审核，经区财政局审定后拨付镇财政。</w:t>
      </w:r>
    </w:p>
    <w:p w14:paraId="5D29214F">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第二十二条各镇人民政府应当加强对污水处理设施运行维护经费的使用管理，不得截留、挤占、挪用资金。</w:t>
      </w:r>
    </w:p>
    <w:p w14:paraId="10E56ABA">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第二十三条有下列情形之一的，不予安排补助资金，并追究运营主体相应责任；</w:t>
      </w:r>
    </w:p>
    <w:p w14:paraId="79568D0E">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（一）未落实日常运行维护管理机制的；</w:t>
      </w:r>
    </w:p>
    <w:p w14:paraId="1DC4FDF1">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（二）污水处理设施出水水质不合格，经整改后仍达不到要求的；</w:t>
      </w:r>
    </w:p>
    <w:p w14:paraId="754870C8">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（三）污水处理设施未运行的；</w:t>
      </w:r>
    </w:p>
    <w:p w14:paraId="3632C439">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（四）造成群众3次（含）以上有效投诉，或被媒体曝光造成重大社会影响的。</w:t>
      </w:r>
    </w:p>
    <w:p w14:paraId="6D4E020F">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0"/>
        <w:rPr>
          <w:rFonts w:hint="default" w:ascii="Times New Roman" w:hAnsi="Times New Roman" w:eastAsia="仿宋_GB2312" w:cs="Times New Roman"/>
          <w:sz w:val="32"/>
          <w:szCs w:val="32"/>
          <w:lang w:val="en-US" w:eastAsia="zh-CN" w:bidi="zh-CN"/>
        </w:rPr>
      </w:pPr>
      <w:bookmarkStart w:id="215" w:name="_Toc16072"/>
      <w:r>
        <w:rPr>
          <w:rFonts w:hint="default" w:ascii="Times New Roman" w:hAnsi="Times New Roman" w:eastAsia="仿宋_GB2312" w:cs="Times New Roman"/>
          <w:sz w:val="32"/>
          <w:szCs w:val="32"/>
          <w:lang w:val="en-US" w:eastAsia="zh-CN" w:bidi="zh-CN"/>
        </w:rPr>
        <w:t>第六章</w:t>
      </w:r>
      <w:r>
        <w:rPr>
          <w:rFonts w:hint="default" w:ascii="Times New Roman" w:hAnsi="Times New Roman" w:eastAsia="仿宋_GB2312" w:cs="Times New Roman"/>
          <w:sz w:val="32"/>
          <w:szCs w:val="32"/>
          <w:lang w:val="en-US" w:eastAsia="zh-CN" w:bidi="zh-CN"/>
        </w:rPr>
        <w:tab/>
      </w:r>
      <w:r>
        <w:rPr>
          <w:rFonts w:hint="default" w:ascii="Times New Roman" w:hAnsi="Times New Roman" w:eastAsia="仿宋_GB2312" w:cs="Times New Roman"/>
          <w:sz w:val="32"/>
          <w:szCs w:val="32"/>
          <w:lang w:val="en-US" w:eastAsia="zh-CN" w:bidi="zh-CN"/>
        </w:rPr>
        <w:t>附</w:t>
      </w:r>
      <w:r>
        <w:rPr>
          <w:rFonts w:hint="default" w:ascii="Times New Roman" w:hAnsi="Times New Roman" w:eastAsia="仿宋_GB2312" w:cs="Times New Roman"/>
          <w:sz w:val="32"/>
          <w:szCs w:val="32"/>
          <w:lang w:val="en-US" w:eastAsia="zh-CN" w:bidi="zh-CN"/>
        </w:rPr>
        <w:tab/>
      </w:r>
      <w:r>
        <w:rPr>
          <w:rFonts w:hint="default" w:ascii="Times New Roman" w:hAnsi="Times New Roman" w:eastAsia="仿宋_GB2312" w:cs="Times New Roman"/>
          <w:sz w:val="32"/>
          <w:szCs w:val="32"/>
          <w:lang w:val="en-US" w:eastAsia="zh-CN" w:bidi="zh-CN"/>
        </w:rPr>
        <w:t>则</w:t>
      </w:r>
      <w:bookmarkEnd w:id="215"/>
    </w:p>
    <w:p w14:paraId="61DF21AB">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第二十四条本办法自颁布之日起执行。</w:t>
      </w:r>
    </w:p>
    <w:p w14:paraId="18CF516B">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第二十五条本办法由安居生态环境局负责解释。</w:t>
      </w:r>
    </w:p>
    <w:p w14:paraId="5E554752">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16" w:name="_Toc3777"/>
      <w:bookmarkStart w:id="217" w:name="_Toc13395"/>
      <w:bookmarkStart w:id="218" w:name="_Toc938"/>
      <w:r>
        <w:rPr>
          <w:rFonts w:hint="default" w:ascii="Times New Roman" w:hAnsi="Times New Roman" w:eastAsia="黑体" w:cs="Times New Roman"/>
          <w:b w:val="0"/>
          <w:bCs w:val="0"/>
          <w:sz w:val="32"/>
          <w:szCs w:val="32"/>
          <w:lang w:val="en-US" w:eastAsia="zh-CN"/>
        </w:rPr>
        <w:t>5.5环境监管</w:t>
      </w:r>
      <w:bookmarkEnd w:id="216"/>
      <w:bookmarkEnd w:id="217"/>
      <w:bookmarkEnd w:id="218"/>
    </w:p>
    <w:p w14:paraId="29297A1A">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（1）建立农村生活污水监测制度，加强对日处理能力20吨及以上的农村生活污水处理设施出水水质监测。建立和完善管理台账，掌握县域农村生活污水处理设施分布和运行情况。</w:t>
      </w:r>
    </w:p>
    <w:p w14:paraId="31E257A7">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（2）结合《农村生活污水处理设施水污染物排放标准》（DB512626-2019），执行农村生活污水处理设施运维管理工作考核办法。建立运维管理评价结果与运维经费及乡镇考核挂钩的奖惩机制，逐步提高运维效率。</w:t>
      </w:r>
    </w:p>
    <w:p w14:paraId="493F830F">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19" w:name="_Toc27347"/>
      <w:bookmarkStart w:id="220" w:name="_Toc27460"/>
      <w:bookmarkStart w:id="221" w:name="_Toc2087"/>
      <w:r>
        <w:rPr>
          <w:rFonts w:hint="default" w:ascii="Times New Roman" w:hAnsi="Times New Roman" w:eastAsia="黑体" w:cs="Times New Roman"/>
          <w:b w:val="0"/>
          <w:bCs w:val="0"/>
          <w:sz w:val="32"/>
          <w:szCs w:val="32"/>
          <w:lang w:val="en-US" w:eastAsia="zh-CN"/>
        </w:rPr>
        <w:t>5.6运营成本的估算</w:t>
      </w:r>
      <w:bookmarkEnd w:id="219"/>
      <w:bookmarkEnd w:id="220"/>
      <w:bookmarkEnd w:id="221"/>
    </w:p>
    <w:p w14:paraId="297861D8">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运营综合费用的组成主要由：电费、药剂费、人工费、管网设备维护费，污泥处置费等构成；农村污水处理系统现有集中式、分散式和纳厂式三种模式，对农村生活污水处理设施运维企业综合费用按照不同模式分别计算。</w:t>
      </w:r>
    </w:p>
    <w:p w14:paraId="7FB74916">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集中式的运维企业综合费用按每套站点计算。每套站点费用包括污水处理终端设施运维费用及其相应的污水管网运维费用。</w:t>
      </w:r>
    </w:p>
    <w:p w14:paraId="604202BE">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分散式运维企业综合费按户计算，费用包括小型污水处理设施运维费用及其对应管道（不包含户内管道）的运维费用</w:t>
      </w:r>
      <w:bookmarkStart w:id="222" w:name="OLE_LINK9"/>
      <w:r>
        <w:rPr>
          <w:rFonts w:hint="default" w:ascii="Times New Roman" w:hAnsi="Times New Roman" w:eastAsia="仿宋_GB2312" w:cs="Times New Roman"/>
          <w:sz w:val="32"/>
          <w:szCs w:val="32"/>
          <w:lang w:val="en-US" w:eastAsia="zh-CN" w:bidi="zh-CN"/>
        </w:rPr>
        <w:t>。</w:t>
      </w:r>
    </w:p>
    <w:bookmarkEnd w:id="222"/>
    <w:p w14:paraId="34510282">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纳厂式运维企业综合费按户计算，费用仅包含农村生活污水处理管网纳入市政污水管网前的运维费用。</w:t>
      </w:r>
    </w:p>
    <w:p w14:paraId="0DAA1CFC">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上述综合费用指导价未包含户内设施部分费用、运维设施电费和运维设施大修费用；运维设施电费可按运维企业综合费的20%~30%计算；运维设施大修费可按</w:t>
      </w:r>
      <w:bookmarkStart w:id="223" w:name="OLE_LINK16"/>
      <w:r>
        <w:rPr>
          <w:rFonts w:hint="default" w:ascii="Times New Roman" w:hAnsi="Times New Roman" w:eastAsia="仿宋_GB2312" w:cs="Times New Roman"/>
          <w:sz w:val="32"/>
          <w:szCs w:val="32"/>
          <w:lang w:val="en-US" w:eastAsia="zh-CN" w:bidi="zh-CN"/>
        </w:rPr>
        <w:t>运维设施建设总投资的1%</w:t>
      </w:r>
      <w:bookmarkEnd w:id="223"/>
      <w:r>
        <w:rPr>
          <w:rFonts w:hint="default" w:ascii="Times New Roman" w:hAnsi="Times New Roman" w:eastAsia="仿宋_GB2312" w:cs="Times New Roman"/>
          <w:sz w:val="32"/>
          <w:szCs w:val="32"/>
          <w:lang w:val="en-US" w:eastAsia="zh-CN" w:bidi="zh-CN"/>
        </w:rPr>
        <w:t>~1.5%计算。</w:t>
      </w:r>
    </w:p>
    <w:p w14:paraId="57305EA8">
      <w:pPr>
        <w:pStyle w:val="41"/>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rPr>
          <w:rFonts w:hint="default" w:ascii="Times New Roman" w:hAnsi="Times New Roman" w:eastAsia="仿宋_GB2312" w:cs="Times New Roman"/>
          <w:sz w:val="32"/>
          <w:szCs w:val="32"/>
        </w:rPr>
        <w:sectPr>
          <w:footerReference r:id="rId9" w:type="default"/>
          <w:footerReference r:id="rId10" w:type="even"/>
          <w:pgSz w:w="11905" w:h="16838"/>
          <w:pgMar w:top="2098" w:right="1474" w:bottom="1984" w:left="1587" w:header="1020" w:footer="1417" w:gutter="0"/>
          <w:pgNumType w:fmt="decimal"/>
          <w:cols w:space="0" w:num="1"/>
          <w:rtlGutter w:val="0"/>
          <w:docGrid w:linePitch="0" w:charSpace="0"/>
        </w:sectPr>
      </w:pPr>
      <w:r>
        <w:rPr>
          <w:rFonts w:hint="default" w:ascii="Times New Roman" w:hAnsi="Times New Roman" w:eastAsia="仿宋_GB2312" w:cs="Times New Roman"/>
          <w:sz w:val="32"/>
          <w:szCs w:val="32"/>
          <w:lang w:val="en-US" w:eastAsia="zh-CN" w:bidi="zh-CN"/>
        </w:rPr>
        <w:t>本次规划中纳厂部分运营费用包含：管网维护费用和接纳污水厂扩增污水处理部分分摊运营费用；集中式污水站（厂）运维费用包含：管网运维费用和污水处理终端设施运维费用；而分散式处理方式采用“三格化粪池+人工湿地”无动力的工艺，其运行成本较低，经过培训指导后，平时由农户定期对人工湿地植物进行收割、清理和化粪池定期清掏，更换被堵塞的湿地填料外，无其他运行成本</w:t>
      </w:r>
      <w:bookmarkEnd w:id="193"/>
      <w:bookmarkEnd w:id="194"/>
      <w:bookmarkEnd w:id="195"/>
      <w:bookmarkEnd w:id="196"/>
      <w:r>
        <w:rPr>
          <w:rFonts w:hint="default" w:ascii="Times New Roman" w:hAnsi="Times New Roman" w:eastAsia="仿宋_GB2312" w:cs="Times New Roman"/>
          <w:sz w:val="32"/>
          <w:szCs w:val="32"/>
          <w:lang w:val="en-US" w:eastAsia="zh-CN" w:bidi="zh-CN"/>
        </w:rPr>
        <w:t>。</w:t>
      </w:r>
    </w:p>
    <w:p w14:paraId="67F7AA8A">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line="576" w:lineRule="exact"/>
        <w:ind w:leftChars="0"/>
        <w:jc w:val="center"/>
        <w:textAlignment w:val="auto"/>
        <w:rPr>
          <w:rFonts w:hint="default" w:ascii="Times New Roman" w:hAnsi="Times New Roman" w:eastAsia="方正小标宋简体" w:cs="Times New Roman"/>
          <w:b w:val="0"/>
          <w:bCs w:val="0"/>
          <w:sz w:val="44"/>
          <w:szCs w:val="44"/>
          <w:lang w:val="en-US" w:eastAsia="zh-CN"/>
        </w:rPr>
      </w:pPr>
      <w:bookmarkStart w:id="224" w:name="第八章_工程投资估算及运行管理_"/>
      <w:bookmarkEnd w:id="224"/>
      <w:bookmarkStart w:id="225" w:name="8.1_编制依据_"/>
      <w:bookmarkEnd w:id="225"/>
      <w:bookmarkStart w:id="226" w:name="_bookmark37"/>
      <w:bookmarkEnd w:id="226"/>
      <w:bookmarkStart w:id="227" w:name="_Toc7907"/>
      <w:bookmarkStart w:id="228" w:name="_Toc14529"/>
      <w:bookmarkStart w:id="229" w:name="_Toc9694"/>
      <w:bookmarkStart w:id="230" w:name="_Toc29575"/>
      <w:r>
        <w:rPr>
          <w:rFonts w:hint="eastAsia" w:ascii="Times New Roman" w:hAnsi="Times New Roman" w:eastAsia="方正小标宋简体" w:cs="Times New Roman"/>
          <w:b w:val="0"/>
          <w:bCs w:val="0"/>
          <w:sz w:val="44"/>
          <w:szCs w:val="44"/>
          <w:lang w:val="en-US" w:eastAsia="zh-CN"/>
        </w:rPr>
        <w:t xml:space="preserve">第六章   </w:t>
      </w:r>
      <w:r>
        <w:rPr>
          <w:rFonts w:hint="default" w:ascii="Times New Roman" w:hAnsi="Times New Roman" w:eastAsia="方正小标宋简体" w:cs="Times New Roman"/>
          <w:b w:val="0"/>
          <w:bCs w:val="0"/>
          <w:sz w:val="44"/>
          <w:szCs w:val="44"/>
          <w:lang w:val="en-US" w:eastAsia="zh-CN"/>
        </w:rPr>
        <w:t>农村生活污水治理规划方案</w:t>
      </w:r>
      <w:bookmarkEnd w:id="227"/>
    </w:p>
    <w:bookmarkEnd w:id="228"/>
    <w:bookmarkEnd w:id="229"/>
    <w:bookmarkEnd w:id="230"/>
    <w:p w14:paraId="2C8B0632">
      <w:pPr>
        <w:pStyle w:val="12"/>
        <w:keepNext w:val="0"/>
        <w:keepLines w:val="0"/>
        <w:pageBreakBefore w:val="0"/>
        <w:widowControl w:val="0"/>
        <w:kinsoku/>
        <w:wordWrap/>
        <w:overflowPunct/>
        <w:topLinePunct w:val="0"/>
        <w:autoSpaceDE w:val="0"/>
        <w:autoSpaceDN w:val="0"/>
        <w:bidi w:val="0"/>
        <w:adjustRightInd/>
        <w:snapToGrid/>
        <w:spacing w:line="240" w:lineRule="auto"/>
        <w:ind w:right="0"/>
        <w:textAlignment w:val="auto"/>
        <w:outlineLvl w:val="9"/>
        <w:rPr>
          <w:rFonts w:hint="default" w:ascii="Times New Roman" w:hAnsi="Times New Roman" w:eastAsia="黑体" w:cs="Times New Roman"/>
          <w:b/>
          <w:bCs/>
          <w:sz w:val="30"/>
          <w:szCs w:val="30"/>
          <w:lang w:val="en-US" w:eastAsia="zh-CN"/>
        </w:rPr>
      </w:pPr>
      <w:bookmarkStart w:id="231" w:name="_Toc26837"/>
      <w:bookmarkStart w:id="232" w:name="_Toc7273"/>
    </w:p>
    <w:p w14:paraId="049C5E65">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33" w:name="_Toc23860"/>
      <w:r>
        <w:rPr>
          <w:rFonts w:hint="default" w:ascii="Times New Roman" w:hAnsi="Times New Roman" w:eastAsia="黑体" w:cs="Times New Roman"/>
          <w:b w:val="0"/>
          <w:bCs w:val="0"/>
          <w:sz w:val="32"/>
          <w:szCs w:val="32"/>
          <w:lang w:val="en-US" w:eastAsia="zh-CN"/>
        </w:rPr>
        <w:t>6.1各片区治理规划</w:t>
      </w:r>
      <w:bookmarkEnd w:id="233"/>
    </w:p>
    <w:p w14:paraId="7FD66226">
      <w:pPr>
        <w:pStyle w:val="41"/>
        <w:keepNext w:val="0"/>
        <w:keepLines w:val="0"/>
        <w:pageBreakBefore w:val="0"/>
        <w:widowControl w:val="0"/>
        <w:kinsoku/>
        <w:wordWrap/>
        <w:overflowPunct/>
        <w:topLinePunct w:val="0"/>
        <w:autoSpaceDE w:val="0"/>
        <w:autoSpaceDN w:val="0"/>
        <w:bidi w:val="0"/>
        <w:adjustRightInd/>
        <w:snapToGrid/>
        <w:spacing w:line="590" w:lineRule="exact"/>
        <w:ind w:firstLine="643" w:firstLineChars="200"/>
        <w:jc w:val="both"/>
        <w:textAlignment w:val="auto"/>
        <w:rPr>
          <w:rFonts w:hint="default" w:ascii="Times New Roman" w:hAnsi="Times New Roman" w:eastAsia="楷体_GB2312" w:cs="Times New Roman"/>
          <w:b/>
          <w:bCs/>
          <w:sz w:val="32"/>
          <w:szCs w:val="32"/>
          <w:lang w:val="en-US" w:eastAsia="zh-CN" w:bidi="zh-CN"/>
        </w:rPr>
      </w:pPr>
      <w:r>
        <w:rPr>
          <w:rFonts w:hint="default" w:ascii="Times New Roman" w:hAnsi="Times New Roman" w:eastAsia="楷体_GB2312" w:cs="Times New Roman"/>
          <w:b/>
          <w:bCs/>
          <w:sz w:val="32"/>
          <w:szCs w:val="32"/>
          <w:lang w:val="en-US" w:eastAsia="zh-CN" w:bidi="zh-CN"/>
        </w:rPr>
        <w:t>6.1.1</w:t>
      </w:r>
      <w:bookmarkEnd w:id="231"/>
      <w:bookmarkEnd w:id="232"/>
      <w:r>
        <w:rPr>
          <w:rFonts w:hint="default" w:ascii="Times New Roman" w:hAnsi="Times New Roman" w:eastAsia="楷体_GB2312" w:cs="Times New Roman"/>
          <w:b/>
          <w:bCs/>
          <w:sz w:val="32"/>
          <w:szCs w:val="32"/>
          <w:lang w:val="en-US" w:eastAsia="zh-CN" w:bidi="zh-CN"/>
        </w:rPr>
        <w:t>城乡融合片区</w:t>
      </w:r>
    </w:p>
    <w:p w14:paraId="56AC4BB4">
      <w:pPr>
        <w:keepNext w:val="0"/>
        <w:keepLines w:val="0"/>
        <w:pageBreakBefore w:val="0"/>
        <w:widowControl w:val="0"/>
        <w:kinsoku/>
        <w:wordWrap/>
        <w:overflowPunct/>
        <w:topLinePunct w:val="0"/>
        <w:autoSpaceDE w:val="0"/>
        <w:autoSpaceDN w:val="0"/>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升级改造现状农村污水处理设施，提高处理能力和处理效率，避免二次污染。对本片区未建污水处理设施的独户、连户、聚居点建设污水处理设施。规划至2035年，农村生活污水治理达到85%以上。</w:t>
      </w:r>
    </w:p>
    <w:p w14:paraId="2B6749C7">
      <w:pPr>
        <w:keepNext w:val="0"/>
        <w:keepLines w:val="0"/>
        <w:pageBreakBefore w:val="0"/>
        <w:widowControl w:val="0"/>
        <w:kinsoku/>
        <w:wordWrap/>
        <w:overflowPunct/>
        <w:topLinePunct w:val="0"/>
        <w:autoSpaceDE w:val="0"/>
        <w:autoSpaceDN w:val="0"/>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15户或50人以下采用分散处理方式，工艺推荐采用小型“三格化粪池+潜流式人工湿地”无动力处理工艺。15户或50人以上采用集中处理方式，100户以上处理工艺推荐采用“AO+MBR”工艺，100户及以下推荐采用“厌氧+人工湿地”工艺。</w:t>
      </w:r>
    </w:p>
    <w:p w14:paraId="529E3F1D">
      <w:pPr>
        <w:jc w:val="center"/>
        <w:rPr>
          <w:rFonts w:hint="default" w:ascii="Times New Roman" w:hAnsi="Times New Roman" w:cs="Times New Roman"/>
          <w:sz w:val="32"/>
          <w:szCs w:val="32"/>
          <w:lang w:val="en-US" w:eastAsia="zh-CN"/>
        </w:rPr>
      </w:pPr>
      <w:r>
        <w:rPr>
          <w:rFonts w:hint="default" w:ascii="Times New Roman" w:hAnsi="Times New Roman" w:eastAsia="仿宋_GB2312" w:cs="Times New Roman"/>
          <w:b/>
          <w:bCs/>
          <w:sz w:val="32"/>
          <w:szCs w:val="32"/>
          <w:lang w:val="en-US" w:eastAsia="zh-CN"/>
        </w:rPr>
        <w:t>规划远期农村污水处理设施建设一览表</w:t>
      </w:r>
    </w:p>
    <w:tbl>
      <w:tblPr>
        <w:tblStyle w:val="24"/>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278"/>
        <w:gridCol w:w="990"/>
        <w:gridCol w:w="1134"/>
        <w:gridCol w:w="1134"/>
        <w:gridCol w:w="1134"/>
        <w:gridCol w:w="1134"/>
        <w:gridCol w:w="1134"/>
      </w:tblGrid>
      <w:tr w14:paraId="72B0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trPr>
        <w:tc>
          <w:tcPr>
            <w:tcW w:w="1134" w:type="dxa"/>
            <w:vAlign w:val="center"/>
          </w:tcPr>
          <w:p w14:paraId="15CA99A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乡镇</w:t>
            </w:r>
          </w:p>
        </w:tc>
        <w:tc>
          <w:tcPr>
            <w:tcW w:w="1278" w:type="dxa"/>
            <w:vAlign w:val="center"/>
          </w:tcPr>
          <w:p w14:paraId="480FCC1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rPr>
              <w:t>村级片区名称</w:t>
            </w:r>
          </w:p>
        </w:tc>
        <w:tc>
          <w:tcPr>
            <w:tcW w:w="990" w:type="dxa"/>
            <w:vAlign w:val="center"/>
          </w:tcPr>
          <w:p w14:paraId="3D056C8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rPr>
              <w:t>户籍总户数</w:t>
            </w:r>
          </w:p>
        </w:tc>
        <w:tc>
          <w:tcPr>
            <w:tcW w:w="1134" w:type="dxa"/>
            <w:vAlign w:val="center"/>
          </w:tcPr>
          <w:p w14:paraId="47272C3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rPr>
              <w:t>聚居点个数</w:t>
            </w:r>
          </w:p>
        </w:tc>
        <w:tc>
          <w:tcPr>
            <w:tcW w:w="1134" w:type="dxa"/>
            <w:vAlign w:val="center"/>
          </w:tcPr>
          <w:p w14:paraId="224F6A8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rPr>
              <w:t>聚居点总户数</w:t>
            </w:r>
          </w:p>
        </w:tc>
        <w:tc>
          <w:tcPr>
            <w:tcW w:w="1134" w:type="dxa"/>
            <w:vAlign w:val="center"/>
          </w:tcPr>
          <w:p w14:paraId="00D7DAF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rPr>
              <w:t>纳厂处理（户数）</w:t>
            </w:r>
          </w:p>
        </w:tc>
        <w:tc>
          <w:tcPr>
            <w:tcW w:w="1134" w:type="dxa"/>
            <w:vAlign w:val="center"/>
          </w:tcPr>
          <w:p w14:paraId="798B0E4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rPr>
              <w:t>分散处理（15户或50人以下）数量（座）</w:t>
            </w:r>
          </w:p>
        </w:tc>
        <w:tc>
          <w:tcPr>
            <w:tcW w:w="1134" w:type="dxa"/>
            <w:vAlign w:val="center"/>
          </w:tcPr>
          <w:p w14:paraId="25519A1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rPr>
              <w:t>集中处理（15户或50人以上）数量（座）</w:t>
            </w:r>
          </w:p>
        </w:tc>
      </w:tr>
      <w:tr w14:paraId="5019D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77E8CA3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三家镇</w:t>
            </w:r>
          </w:p>
        </w:tc>
        <w:tc>
          <w:tcPr>
            <w:tcW w:w="1278" w:type="dxa"/>
            <w:vAlign w:val="center"/>
          </w:tcPr>
          <w:p w14:paraId="51351B7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长乐片区</w:t>
            </w:r>
          </w:p>
        </w:tc>
        <w:tc>
          <w:tcPr>
            <w:tcW w:w="990" w:type="dxa"/>
            <w:vAlign w:val="center"/>
          </w:tcPr>
          <w:p w14:paraId="56C2037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5373</w:t>
            </w:r>
          </w:p>
        </w:tc>
        <w:tc>
          <w:tcPr>
            <w:tcW w:w="1134" w:type="dxa"/>
            <w:vAlign w:val="center"/>
          </w:tcPr>
          <w:p w14:paraId="5BAAA54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22</w:t>
            </w:r>
          </w:p>
        </w:tc>
        <w:tc>
          <w:tcPr>
            <w:tcW w:w="1134" w:type="dxa"/>
            <w:vAlign w:val="center"/>
          </w:tcPr>
          <w:p w14:paraId="74BB3812">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1816 </w:t>
            </w:r>
          </w:p>
        </w:tc>
        <w:tc>
          <w:tcPr>
            <w:tcW w:w="1134" w:type="dxa"/>
            <w:vAlign w:val="center"/>
          </w:tcPr>
          <w:p w14:paraId="61DCE66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287AE7A7">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261 </w:t>
            </w:r>
          </w:p>
        </w:tc>
        <w:tc>
          <w:tcPr>
            <w:tcW w:w="1134" w:type="dxa"/>
            <w:vAlign w:val="center"/>
          </w:tcPr>
          <w:p w14:paraId="08298E6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23</w:t>
            </w:r>
          </w:p>
        </w:tc>
      </w:tr>
      <w:tr w14:paraId="302D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16DA684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0F4B0F7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太平片区</w:t>
            </w:r>
          </w:p>
        </w:tc>
        <w:tc>
          <w:tcPr>
            <w:tcW w:w="990" w:type="dxa"/>
            <w:vAlign w:val="center"/>
          </w:tcPr>
          <w:p w14:paraId="4D15397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3440</w:t>
            </w:r>
          </w:p>
        </w:tc>
        <w:tc>
          <w:tcPr>
            <w:tcW w:w="1134" w:type="dxa"/>
            <w:vAlign w:val="center"/>
          </w:tcPr>
          <w:p w14:paraId="5DB7A2B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21</w:t>
            </w:r>
          </w:p>
        </w:tc>
        <w:tc>
          <w:tcPr>
            <w:tcW w:w="1134" w:type="dxa"/>
            <w:vAlign w:val="center"/>
          </w:tcPr>
          <w:p w14:paraId="478E55B9">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1226 </w:t>
            </w:r>
          </w:p>
        </w:tc>
        <w:tc>
          <w:tcPr>
            <w:tcW w:w="1134" w:type="dxa"/>
            <w:vAlign w:val="center"/>
          </w:tcPr>
          <w:p w14:paraId="664FAC4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522C5ABC">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118 </w:t>
            </w:r>
          </w:p>
        </w:tc>
        <w:tc>
          <w:tcPr>
            <w:tcW w:w="1134" w:type="dxa"/>
            <w:vAlign w:val="center"/>
          </w:tcPr>
          <w:p w14:paraId="55F18FC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21</w:t>
            </w:r>
          </w:p>
        </w:tc>
      </w:tr>
      <w:tr w14:paraId="34339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3BED819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3BEF62F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大坡片区</w:t>
            </w:r>
          </w:p>
        </w:tc>
        <w:tc>
          <w:tcPr>
            <w:tcW w:w="990" w:type="dxa"/>
            <w:vAlign w:val="center"/>
          </w:tcPr>
          <w:p w14:paraId="2161F20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7265</w:t>
            </w:r>
          </w:p>
        </w:tc>
        <w:tc>
          <w:tcPr>
            <w:tcW w:w="1134" w:type="dxa"/>
            <w:vAlign w:val="center"/>
          </w:tcPr>
          <w:p w14:paraId="4E58591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18</w:t>
            </w:r>
          </w:p>
        </w:tc>
        <w:tc>
          <w:tcPr>
            <w:tcW w:w="1134" w:type="dxa"/>
            <w:vAlign w:val="center"/>
          </w:tcPr>
          <w:p w14:paraId="288A64ED">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2082 </w:t>
            </w:r>
          </w:p>
        </w:tc>
        <w:tc>
          <w:tcPr>
            <w:tcW w:w="1134" w:type="dxa"/>
            <w:vAlign w:val="center"/>
          </w:tcPr>
          <w:p w14:paraId="33FAF68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38B9DEFF">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0 </w:t>
            </w:r>
          </w:p>
        </w:tc>
        <w:tc>
          <w:tcPr>
            <w:tcW w:w="1134" w:type="dxa"/>
            <w:vAlign w:val="center"/>
          </w:tcPr>
          <w:p w14:paraId="2D057D3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18</w:t>
            </w:r>
          </w:p>
        </w:tc>
      </w:tr>
      <w:tr w14:paraId="31B5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506A161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6D3DA5E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芦城片区</w:t>
            </w:r>
          </w:p>
        </w:tc>
        <w:tc>
          <w:tcPr>
            <w:tcW w:w="990" w:type="dxa"/>
            <w:vAlign w:val="center"/>
          </w:tcPr>
          <w:p w14:paraId="1AE8B80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4521</w:t>
            </w:r>
          </w:p>
        </w:tc>
        <w:tc>
          <w:tcPr>
            <w:tcW w:w="1134" w:type="dxa"/>
            <w:vAlign w:val="center"/>
          </w:tcPr>
          <w:p w14:paraId="67AE1F1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15</w:t>
            </w:r>
          </w:p>
        </w:tc>
        <w:tc>
          <w:tcPr>
            <w:tcW w:w="1134" w:type="dxa"/>
            <w:vAlign w:val="center"/>
          </w:tcPr>
          <w:p w14:paraId="748ED45F">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1749 </w:t>
            </w:r>
          </w:p>
        </w:tc>
        <w:tc>
          <w:tcPr>
            <w:tcW w:w="1134" w:type="dxa"/>
            <w:vAlign w:val="center"/>
          </w:tcPr>
          <w:p w14:paraId="5DAC253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6EE3A4C0">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0 </w:t>
            </w:r>
          </w:p>
        </w:tc>
        <w:tc>
          <w:tcPr>
            <w:tcW w:w="1134" w:type="dxa"/>
            <w:vAlign w:val="center"/>
          </w:tcPr>
          <w:p w14:paraId="700FE36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16</w:t>
            </w:r>
          </w:p>
        </w:tc>
      </w:tr>
      <w:tr w14:paraId="22A7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4B43178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0D4318D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平安片区</w:t>
            </w:r>
          </w:p>
        </w:tc>
        <w:tc>
          <w:tcPr>
            <w:tcW w:w="990" w:type="dxa"/>
            <w:vAlign w:val="center"/>
          </w:tcPr>
          <w:p w14:paraId="02B6BC4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4564</w:t>
            </w:r>
          </w:p>
        </w:tc>
        <w:tc>
          <w:tcPr>
            <w:tcW w:w="1134" w:type="dxa"/>
            <w:vAlign w:val="center"/>
          </w:tcPr>
          <w:p w14:paraId="13416AC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12</w:t>
            </w:r>
          </w:p>
        </w:tc>
        <w:tc>
          <w:tcPr>
            <w:tcW w:w="1134" w:type="dxa"/>
            <w:vAlign w:val="center"/>
          </w:tcPr>
          <w:p w14:paraId="669C1B8B">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1606 </w:t>
            </w:r>
          </w:p>
        </w:tc>
        <w:tc>
          <w:tcPr>
            <w:tcW w:w="1134" w:type="dxa"/>
            <w:vAlign w:val="center"/>
          </w:tcPr>
          <w:p w14:paraId="365EE82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3CC23756">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0 </w:t>
            </w:r>
          </w:p>
        </w:tc>
        <w:tc>
          <w:tcPr>
            <w:tcW w:w="1134" w:type="dxa"/>
            <w:vAlign w:val="center"/>
          </w:tcPr>
          <w:p w14:paraId="2EA5E08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12</w:t>
            </w:r>
          </w:p>
        </w:tc>
      </w:tr>
      <w:tr w14:paraId="7C61B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3C10650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77CC7F3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山水片区</w:t>
            </w:r>
          </w:p>
        </w:tc>
        <w:tc>
          <w:tcPr>
            <w:tcW w:w="990" w:type="dxa"/>
            <w:vAlign w:val="center"/>
          </w:tcPr>
          <w:p w14:paraId="09F2841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3388</w:t>
            </w:r>
          </w:p>
        </w:tc>
        <w:tc>
          <w:tcPr>
            <w:tcW w:w="1134" w:type="dxa"/>
            <w:vAlign w:val="center"/>
          </w:tcPr>
          <w:p w14:paraId="6E90F4B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14</w:t>
            </w:r>
          </w:p>
        </w:tc>
        <w:tc>
          <w:tcPr>
            <w:tcW w:w="1134" w:type="dxa"/>
            <w:vAlign w:val="center"/>
          </w:tcPr>
          <w:p w14:paraId="68185727">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1225 </w:t>
            </w:r>
          </w:p>
        </w:tc>
        <w:tc>
          <w:tcPr>
            <w:tcW w:w="1134" w:type="dxa"/>
            <w:vAlign w:val="center"/>
          </w:tcPr>
          <w:p w14:paraId="30745BA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2A1BCB6C">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0 </w:t>
            </w:r>
          </w:p>
        </w:tc>
        <w:tc>
          <w:tcPr>
            <w:tcW w:w="1134" w:type="dxa"/>
            <w:vAlign w:val="center"/>
          </w:tcPr>
          <w:p w14:paraId="49899A4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14</w:t>
            </w:r>
          </w:p>
        </w:tc>
      </w:tr>
      <w:tr w14:paraId="4D1E7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0019AD7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安居镇</w:t>
            </w:r>
          </w:p>
        </w:tc>
        <w:tc>
          <w:tcPr>
            <w:tcW w:w="1278" w:type="dxa"/>
            <w:vAlign w:val="center"/>
          </w:tcPr>
          <w:p w14:paraId="1ECC6EC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护村片区</w:t>
            </w:r>
          </w:p>
        </w:tc>
        <w:tc>
          <w:tcPr>
            <w:tcW w:w="990" w:type="dxa"/>
            <w:vAlign w:val="center"/>
          </w:tcPr>
          <w:p w14:paraId="7D98083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2384</w:t>
            </w:r>
          </w:p>
        </w:tc>
        <w:tc>
          <w:tcPr>
            <w:tcW w:w="1134" w:type="dxa"/>
            <w:vAlign w:val="center"/>
          </w:tcPr>
          <w:p w14:paraId="1B6689B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4</w:t>
            </w:r>
          </w:p>
        </w:tc>
        <w:tc>
          <w:tcPr>
            <w:tcW w:w="1134" w:type="dxa"/>
            <w:vAlign w:val="center"/>
          </w:tcPr>
          <w:p w14:paraId="551FFFF2">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429 </w:t>
            </w:r>
          </w:p>
        </w:tc>
        <w:tc>
          <w:tcPr>
            <w:tcW w:w="1134" w:type="dxa"/>
            <w:vAlign w:val="center"/>
          </w:tcPr>
          <w:p w14:paraId="5D40127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09E3C2F6">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856 </w:t>
            </w:r>
          </w:p>
        </w:tc>
        <w:tc>
          <w:tcPr>
            <w:tcW w:w="1134" w:type="dxa"/>
            <w:vAlign w:val="center"/>
          </w:tcPr>
          <w:p w14:paraId="154A0F0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4</w:t>
            </w:r>
          </w:p>
        </w:tc>
      </w:tr>
      <w:tr w14:paraId="1A06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2FF1752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6C057B6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红岩嘴片区</w:t>
            </w:r>
          </w:p>
        </w:tc>
        <w:tc>
          <w:tcPr>
            <w:tcW w:w="990" w:type="dxa"/>
            <w:vAlign w:val="center"/>
          </w:tcPr>
          <w:p w14:paraId="49FD35A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3393</w:t>
            </w:r>
          </w:p>
        </w:tc>
        <w:tc>
          <w:tcPr>
            <w:tcW w:w="1134" w:type="dxa"/>
            <w:vAlign w:val="center"/>
          </w:tcPr>
          <w:p w14:paraId="6C28298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6</w:t>
            </w:r>
          </w:p>
        </w:tc>
        <w:tc>
          <w:tcPr>
            <w:tcW w:w="1134" w:type="dxa"/>
            <w:vAlign w:val="center"/>
          </w:tcPr>
          <w:p w14:paraId="5F3F8C0A">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449 </w:t>
            </w:r>
          </w:p>
        </w:tc>
        <w:tc>
          <w:tcPr>
            <w:tcW w:w="1134" w:type="dxa"/>
            <w:vAlign w:val="center"/>
          </w:tcPr>
          <w:p w14:paraId="6A1625E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144A1416">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1506 </w:t>
            </w:r>
          </w:p>
        </w:tc>
        <w:tc>
          <w:tcPr>
            <w:tcW w:w="1134" w:type="dxa"/>
            <w:vAlign w:val="center"/>
          </w:tcPr>
          <w:p w14:paraId="395DDE1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6</w:t>
            </w:r>
          </w:p>
        </w:tc>
      </w:tr>
      <w:tr w14:paraId="21F8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51D9178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6B9D281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山青片区</w:t>
            </w:r>
          </w:p>
        </w:tc>
        <w:tc>
          <w:tcPr>
            <w:tcW w:w="990" w:type="dxa"/>
            <w:vAlign w:val="center"/>
          </w:tcPr>
          <w:p w14:paraId="54AA4F5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1880</w:t>
            </w:r>
          </w:p>
        </w:tc>
        <w:tc>
          <w:tcPr>
            <w:tcW w:w="1134" w:type="dxa"/>
            <w:vAlign w:val="center"/>
          </w:tcPr>
          <w:p w14:paraId="50B7BBB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4</w:t>
            </w:r>
          </w:p>
        </w:tc>
        <w:tc>
          <w:tcPr>
            <w:tcW w:w="1134" w:type="dxa"/>
            <w:vAlign w:val="center"/>
          </w:tcPr>
          <w:p w14:paraId="6D2C452E">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217 </w:t>
            </w:r>
          </w:p>
        </w:tc>
        <w:tc>
          <w:tcPr>
            <w:tcW w:w="1134" w:type="dxa"/>
            <w:vAlign w:val="center"/>
          </w:tcPr>
          <w:p w14:paraId="4FEB8B9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738181FE">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917 </w:t>
            </w:r>
          </w:p>
        </w:tc>
        <w:tc>
          <w:tcPr>
            <w:tcW w:w="1134" w:type="dxa"/>
            <w:vAlign w:val="center"/>
          </w:tcPr>
          <w:p w14:paraId="6F90524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4</w:t>
            </w:r>
          </w:p>
        </w:tc>
      </w:tr>
      <w:tr w14:paraId="191C8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0D47B4C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玉丰镇</w:t>
            </w:r>
          </w:p>
        </w:tc>
        <w:tc>
          <w:tcPr>
            <w:tcW w:w="1278" w:type="dxa"/>
            <w:vAlign w:val="center"/>
          </w:tcPr>
          <w:p w14:paraId="42DE56C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决山片区</w:t>
            </w:r>
          </w:p>
        </w:tc>
        <w:tc>
          <w:tcPr>
            <w:tcW w:w="990" w:type="dxa"/>
            <w:vAlign w:val="center"/>
          </w:tcPr>
          <w:p w14:paraId="2167249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3043</w:t>
            </w:r>
          </w:p>
        </w:tc>
        <w:tc>
          <w:tcPr>
            <w:tcW w:w="1134" w:type="dxa"/>
            <w:vAlign w:val="center"/>
          </w:tcPr>
          <w:p w14:paraId="2FED592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4</w:t>
            </w:r>
          </w:p>
        </w:tc>
        <w:tc>
          <w:tcPr>
            <w:tcW w:w="1134" w:type="dxa"/>
            <w:vAlign w:val="center"/>
          </w:tcPr>
          <w:p w14:paraId="52883DFC">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354 </w:t>
            </w:r>
          </w:p>
        </w:tc>
        <w:tc>
          <w:tcPr>
            <w:tcW w:w="1134" w:type="dxa"/>
            <w:vAlign w:val="center"/>
          </w:tcPr>
          <w:p w14:paraId="52241BC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73992972">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848 </w:t>
            </w:r>
          </w:p>
        </w:tc>
        <w:tc>
          <w:tcPr>
            <w:tcW w:w="1134" w:type="dxa"/>
            <w:vAlign w:val="center"/>
          </w:tcPr>
          <w:p w14:paraId="664F800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4</w:t>
            </w:r>
          </w:p>
        </w:tc>
      </w:tr>
      <w:tr w14:paraId="447A1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057F267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2E09BEF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黄林沟片区</w:t>
            </w:r>
          </w:p>
        </w:tc>
        <w:tc>
          <w:tcPr>
            <w:tcW w:w="990" w:type="dxa"/>
            <w:vAlign w:val="center"/>
          </w:tcPr>
          <w:p w14:paraId="1FE259B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2566</w:t>
            </w:r>
          </w:p>
        </w:tc>
        <w:tc>
          <w:tcPr>
            <w:tcW w:w="1134" w:type="dxa"/>
            <w:vAlign w:val="center"/>
          </w:tcPr>
          <w:p w14:paraId="1FC3969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3</w:t>
            </w:r>
          </w:p>
        </w:tc>
        <w:tc>
          <w:tcPr>
            <w:tcW w:w="1134" w:type="dxa"/>
            <w:vAlign w:val="center"/>
          </w:tcPr>
          <w:p w14:paraId="6C2807EB">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151 </w:t>
            </w:r>
          </w:p>
        </w:tc>
        <w:tc>
          <w:tcPr>
            <w:tcW w:w="1134" w:type="dxa"/>
            <w:vAlign w:val="center"/>
          </w:tcPr>
          <w:p w14:paraId="4CF68CD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19F4C5DF">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868 </w:t>
            </w:r>
          </w:p>
        </w:tc>
        <w:tc>
          <w:tcPr>
            <w:tcW w:w="1134" w:type="dxa"/>
            <w:vAlign w:val="center"/>
          </w:tcPr>
          <w:p w14:paraId="640CE60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3</w:t>
            </w:r>
          </w:p>
        </w:tc>
      </w:tr>
      <w:tr w14:paraId="60C80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64429F3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59EDC2C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金鸡片区</w:t>
            </w:r>
          </w:p>
        </w:tc>
        <w:tc>
          <w:tcPr>
            <w:tcW w:w="990" w:type="dxa"/>
            <w:vAlign w:val="center"/>
          </w:tcPr>
          <w:p w14:paraId="067F225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3714</w:t>
            </w:r>
          </w:p>
        </w:tc>
        <w:tc>
          <w:tcPr>
            <w:tcW w:w="1134" w:type="dxa"/>
            <w:vAlign w:val="center"/>
          </w:tcPr>
          <w:p w14:paraId="6AC01DC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4</w:t>
            </w:r>
          </w:p>
        </w:tc>
        <w:tc>
          <w:tcPr>
            <w:tcW w:w="1134" w:type="dxa"/>
            <w:vAlign w:val="center"/>
          </w:tcPr>
          <w:p w14:paraId="5FEFFAA6">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311 </w:t>
            </w:r>
          </w:p>
        </w:tc>
        <w:tc>
          <w:tcPr>
            <w:tcW w:w="1134" w:type="dxa"/>
            <w:vAlign w:val="center"/>
          </w:tcPr>
          <w:p w14:paraId="074E9EB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1540910C">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2014 </w:t>
            </w:r>
          </w:p>
        </w:tc>
        <w:tc>
          <w:tcPr>
            <w:tcW w:w="1134" w:type="dxa"/>
            <w:vAlign w:val="center"/>
          </w:tcPr>
          <w:p w14:paraId="4CCFA51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5</w:t>
            </w:r>
          </w:p>
        </w:tc>
      </w:tr>
      <w:tr w14:paraId="27156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62D84AB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会龙镇</w:t>
            </w:r>
          </w:p>
        </w:tc>
        <w:tc>
          <w:tcPr>
            <w:tcW w:w="1278" w:type="dxa"/>
            <w:vAlign w:val="center"/>
          </w:tcPr>
          <w:p w14:paraId="0CDA51D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佐家坝片区</w:t>
            </w:r>
          </w:p>
        </w:tc>
        <w:tc>
          <w:tcPr>
            <w:tcW w:w="990" w:type="dxa"/>
            <w:vAlign w:val="center"/>
          </w:tcPr>
          <w:p w14:paraId="0EF70B4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3031</w:t>
            </w:r>
          </w:p>
        </w:tc>
        <w:tc>
          <w:tcPr>
            <w:tcW w:w="1134" w:type="dxa"/>
            <w:vAlign w:val="center"/>
          </w:tcPr>
          <w:p w14:paraId="687D4E4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11</w:t>
            </w:r>
          </w:p>
        </w:tc>
        <w:tc>
          <w:tcPr>
            <w:tcW w:w="1134" w:type="dxa"/>
            <w:vAlign w:val="center"/>
          </w:tcPr>
          <w:p w14:paraId="7B4BEB07">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1311 </w:t>
            </w:r>
          </w:p>
        </w:tc>
        <w:tc>
          <w:tcPr>
            <w:tcW w:w="1134" w:type="dxa"/>
            <w:vAlign w:val="center"/>
          </w:tcPr>
          <w:p w14:paraId="39C1E29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1000</w:t>
            </w:r>
          </w:p>
        </w:tc>
        <w:tc>
          <w:tcPr>
            <w:tcW w:w="1134" w:type="dxa"/>
            <w:vAlign w:val="center"/>
          </w:tcPr>
          <w:p w14:paraId="189B90E1">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0 </w:t>
            </w:r>
          </w:p>
        </w:tc>
        <w:tc>
          <w:tcPr>
            <w:tcW w:w="1134" w:type="dxa"/>
            <w:vAlign w:val="center"/>
          </w:tcPr>
          <w:p w14:paraId="6EFE164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11</w:t>
            </w:r>
          </w:p>
        </w:tc>
      </w:tr>
      <w:tr w14:paraId="1502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0CFCC3C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6E74D83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接官亭片区</w:t>
            </w:r>
          </w:p>
        </w:tc>
        <w:tc>
          <w:tcPr>
            <w:tcW w:w="990" w:type="dxa"/>
            <w:vAlign w:val="center"/>
          </w:tcPr>
          <w:p w14:paraId="3242E04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4784</w:t>
            </w:r>
          </w:p>
        </w:tc>
        <w:tc>
          <w:tcPr>
            <w:tcW w:w="1134" w:type="dxa"/>
            <w:vAlign w:val="center"/>
          </w:tcPr>
          <w:p w14:paraId="1850C61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9</w:t>
            </w:r>
          </w:p>
        </w:tc>
        <w:tc>
          <w:tcPr>
            <w:tcW w:w="1134" w:type="dxa"/>
            <w:vAlign w:val="center"/>
          </w:tcPr>
          <w:p w14:paraId="27A19B76">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746 </w:t>
            </w:r>
          </w:p>
        </w:tc>
        <w:tc>
          <w:tcPr>
            <w:tcW w:w="1134" w:type="dxa"/>
            <w:vAlign w:val="center"/>
          </w:tcPr>
          <w:p w14:paraId="7EC9B57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500</w:t>
            </w:r>
          </w:p>
        </w:tc>
        <w:tc>
          <w:tcPr>
            <w:tcW w:w="1134" w:type="dxa"/>
            <w:vAlign w:val="center"/>
          </w:tcPr>
          <w:p w14:paraId="5D9E0419">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1541 </w:t>
            </w:r>
          </w:p>
        </w:tc>
        <w:tc>
          <w:tcPr>
            <w:tcW w:w="1134" w:type="dxa"/>
            <w:vAlign w:val="center"/>
          </w:tcPr>
          <w:p w14:paraId="4627A11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9</w:t>
            </w:r>
          </w:p>
        </w:tc>
      </w:tr>
      <w:tr w14:paraId="50E2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vAlign w:val="center"/>
          </w:tcPr>
          <w:p w14:paraId="23E5802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聚贤镇</w:t>
            </w:r>
          </w:p>
        </w:tc>
        <w:tc>
          <w:tcPr>
            <w:tcW w:w="1278" w:type="dxa"/>
            <w:vAlign w:val="center"/>
          </w:tcPr>
          <w:p w14:paraId="6E374E2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吉林片区</w:t>
            </w:r>
          </w:p>
        </w:tc>
        <w:tc>
          <w:tcPr>
            <w:tcW w:w="990" w:type="dxa"/>
            <w:vAlign w:val="center"/>
          </w:tcPr>
          <w:p w14:paraId="5307FA6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1809</w:t>
            </w:r>
          </w:p>
        </w:tc>
        <w:tc>
          <w:tcPr>
            <w:tcW w:w="1134" w:type="dxa"/>
            <w:vAlign w:val="center"/>
          </w:tcPr>
          <w:p w14:paraId="6CBD48E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6</w:t>
            </w:r>
          </w:p>
        </w:tc>
        <w:tc>
          <w:tcPr>
            <w:tcW w:w="1134" w:type="dxa"/>
            <w:vAlign w:val="center"/>
          </w:tcPr>
          <w:p w14:paraId="462C1EE3">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371 </w:t>
            </w:r>
          </w:p>
        </w:tc>
        <w:tc>
          <w:tcPr>
            <w:tcW w:w="1134" w:type="dxa"/>
            <w:vAlign w:val="center"/>
          </w:tcPr>
          <w:p w14:paraId="33E6D1F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71170D4B">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0 </w:t>
            </w:r>
          </w:p>
        </w:tc>
        <w:tc>
          <w:tcPr>
            <w:tcW w:w="1134" w:type="dxa"/>
            <w:vAlign w:val="center"/>
          </w:tcPr>
          <w:p w14:paraId="5F250CB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6</w:t>
            </w:r>
          </w:p>
        </w:tc>
      </w:tr>
      <w:tr w14:paraId="5470C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2E7E0D2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599D67B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文兴片区</w:t>
            </w:r>
          </w:p>
        </w:tc>
        <w:tc>
          <w:tcPr>
            <w:tcW w:w="990" w:type="dxa"/>
            <w:vAlign w:val="center"/>
          </w:tcPr>
          <w:p w14:paraId="63C0B31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3269</w:t>
            </w:r>
          </w:p>
        </w:tc>
        <w:tc>
          <w:tcPr>
            <w:tcW w:w="1134" w:type="dxa"/>
            <w:vAlign w:val="center"/>
          </w:tcPr>
          <w:p w14:paraId="3C0BFB2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10</w:t>
            </w:r>
          </w:p>
        </w:tc>
        <w:tc>
          <w:tcPr>
            <w:tcW w:w="1134" w:type="dxa"/>
            <w:vAlign w:val="center"/>
          </w:tcPr>
          <w:p w14:paraId="717866D0">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371 </w:t>
            </w:r>
          </w:p>
        </w:tc>
        <w:tc>
          <w:tcPr>
            <w:tcW w:w="1134" w:type="dxa"/>
            <w:vAlign w:val="center"/>
          </w:tcPr>
          <w:p w14:paraId="1FD9DA9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2F57B0F1">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991 </w:t>
            </w:r>
          </w:p>
        </w:tc>
        <w:tc>
          <w:tcPr>
            <w:tcW w:w="1134" w:type="dxa"/>
            <w:vAlign w:val="center"/>
          </w:tcPr>
          <w:p w14:paraId="0C05A43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10</w:t>
            </w:r>
          </w:p>
        </w:tc>
      </w:tr>
      <w:tr w14:paraId="285D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vAlign w:val="center"/>
          </w:tcPr>
          <w:p w14:paraId="31D12B1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78" w:type="dxa"/>
            <w:vAlign w:val="center"/>
          </w:tcPr>
          <w:p w14:paraId="38AE0AF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4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群福片区</w:t>
            </w:r>
          </w:p>
        </w:tc>
        <w:tc>
          <w:tcPr>
            <w:tcW w:w="990" w:type="dxa"/>
            <w:vAlign w:val="center"/>
          </w:tcPr>
          <w:p w14:paraId="6BE0CB4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2286</w:t>
            </w:r>
          </w:p>
        </w:tc>
        <w:tc>
          <w:tcPr>
            <w:tcW w:w="1134" w:type="dxa"/>
            <w:vAlign w:val="center"/>
          </w:tcPr>
          <w:p w14:paraId="7187FEB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9</w:t>
            </w:r>
          </w:p>
        </w:tc>
        <w:tc>
          <w:tcPr>
            <w:tcW w:w="1134" w:type="dxa"/>
            <w:vAlign w:val="center"/>
          </w:tcPr>
          <w:p w14:paraId="3B815963">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247 </w:t>
            </w:r>
          </w:p>
        </w:tc>
        <w:tc>
          <w:tcPr>
            <w:tcW w:w="1134" w:type="dxa"/>
            <w:vAlign w:val="center"/>
          </w:tcPr>
          <w:p w14:paraId="40BEE0A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134" w:type="dxa"/>
            <w:vAlign w:val="center"/>
          </w:tcPr>
          <w:p w14:paraId="33B8D6A7">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宋体" w:hAnsi="宋体" w:eastAsia="宋体" w:cs="宋体"/>
                <w:color w:val="auto"/>
                <w:sz w:val="21"/>
                <w:szCs w:val="21"/>
              </w:rPr>
              <w:t xml:space="preserve">695 </w:t>
            </w:r>
          </w:p>
        </w:tc>
        <w:tc>
          <w:tcPr>
            <w:tcW w:w="1134" w:type="dxa"/>
            <w:vAlign w:val="center"/>
          </w:tcPr>
          <w:p w14:paraId="37816DD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rPr>
              <w:t>9</w:t>
            </w:r>
          </w:p>
        </w:tc>
      </w:tr>
    </w:tbl>
    <w:p w14:paraId="05DAB811">
      <w:pPr>
        <w:keepNext w:val="0"/>
        <w:keepLines w:val="0"/>
        <w:pageBreakBefore w:val="0"/>
        <w:widowControl w:val="0"/>
        <w:kinsoku/>
        <w:wordWrap/>
        <w:overflowPunct/>
        <w:topLinePunct w:val="0"/>
        <w:autoSpaceDE w:val="0"/>
        <w:autoSpaceDN w:val="0"/>
        <w:bidi w:val="0"/>
        <w:adjustRightInd/>
        <w:snapToGrid/>
        <w:spacing w:line="576" w:lineRule="exact"/>
        <w:jc w:val="left"/>
        <w:textAlignment w:val="auto"/>
        <w:rPr>
          <w:rFonts w:hint="default" w:ascii="Times New Roman" w:hAnsi="Times New Roman" w:eastAsia="仿宋_GB2312" w:cs="Times New Roman"/>
          <w:sz w:val="28"/>
          <w:szCs w:val="28"/>
          <w:lang w:val="en-US" w:eastAsia="zh-CN" w:bidi="zh-CN"/>
        </w:rPr>
      </w:pPr>
      <w:r>
        <w:rPr>
          <w:rFonts w:hint="default" w:ascii="Times New Roman" w:hAnsi="Times New Roman" w:eastAsia="仿宋_GB2312" w:cs="Times New Roman"/>
          <w:b/>
          <w:bCs/>
          <w:sz w:val="32"/>
          <w:szCs w:val="32"/>
          <w:lang w:val="en-US" w:eastAsia="zh-CN"/>
        </w:rPr>
        <w:t>注：有条件的农村散户可联户建三格式化粪池</w:t>
      </w:r>
      <w:r>
        <w:rPr>
          <w:rFonts w:hint="default" w:ascii="Times New Roman" w:hAnsi="Times New Roman" w:eastAsia="仿宋_GB2312" w:cs="Times New Roman"/>
          <w:b/>
          <w:bCs/>
          <w:sz w:val="21"/>
          <w:szCs w:val="21"/>
          <w:lang w:val="en-US" w:eastAsia="zh-CN"/>
        </w:rPr>
        <w:t>。</w:t>
      </w:r>
    </w:p>
    <w:p w14:paraId="7D177192">
      <w:pPr>
        <w:pStyle w:val="41"/>
        <w:keepNext w:val="0"/>
        <w:keepLines w:val="0"/>
        <w:pageBreakBefore w:val="0"/>
        <w:widowControl w:val="0"/>
        <w:kinsoku/>
        <w:wordWrap/>
        <w:overflowPunct/>
        <w:topLinePunct w:val="0"/>
        <w:autoSpaceDE w:val="0"/>
        <w:autoSpaceDN w:val="0"/>
        <w:bidi w:val="0"/>
        <w:adjustRightInd/>
        <w:snapToGrid/>
        <w:spacing w:line="576" w:lineRule="exact"/>
        <w:ind w:firstLine="643" w:firstLineChars="200"/>
        <w:jc w:val="both"/>
        <w:textAlignment w:val="auto"/>
        <w:rPr>
          <w:rFonts w:hint="default" w:ascii="Times New Roman" w:hAnsi="Times New Roman" w:eastAsia="楷体_GB2312" w:cs="Times New Roman"/>
          <w:b/>
          <w:bCs/>
          <w:sz w:val="32"/>
          <w:szCs w:val="32"/>
          <w:lang w:val="en-US" w:eastAsia="zh-CN" w:bidi="zh-CN"/>
        </w:rPr>
      </w:pPr>
      <w:r>
        <w:rPr>
          <w:rFonts w:hint="default" w:ascii="Times New Roman" w:hAnsi="Times New Roman" w:eastAsia="楷体_GB2312" w:cs="Times New Roman"/>
          <w:b/>
          <w:bCs/>
          <w:sz w:val="32"/>
          <w:szCs w:val="32"/>
          <w:lang w:val="en-US" w:eastAsia="zh-CN" w:bidi="zh-CN"/>
        </w:rPr>
        <w:t>6.1.2横山文农旅融合片区</w:t>
      </w:r>
    </w:p>
    <w:p w14:paraId="69A07C4E">
      <w:pPr>
        <w:keepNext w:val="0"/>
        <w:keepLines w:val="0"/>
        <w:pageBreakBefore w:val="0"/>
        <w:widowControl w:val="0"/>
        <w:kinsoku/>
        <w:wordWrap/>
        <w:overflowPunct/>
        <w:topLinePunct w:val="0"/>
        <w:autoSpaceDE w:val="0"/>
        <w:autoSpaceDN w:val="0"/>
        <w:bidi w:val="0"/>
        <w:adjustRightInd/>
        <w:snapToGrid/>
        <w:spacing w:line="576"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加快城镇污水管网向乡村延伸，发挥城镇生活污水处理设施运行效能。</w:t>
      </w:r>
    </w:p>
    <w:p w14:paraId="136E7FED">
      <w:pPr>
        <w:keepNext w:val="0"/>
        <w:keepLines w:val="0"/>
        <w:pageBreakBefore w:val="0"/>
        <w:widowControl w:val="0"/>
        <w:kinsoku/>
        <w:wordWrap/>
        <w:overflowPunct/>
        <w:topLinePunct w:val="0"/>
        <w:autoSpaceDE w:val="0"/>
        <w:autoSpaceDN w:val="0"/>
        <w:bidi w:val="0"/>
        <w:adjustRightInd/>
        <w:snapToGrid/>
        <w:spacing w:line="576"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推进城镇雨污分流治理，畅通雨污水收集末梢，有序实施城镇老旧破碎排水管网改造修复，加强支线管网和出户管的连接建设，持续巩固城镇黑臭水体治理成效。在各中心村规划1处污水处理站（处理标准按一级A标执行），其余聚居点鼓励建设小型生态化污水处理设施（处理标准按《乡村生活污水治理设施水污染排放标准》（DB51/2626-2019）要求执行）。15户或50人以下的散户采用三格式化粪池+资源化利用方式，有条件的散户可联户建三格式化粪池。</w:t>
      </w:r>
    </w:p>
    <w:p w14:paraId="37C41E87">
      <w:pPr>
        <w:pStyle w:val="41"/>
        <w:keepNext w:val="0"/>
        <w:keepLines w:val="0"/>
        <w:pageBreakBefore w:val="0"/>
        <w:widowControl w:val="0"/>
        <w:kinsoku/>
        <w:wordWrap/>
        <w:overflowPunct/>
        <w:topLinePunct w:val="0"/>
        <w:autoSpaceDE w:val="0"/>
        <w:autoSpaceDN w:val="0"/>
        <w:bidi w:val="0"/>
        <w:adjustRightInd/>
        <w:snapToGrid/>
        <w:spacing w:line="576" w:lineRule="exact"/>
        <w:ind w:firstLine="643" w:firstLineChars="200"/>
        <w:jc w:val="both"/>
        <w:textAlignment w:val="auto"/>
        <w:rPr>
          <w:rFonts w:hint="default" w:ascii="Times New Roman" w:hAnsi="Times New Roman" w:eastAsia="楷体_GB2312" w:cs="Times New Roman"/>
          <w:b/>
          <w:bCs/>
          <w:sz w:val="32"/>
          <w:szCs w:val="32"/>
          <w:lang w:val="en-US" w:eastAsia="zh-CN" w:bidi="zh-CN"/>
        </w:rPr>
      </w:pPr>
      <w:r>
        <w:rPr>
          <w:rFonts w:hint="default" w:ascii="Times New Roman" w:hAnsi="Times New Roman" w:eastAsia="楷体_GB2312" w:cs="Times New Roman"/>
          <w:b/>
          <w:bCs/>
          <w:sz w:val="32"/>
          <w:szCs w:val="32"/>
          <w:lang w:val="en-US" w:eastAsia="zh-CN" w:bidi="zh-CN"/>
        </w:rPr>
        <w:t>6.1.3莲花湖现代农业片区</w:t>
      </w:r>
    </w:p>
    <w:p w14:paraId="0C913AFA">
      <w:pPr>
        <w:keepNext w:val="0"/>
        <w:keepLines w:val="0"/>
        <w:pageBreakBefore w:val="0"/>
        <w:widowControl w:val="0"/>
        <w:kinsoku/>
        <w:wordWrap/>
        <w:overflowPunct/>
        <w:topLinePunct w:val="0"/>
        <w:autoSpaceDE w:val="0"/>
        <w:autoSpaceDN w:val="0"/>
        <w:bidi w:val="0"/>
        <w:adjustRightInd/>
        <w:snapToGrid/>
        <w:spacing w:line="576"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实施沿河污水管网提升工程，有序实施老旧破碎污水管网改造修复，加强支线管网和出户管的连接建设。以饮用水源和生态环境保护为重点，推进改厕与污水治理衔接。</w:t>
      </w:r>
    </w:p>
    <w:p w14:paraId="71306CA4">
      <w:pPr>
        <w:pStyle w:val="41"/>
        <w:keepNext w:val="0"/>
        <w:keepLines w:val="0"/>
        <w:pageBreakBefore w:val="0"/>
        <w:widowControl w:val="0"/>
        <w:kinsoku/>
        <w:wordWrap/>
        <w:overflowPunct/>
        <w:topLinePunct w:val="0"/>
        <w:autoSpaceDE w:val="0"/>
        <w:autoSpaceDN w:val="0"/>
        <w:bidi w:val="0"/>
        <w:adjustRightInd/>
        <w:snapToGrid/>
        <w:spacing w:line="576" w:lineRule="exact"/>
        <w:ind w:firstLine="643" w:firstLineChars="200"/>
        <w:jc w:val="both"/>
        <w:textAlignment w:val="auto"/>
        <w:rPr>
          <w:rFonts w:hint="default" w:ascii="Times New Roman" w:hAnsi="Times New Roman" w:eastAsia="楷体_GB2312" w:cs="Times New Roman"/>
          <w:b/>
          <w:bCs/>
          <w:sz w:val="32"/>
          <w:szCs w:val="32"/>
          <w:lang w:val="en-US" w:eastAsia="zh-CN" w:bidi="zh-CN"/>
        </w:rPr>
      </w:pPr>
      <w:r>
        <w:rPr>
          <w:rFonts w:hint="default" w:ascii="Times New Roman" w:hAnsi="Times New Roman" w:eastAsia="楷体_GB2312" w:cs="Times New Roman"/>
          <w:b/>
          <w:bCs/>
          <w:sz w:val="32"/>
          <w:szCs w:val="32"/>
          <w:lang w:val="en-US" w:eastAsia="zh-CN" w:bidi="zh-CN"/>
        </w:rPr>
        <w:t>6.1.4琼江生态种养片区</w:t>
      </w:r>
    </w:p>
    <w:p w14:paraId="74206D2F">
      <w:pPr>
        <w:keepNext w:val="0"/>
        <w:keepLines w:val="0"/>
        <w:pageBreakBefore w:val="0"/>
        <w:widowControl w:val="0"/>
        <w:kinsoku/>
        <w:wordWrap/>
        <w:overflowPunct/>
        <w:topLinePunct w:val="0"/>
        <w:autoSpaceDE w:val="0"/>
        <w:autoSpaceDN w:val="0"/>
        <w:bidi w:val="0"/>
        <w:adjustRightInd/>
        <w:snapToGrid/>
        <w:spacing w:line="576"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对城镇区污水管道进行系统改造，有序实施老旧破碎污水管网改造修复，加强支线管网和出户管的连接建设。实行最严格的雨污分流制，达到雨水及时排除、污水有效治理的目的。</w:t>
      </w:r>
    </w:p>
    <w:p w14:paraId="3E9B071D">
      <w:pPr>
        <w:rPr>
          <w:rFonts w:hint="default" w:ascii="Times New Roman" w:hAnsi="Times New Roman" w:eastAsia="楷体_GB2312" w:cs="Times New Roman"/>
          <w:b/>
          <w:bCs/>
          <w:sz w:val="32"/>
          <w:szCs w:val="32"/>
          <w:lang w:val="en-US" w:eastAsia="zh-CN" w:bidi="zh-CN"/>
        </w:rPr>
      </w:pPr>
      <w:r>
        <w:rPr>
          <w:rFonts w:hint="default" w:ascii="Times New Roman" w:hAnsi="Times New Roman" w:eastAsia="楷体_GB2312" w:cs="Times New Roman"/>
          <w:b/>
          <w:bCs/>
          <w:sz w:val="32"/>
          <w:szCs w:val="32"/>
          <w:lang w:val="en-US" w:eastAsia="zh-CN" w:bidi="zh-CN"/>
        </w:rPr>
        <w:br w:type="page"/>
      </w:r>
    </w:p>
    <w:p w14:paraId="6C79FFC2">
      <w:pPr>
        <w:pStyle w:val="41"/>
        <w:keepNext w:val="0"/>
        <w:keepLines w:val="0"/>
        <w:pageBreakBefore w:val="0"/>
        <w:widowControl w:val="0"/>
        <w:kinsoku/>
        <w:wordWrap/>
        <w:overflowPunct/>
        <w:topLinePunct w:val="0"/>
        <w:autoSpaceDE w:val="0"/>
        <w:autoSpaceDN w:val="0"/>
        <w:bidi w:val="0"/>
        <w:adjustRightInd/>
        <w:snapToGrid/>
        <w:spacing w:line="576" w:lineRule="exact"/>
        <w:ind w:firstLine="643" w:firstLineChars="200"/>
        <w:jc w:val="both"/>
        <w:textAlignment w:val="auto"/>
        <w:rPr>
          <w:rFonts w:hint="default" w:ascii="Times New Roman" w:hAnsi="Times New Roman" w:eastAsia="楷体_GB2312" w:cs="Times New Roman"/>
          <w:b/>
          <w:bCs/>
          <w:sz w:val="32"/>
          <w:szCs w:val="32"/>
          <w:lang w:val="en-US" w:eastAsia="zh-CN" w:bidi="zh-CN"/>
        </w:rPr>
      </w:pPr>
      <w:r>
        <w:rPr>
          <w:rFonts w:hint="default" w:ascii="Times New Roman" w:hAnsi="Times New Roman" w:eastAsia="楷体_GB2312" w:cs="Times New Roman"/>
          <w:b/>
          <w:bCs/>
          <w:sz w:val="32"/>
          <w:szCs w:val="32"/>
          <w:lang w:val="en-US" w:eastAsia="zh-CN" w:bidi="zh-CN"/>
        </w:rPr>
        <w:t>6.1.5遂潼三产融合片区</w:t>
      </w:r>
    </w:p>
    <w:tbl>
      <w:tblPr>
        <w:tblStyle w:val="24"/>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950"/>
        <w:gridCol w:w="1041"/>
        <w:gridCol w:w="1145"/>
        <w:gridCol w:w="957"/>
        <w:gridCol w:w="916"/>
        <w:gridCol w:w="1082"/>
        <w:gridCol w:w="1291"/>
        <w:gridCol w:w="1039"/>
        <w:gridCol w:w="785"/>
      </w:tblGrid>
      <w:tr w14:paraId="21BA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Merge w:val="restart"/>
            <w:vAlign w:val="center"/>
          </w:tcPr>
          <w:p w14:paraId="5D75472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乡镇</w:t>
            </w:r>
          </w:p>
        </w:tc>
        <w:tc>
          <w:tcPr>
            <w:tcW w:w="950" w:type="dxa"/>
            <w:vMerge w:val="restart"/>
            <w:vAlign w:val="center"/>
          </w:tcPr>
          <w:p w14:paraId="3E5B47B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行政村</w:t>
            </w:r>
          </w:p>
        </w:tc>
        <w:tc>
          <w:tcPr>
            <w:tcW w:w="1041" w:type="dxa"/>
            <w:vMerge w:val="restart"/>
            <w:vAlign w:val="center"/>
          </w:tcPr>
          <w:p w14:paraId="6209886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户籍总户数（户）</w:t>
            </w:r>
          </w:p>
        </w:tc>
        <w:tc>
          <w:tcPr>
            <w:tcW w:w="1145" w:type="dxa"/>
            <w:vMerge w:val="restart"/>
            <w:vAlign w:val="center"/>
          </w:tcPr>
          <w:p w14:paraId="5CA1B57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生活未得到有效治理数（户数）</w:t>
            </w:r>
          </w:p>
        </w:tc>
        <w:tc>
          <w:tcPr>
            <w:tcW w:w="957" w:type="dxa"/>
            <w:vMerge w:val="restart"/>
            <w:vAlign w:val="center"/>
          </w:tcPr>
          <w:p w14:paraId="3187801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现状聚居点个数</w:t>
            </w:r>
          </w:p>
        </w:tc>
        <w:tc>
          <w:tcPr>
            <w:tcW w:w="916" w:type="dxa"/>
            <w:vMerge w:val="restart"/>
            <w:vAlign w:val="center"/>
          </w:tcPr>
          <w:p w14:paraId="7579C15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新增聚居点总数（个）</w:t>
            </w:r>
          </w:p>
        </w:tc>
        <w:tc>
          <w:tcPr>
            <w:tcW w:w="1082" w:type="dxa"/>
            <w:vMerge w:val="restart"/>
            <w:vAlign w:val="center"/>
          </w:tcPr>
          <w:p w14:paraId="46FDA90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纳入城镇污水厂新增户数（户）</w:t>
            </w:r>
          </w:p>
        </w:tc>
        <w:tc>
          <w:tcPr>
            <w:tcW w:w="1291" w:type="dxa"/>
            <w:vAlign w:val="center"/>
          </w:tcPr>
          <w:p w14:paraId="7D05A02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农村散户（15户或50人以下）</w:t>
            </w:r>
          </w:p>
        </w:tc>
        <w:tc>
          <w:tcPr>
            <w:tcW w:w="1824" w:type="dxa"/>
            <w:gridSpan w:val="2"/>
            <w:vAlign w:val="center"/>
          </w:tcPr>
          <w:p w14:paraId="1CA1DD0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农村居民聚居点（15户或50人以上）</w:t>
            </w:r>
          </w:p>
        </w:tc>
      </w:tr>
      <w:tr w14:paraId="0AB8E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Merge w:val="continue"/>
            <w:vAlign w:val="center"/>
          </w:tcPr>
          <w:p w14:paraId="4927BFE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Merge w:val="continue"/>
            <w:vAlign w:val="center"/>
          </w:tcPr>
          <w:p w14:paraId="6B2B6E8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041" w:type="dxa"/>
            <w:vMerge w:val="continue"/>
            <w:vAlign w:val="center"/>
          </w:tcPr>
          <w:p w14:paraId="1C8220F7">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145" w:type="dxa"/>
            <w:vMerge w:val="continue"/>
            <w:vAlign w:val="center"/>
          </w:tcPr>
          <w:p w14:paraId="3A46590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7" w:type="dxa"/>
            <w:vMerge w:val="continue"/>
            <w:vAlign w:val="center"/>
          </w:tcPr>
          <w:p w14:paraId="2CDDBCA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16" w:type="dxa"/>
            <w:vMerge w:val="continue"/>
            <w:vAlign w:val="center"/>
          </w:tcPr>
          <w:p w14:paraId="385F9B2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082" w:type="dxa"/>
            <w:vMerge w:val="continue"/>
            <w:vAlign w:val="center"/>
          </w:tcPr>
          <w:p w14:paraId="2E28B8E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1291" w:type="dxa"/>
            <w:vAlign w:val="center"/>
          </w:tcPr>
          <w:p w14:paraId="65BA926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新增三格式化粪池（座）</w:t>
            </w:r>
          </w:p>
        </w:tc>
        <w:tc>
          <w:tcPr>
            <w:tcW w:w="1039" w:type="dxa"/>
            <w:vAlign w:val="center"/>
          </w:tcPr>
          <w:p w14:paraId="1002FEF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新增人工湿地（座）</w:t>
            </w:r>
          </w:p>
        </w:tc>
        <w:tc>
          <w:tcPr>
            <w:tcW w:w="785" w:type="dxa"/>
            <w:vAlign w:val="center"/>
          </w:tcPr>
          <w:p w14:paraId="34C1D0C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新增一体化污水处理设施（座）</w:t>
            </w:r>
          </w:p>
        </w:tc>
      </w:tr>
      <w:tr w14:paraId="2C5D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restart"/>
            <w:vAlign w:val="center"/>
          </w:tcPr>
          <w:p w14:paraId="17FA27F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磨溪镇</w:t>
            </w:r>
          </w:p>
        </w:tc>
        <w:tc>
          <w:tcPr>
            <w:tcW w:w="950" w:type="dxa"/>
            <w:vAlign w:val="center"/>
          </w:tcPr>
          <w:p w14:paraId="29ABAD7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千丘村</w:t>
            </w:r>
          </w:p>
        </w:tc>
        <w:tc>
          <w:tcPr>
            <w:tcW w:w="1041" w:type="dxa"/>
            <w:vAlign w:val="center"/>
          </w:tcPr>
          <w:p w14:paraId="40D5C24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1334</w:t>
            </w:r>
          </w:p>
        </w:tc>
        <w:tc>
          <w:tcPr>
            <w:tcW w:w="1145" w:type="dxa"/>
            <w:vAlign w:val="center"/>
          </w:tcPr>
          <w:p w14:paraId="4C74FFA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874</w:t>
            </w:r>
          </w:p>
        </w:tc>
        <w:tc>
          <w:tcPr>
            <w:tcW w:w="957" w:type="dxa"/>
            <w:vAlign w:val="center"/>
          </w:tcPr>
          <w:p w14:paraId="12B1879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916" w:type="dxa"/>
            <w:vAlign w:val="center"/>
          </w:tcPr>
          <w:p w14:paraId="2357F71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2" w:type="dxa"/>
            <w:vAlign w:val="center"/>
          </w:tcPr>
          <w:p w14:paraId="62558EF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74</w:t>
            </w:r>
          </w:p>
        </w:tc>
        <w:tc>
          <w:tcPr>
            <w:tcW w:w="1291" w:type="dxa"/>
            <w:vAlign w:val="center"/>
          </w:tcPr>
          <w:p w14:paraId="07F7954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674</w:t>
            </w:r>
          </w:p>
        </w:tc>
        <w:tc>
          <w:tcPr>
            <w:tcW w:w="1039" w:type="dxa"/>
            <w:vAlign w:val="center"/>
          </w:tcPr>
          <w:p w14:paraId="3BCE261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785" w:type="dxa"/>
            <w:vAlign w:val="center"/>
          </w:tcPr>
          <w:p w14:paraId="18AB305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r>
      <w:tr w14:paraId="253F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5ACE70C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7FA7919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猛虎村</w:t>
            </w:r>
          </w:p>
        </w:tc>
        <w:tc>
          <w:tcPr>
            <w:tcW w:w="1041" w:type="dxa"/>
            <w:vAlign w:val="center"/>
          </w:tcPr>
          <w:p w14:paraId="6604F61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983</w:t>
            </w:r>
          </w:p>
        </w:tc>
        <w:tc>
          <w:tcPr>
            <w:tcW w:w="1145" w:type="dxa"/>
            <w:vAlign w:val="center"/>
          </w:tcPr>
          <w:p w14:paraId="09F81D8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437</w:t>
            </w:r>
          </w:p>
        </w:tc>
        <w:tc>
          <w:tcPr>
            <w:tcW w:w="957" w:type="dxa"/>
            <w:vAlign w:val="center"/>
          </w:tcPr>
          <w:p w14:paraId="0013586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6" w:type="dxa"/>
            <w:vAlign w:val="center"/>
          </w:tcPr>
          <w:p w14:paraId="213BAF6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2" w:type="dxa"/>
            <w:vAlign w:val="center"/>
          </w:tcPr>
          <w:p w14:paraId="19296D8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3592CF8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258</w:t>
            </w:r>
          </w:p>
        </w:tc>
        <w:tc>
          <w:tcPr>
            <w:tcW w:w="1039" w:type="dxa"/>
            <w:vAlign w:val="center"/>
          </w:tcPr>
          <w:p w14:paraId="2E6316D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59D665F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709E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3C064D8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1EBE4F7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丁坪村</w:t>
            </w:r>
          </w:p>
        </w:tc>
        <w:tc>
          <w:tcPr>
            <w:tcW w:w="1041" w:type="dxa"/>
            <w:vAlign w:val="center"/>
          </w:tcPr>
          <w:p w14:paraId="36F9B7E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1078</w:t>
            </w:r>
          </w:p>
        </w:tc>
        <w:tc>
          <w:tcPr>
            <w:tcW w:w="1145" w:type="dxa"/>
            <w:vAlign w:val="center"/>
          </w:tcPr>
          <w:p w14:paraId="2D41316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717</w:t>
            </w:r>
          </w:p>
        </w:tc>
        <w:tc>
          <w:tcPr>
            <w:tcW w:w="957" w:type="dxa"/>
            <w:vAlign w:val="center"/>
          </w:tcPr>
          <w:p w14:paraId="7FEE4A7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6" w:type="dxa"/>
            <w:vAlign w:val="center"/>
          </w:tcPr>
          <w:p w14:paraId="5F34567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2" w:type="dxa"/>
            <w:vAlign w:val="center"/>
          </w:tcPr>
          <w:p w14:paraId="72642A0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68994C4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397</w:t>
            </w:r>
          </w:p>
        </w:tc>
        <w:tc>
          <w:tcPr>
            <w:tcW w:w="1039" w:type="dxa"/>
            <w:vAlign w:val="center"/>
          </w:tcPr>
          <w:p w14:paraId="1665EDD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785" w:type="dxa"/>
            <w:vAlign w:val="center"/>
          </w:tcPr>
          <w:p w14:paraId="229CEED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47950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4A69A21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0C429D2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永灵村</w:t>
            </w:r>
          </w:p>
        </w:tc>
        <w:tc>
          <w:tcPr>
            <w:tcW w:w="1041" w:type="dxa"/>
            <w:vAlign w:val="center"/>
          </w:tcPr>
          <w:p w14:paraId="0D727F1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973</w:t>
            </w:r>
          </w:p>
        </w:tc>
        <w:tc>
          <w:tcPr>
            <w:tcW w:w="1145" w:type="dxa"/>
            <w:vAlign w:val="center"/>
          </w:tcPr>
          <w:p w14:paraId="329D4B1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673</w:t>
            </w:r>
          </w:p>
        </w:tc>
        <w:tc>
          <w:tcPr>
            <w:tcW w:w="957" w:type="dxa"/>
            <w:vAlign w:val="center"/>
          </w:tcPr>
          <w:p w14:paraId="52FF116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6" w:type="dxa"/>
            <w:vAlign w:val="center"/>
          </w:tcPr>
          <w:p w14:paraId="1C56730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2" w:type="dxa"/>
            <w:vAlign w:val="center"/>
          </w:tcPr>
          <w:p w14:paraId="292BBF0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55A7565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414</w:t>
            </w:r>
          </w:p>
        </w:tc>
        <w:tc>
          <w:tcPr>
            <w:tcW w:w="1039" w:type="dxa"/>
            <w:vAlign w:val="center"/>
          </w:tcPr>
          <w:p w14:paraId="0484820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2E77307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1A1F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02CE830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333AF76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板仓村</w:t>
            </w:r>
          </w:p>
        </w:tc>
        <w:tc>
          <w:tcPr>
            <w:tcW w:w="1041" w:type="dxa"/>
            <w:vAlign w:val="center"/>
          </w:tcPr>
          <w:p w14:paraId="68EFD92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936</w:t>
            </w:r>
          </w:p>
        </w:tc>
        <w:tc>
          <w:tcPr>
            <w:tcW w:w="1145" w:type="dxa"/>
            <w:vAlign w:val="center"/>
          </w:tcPr>
          <w:p w14:paraId="3CE5479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409</w:t>
            </w:r>
          </w:p>
        </w:tc>
        <w:tc>
          <w:tcPr>
            <w:tcW w:w="957" w:type="dxa"/>
            <w:vAlign w:val="center"/>
          </w:tcPr>
          <w:p w14:paraId="34533CC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6" w:type="dxa"/>
            <w:vAlign w:val="center"/>
          </w:tcPr>
          <w:p w14:paraId="01ECADC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2" w:type="dxa"/>
            <w:vAlign w:val="center"/>
          </w:tcPr>
          <w:p w14:paraId="2C54BF4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42AE3E5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0</w:t>
            </w:r>
          </w:p>
        </w:tc>
        <w:tc>
          <w:tcPr>
            <w:tcW w:w="1039" w:type="dxa"/>
            <w:vAlign w:val="center"/>
          </w:tcPr>
          <w:p w14:paraId="5756BF3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785" w:type="dxa"/>
            <w:vAlign w:val="center"/>
          </w:tcPr>
          <w:p w14:paraId="72A8B14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r>
      <w:tr w14:paraId="0506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7A0C667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695C0568">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老木垭村</w:t>
            </w:r>
          </w:p>
        </w:tc>
        <w:tc>
          <w:tcPr>
            <w:tcW w:w="1041" w:type="dxa"/>
            <w:vAlign w:val="center"/>
          </w:tcPr>
          <w:p w14:paraId="7710D48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1130</w:t>
            </w:r>
          </w:p>
        </w:tc>
        <w:tc>
          <w:tcPr>
            <w:tcW w:w="1145" w:type="dxa"/>
            <w:vAlign w:val="center"/>
          </w:tcPr>
          <w:p w14:paraId="3EE1DC7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826</w:t>
            </w:r>
          </w:p>
        </w:tc>
        <w:tc>
          <w:tcPr>
            <w:tcW w:w="957" w:type="dxa"/>
            <w:vAlign w:val="center"/>
          </w:tcPr>
          <w:p w14:paraId="10649D6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916" w:type="dxa"/>
            <w:vAlign w:val="center"/>
          </w:tcPr>
          <w:p w14:paraId="3D1B120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w:t>
            </w:r>
          </w:p>
        </w:tc>
        <w:tc>
          <w:tcPr>
            <w:tcW w:w="1082" w:type="dxa"/>
            <w:vAlign w:val="center"/>
          </w:tcPr>
          <w:p w14:paraId="2909771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4E8527C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275</w:t>
            </w:r>
          </w:p>
        </w:tc>
        <w:tc>
          <w:tcPr>
            <w:tcW w:w="1039" w:type="dxa"/>
            <w:vAlign w:val="center"/>
          </w:tcPr>
          <w:p w14:paraId="4353250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785" w:type="dxa"/>
            <w:vAlign w:val="center"/>
          </w:tcPr>
          <w:p w14:paraId="02E0975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r>
      <w:tr w14:paraId="73103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16E7749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6C2E3BA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文星村</w:t>
            </w:r>
          </w:p>
        </w:tc>
        <w:tc>
          <w:tcPr>
            <w:tcW w:w="1041" w:type="dxa"/>
            <w:vAlign w:val="center"/>
          </w:tcPr>
          <w:p w14:paraId="39BEAD3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808</w:t>
            </w:r>
          </w:p>
        </w:tc>
        <w:tc>
          <w:tcPr>
            <w:tcW w:w="1145" w:type="dxa"/>
            <w:vAlign w:val="center"/>
          </w:tcPr>
          <w:p w14:paraId="615449E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447</w:t>
            </w:r>
          </w:p>
        </w:tc>
        <w:tc>
          <w:tcPr>
            <w:tcW w:w="957" w:type="dxa"/>
            <w:vAlign w:val="center"/>
          </w:tcPr>
          <w:p w14:paraId="706F1EE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916" w:type="dxa"/>
            <w:vAlign w:val="center"/>
          </w:tcPr>
          <w:p w14:paraId="085676F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2" w:type="dxa"/>
            <w:vAlign w:val="center"/>
          </w:tcPr>
          <w:p w14:paraId="5AACA07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1784F4C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253</w:t>
            </w:r>
          </w:p>
        </w:tc>
        <w:tc>
          <w:tcPr>
            <w:tcW w:w="1039" w:type="dxa"/>
            <w:vAlign w:val="center"/>
          </w:tcPr>
          <w:p w14:paraId="78429AA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785" w:type="dxa"/>
            <w:vAlign w:val="center"/>
          </w:tcPr>
          <w:p w14:paraId="0EAC5D6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4971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4B4F7969">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324DD2F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登高村</w:t>
            </w:r>
          </w:p>
        </w:tc>
        <w:tc>
          <w:tcPr>
            <w:tcW w:w="1041" w:type="dxa"/>
            <w:vAlign w:val="center"/>
          </w:tcPr>
          <w:p w14:paraId="095C009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731</w:t>
            </w:r>
          </w:p>
        </w:tc>
        <w:tc>
          <w:tcPr>
            <w:tcW w:w="1145" w:type="dxa"/>
            <w:vAlign w:val="center"/>
          </w:tcPr>
          <w:p w14:paraId="193E965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275</w:t>
            </w:r>
          </w:p>
        </w:tc>
        <w:tc>
          <w:tcPr>
            <w:tcW w:w="957" w:type="dxa"/>
            <w:vAlign w:val="center"/>
          </w:tcPr>
          <w:p w14:paraId="37DF3CD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6" w:type="dxa"/>
            <w:vAlign w:val="center"/>
          </w:tcPr>
          <w:p w14:paraId="24A1EA7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2" w:type="dxa"/>
            <w:vAlign w:val="center"/>
          </w:tcPr>
          <w:p w14:paraId="01C91B6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14D7C1E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95</w:t>
            </w:r>
          </w:p>
        </w:tc>
        <w:tc>
          <w:tcPr>
            <w:tcW w:w="1039" w:type="dxa"/>
            <w:vAlign w:val="center"/>
          </w:tcPr>
          <w:p w14:paraId="015567D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785" w:type="dxa"/>
            <w:vAlign w:val="center"/>
          </w:tcPr>
          <w:p w14:paraId="564DE98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01A7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1567F6D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2728113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向阳村</w:t>
            </w:r>
          </w:p>
        </w:tc>
        <w:tc>
          <w:tcPr>
            <w:tcW w:w="1041" w:type="dxa"/>
            <w:vAlign w:val="center"/>
          </w:tcPr>
          <w:p w14:paraId="0E8A304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596</w:t>
            </w:r>
          </w:p>
        </w:tc>
        <w:tc>
          <w:tcPr>
            <w:tcW w:w="1145" w:type="dxa"/>
            <w:vAlign w:val="center"/>
          </w:tcPr>
          <w:p w14:paraId="0877C11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480</w:t>
            </w:r>
          </w:p>
        </w:tc>
        <w:tc>
          <w:tcPr>
            <w:tcW w:w="957" w:type="dxa"/>
            <w:vAlign w:val="center"/>
          </w:tcPr>
          <w:p w14:paraId="4C80920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916" w:type="dxa"/>
            <w:vAlign w:val="center"/>
          </w:tcPr>
          <w:p w14:paraId="6405138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2" w:type="dxa"/>
            <w:vAlign w:val="center"/>
          </w:tcPr>
          <w:p w14:paraId="1628FD9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21495A8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343</w:t>
            </w:r>
          </w:p>
        </w:tc>
        <w:tc>
          <w:tcPr>
            <w:tcW w:w="1039" w:type="dxa"/>
            <w:vAlign w:val="center"/>
          </w:tcPr>
          <w:p w14:paraId="4F685D7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785" w:type="dxa"/>
            <w:vAlign w:val="center"/>
          </w:tcPr>
          <w:p w14:paraId="0B8389C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12A5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restart"/>
            <w:vAlign w:val="center"/>
          </w:tcPr>
          <w:p w14:paraId="3141DED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西眉镇</w:t>
            </w:r>
          </w:p>
        </w:tc>
        <w:tc>
          <w:tcPr>
            <w:tcW w:w="950" w:type="dxa"/>
            <w:vAlign w:val="center"/>
          </w:tcPr>
          <w:p w14:paraId="22B414A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朝阳社区</w:t>
            </w:r>
          </w:p>
        </w:tc>
        <w:tc>
          <w:tcPr>
            <w:tcW w:w="1041" w:type="dxa"/>
            <w:vAlign w:val="center"/>
          </w:tcPr>
          <w:p w14:paraId="28D8E8D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570</w:t>
            </w:r>
          </w:p>
        </w:tc>
        <w:tc>
          <w:tcPr>
            <w:tcW w:w="1145" w:type="dxa"/>
            <w:vAlign w:val="center"/>
          </w:tcPr>
          <w:p w14:paraId="1A23343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115</w:t>
            </w:r>
          </w:p>
        </w:tc>
        <w:tc>
          <w:tcPr>
            <w:tcW w:w="957" w:type="dxa"/>
            <w:vAlign w:val="center"/>
          </w:tcPr>
          <w:p w14:paraId="08A52D2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6" w:type="dxa"/>
            <w:vAlign w:val="center"/>
          </w:tcPr>
          <w:p w14:paraId="619A950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082" w:type="dxa"/>
            <w:vAlign w:val="center"/>
          </w:tcPr>
          <w:p w14:paraId="19EAFC8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12BD63A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115</w:t>
            </w:r>
          </w:p>
        </w:tc>
        <w:tc>
          <w:tcPr>
            <w:tcW w:w="1039" w:type="dxa"/>
            <w:vAlign w:val="center"/>
          </w:tcPr>
          <w:p w14:paraId="2D1172A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15D72EC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r>
      <w:tr w14:paraId="0161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12F072C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1296D57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大昌村</w:t>
            </w:r>
          </w:p>
        </w:tc>
        <w:tc>
          <w:tcPr>
            <w:tcW w:w="1041" w:type="dxa"/>
            <w:vAlign w:val="center"/>
          </w:tcPr>
          <w:p w14:paraId="2801352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1194</w:t>
            </w:r>
          </w:p>
        </w:tc>
        <w:tc>
          <w:tcPr>
            <w:tcW w:w="1145" w:type="dxa"/>
            <w:vAlign w:val="center"/>
          </w:tcPr>
          <w:p w14:paraId="1E14D00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1194</w:t>
            </w:r>
          </w:p>
        </w:tc>
        <w:tc>
          <w:tcPr>
            <w:tcW w:w="957" w:type="dxa"/>
            <w:vAlign w:val="center"/>
          </w:tcPr>
          <w:p w14:paraId="0563C20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916" w:type="dxa"/>
            <w:vAlign w:val="center"/>
          </w:tcPr>
          <w:p w14:paraId="35A7B17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1082" w:type="dxa"/>
            <w:vAlign w:val="center"/>
          </w:tcPr>
          <w:p w14:paraId="0E05841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24DED27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1099</w:t>
            </w:r>
          </w:p>
        </w:tc>
        <w:tc>
          <w:tcPr>
            <w:tcW w:w="1039" w:type="dxa"/>
            <w:vAlign w:val="center"/>
          </w:tcPr>
          <w:p w14:paraId="0B41FB4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w:t>
            </w:r>
          </w:p>
        </w:tc>
        <w:tc>
          <w:tcPr>
            <w:tcW w:w="785" w:type="dxa"/>
            <w:vAlign w:val="center"/>
          </w:tcPr>
          <w:p w14:paraId="75AC9E6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r>
      <w:tr w14:paraId="51D49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54070A3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1EF1F20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福果村</w:t>
            </w:r>
          </w:p>
        </w:tc>
        <w:tc>
          <w:tcPr>
            <w:tcW w:w="1041" w:type="dxa"/>
            <w:vAlign w:val="center"/>
          </w:tcPr>
          <w:p w14:paraId="6E1D0B2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1274</w:t>
            </w:r>
          </w:p>
        </w:tc>
        <w:tc>
          <w:tcPr>
            <w:tcW w:w="1145" w:type="dxa"/>
            <w:vAlign w:val="center"/>
          </w:tcPr>
          <w:p w14:paraId="428A736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1171</w:t>
            </w:r>
          </w:p>
        </w:tc>
        <w:tc>
          <w:tcPr>
            <w:tcW w:w="957" w:type="dxa"/>
            <w:vAlign w:val="center"/>
          </w:tcPr>
          <w:p w14:paraId="261EDD2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916" w:type="dxa"/>
            <w:vAlign w:val="center"/>
          </w:tcPr>
          <w:p w14:paraId="40D91A2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2" w:type="dxa"/>
            <w:vAlign w:val="center"/>
          </w:tcPr>
          <w:p w14:paraId="2B7A81D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4ED24E6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859</w:t>
            </w:r>
          </w:p>
        </w:tc>
        <w:tc>
          <w:tcPr>
            <w:tcW w:w="1039" w:type="dxa"/>
            <w:vAlign w:val="center"/>
          </w:tcPr>
          <w:p w14:paraId="175E3F0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785" w:type="dxa"/>
            <w:vAlign w:val="center"/>
          </w:tcPr>
          <w:p w14:paraId="44CC850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r>
      <w:tr w14:paraId="2202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7F0C8D1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094D4F2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龙崩村</w:t>
            </w:r>
          </w:p>
        </w:tc>
        <w:tc>
          <w:tcPr>
            <w:tcW w:w="1041" w:type="dxa"/>
            <w:vAlign w:val="center"/>
          </w:tcPr>
          <w:p w14:paraId="42FED5C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758</w:t>
            </w:r>
          </w:p>
        </w:tc>
        <w:tc>
          <w:tcPr>
            <w:tcW w:w="1145" w:type="dxa"/>
            <w:vAlign w:val="center"/>
          </w:tcPr>
          <w:p w14:paraId="644283B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371</w:t>
            </w:r>
          </w:p>
        </w:tc>
        <w:tc>
          <w:tcPr>
            <w:tcW w:w="957" w:type="dxa"/>
            <w:vAlign w:val="center"/>
          </w:tcPr>
          <w:p w14:paraId="0D9F81B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6" w:type="dxa"/>
            <w:vAlign w:val="center"/>
          </w:tcPr>
          <w:p w14:paraId="655125F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2" w:type="dxa"/>
            <w:vAlign w:val="center"/>
          </w:tcPr>
          <w:p w14:paraId="408CD30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25BAEBF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44</w:t>
            </w:r>
          </w:p>
        </w:tc>
        <w:tc>
          <w:tcPr>
            <w:tcW w:w="1039" w:type="dxa"/>
            <w:vAlign w:val="center"/>
          </w:tcPr>
          <w:p w14:paraId="2E9184D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785" w:type="dxa"/>
            <w:vAlign w:val="center"/>
          </w:tcPr>
          <w:p w14:paraId="09D31D7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r>
      <w:tr w14:paraId="3CD0E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6C3C0DB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546BC50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雷桥村</w:t>
            </w:r>
          </w:p>
        </w:tc>
        <w:tc>
          <w:tcPr>
            <w:tcW w:w="1041" w:type="dxa"/>
            <w:vAlign w:val="center"/>
          </w:tcPr>
          <w:p w14:paraId="1CBB92B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746</w:t>
            </w:r>
          </w:p>
        </w:tc>
        <w:tc>
          <w:tcPr>
            <w:tcW w:w="1145" w:type="dxa"/>
            <w:vAlign w:val="center"/>
          </w:tcPr>
          <w:p w14:paraId="1A72C9A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660</w:t>
            </w:r>
          </w:p>
        </w:tc>
        <w:tc>
          <w:tcPr>
            <w:tcW w:w="957" w:type="dxa"/>
            <w:vAlign w:val="center"/>
          </w:tcPr>
          <w:p w14:paraId="13111FA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6" w:type="dxa"/>
            <w:vAlign w:val="center"/>
          </w:tcPr>
          <w:p w14:paraId="7BD0B90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2" w:type="dxa"/>
            <w:vAlign w:val="center"/>
          </w:tcPr>
          <w:p w14:paraId="55D7DB2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4DECB6F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398</w:t>
            </w:r>
          </w:p>
        </w:tc>
        <w:tc>
          <w:tcPr>
            <w:tcW w:w="1039" w:type="dxa"/>
            <w:vAlign w:val="center"/>
          </w:tcPr>
          <w:p w14:paraId="5BC5FA4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785" w:type="dxa"/>
            <w:vAlign w:val="center"/>
          </w:tcPr>
          <w:p w14:paraId="56AFC54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r>
      <w:tr w14:paraId="7276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49F71DA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06BFA63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金乐村</w:t>
            </w:r>
          </w:p>
        </w:tc>
        <w:tc>
          <w:tcPr>
            <w:tcW w:w="1041" w:type="dxa"/>
            <w:vAlign w:val="center"/>
          </w:tcPr>
          <w:p w14:paraId="4115A03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1386</w:t>
            </w:r>
          </w:p>
        </w:tc>
        <w:tc>
          <w:tcPr>
            <w:tcW w:w="1145" w:type="dxa"/>
            <w:vAlign w:val="center"/>
          </w:tcPr>
          <w:p w14:paraId="4272A86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716</w:t>
            </w:r>
          </w:p>
        </w:tc>
        <w:tc>
          <w:tcPr>
            <w:tcW w:w="957" w:type="dxa"/>
            <w:vAlign w:val="center"/>
          </w:tcPr>
          <w:p w14:paraId="1D1151A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6" w:type="dxa"/>
            <w:vAlign w:val="center"/>
          </w:tcPr>
          <w:p w14:paraId="0110E0F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082" w:type="dxa"/>
            <w:vAlign w:val="center"/>
          </w:tcPr>
          <w:p w14:paraId="7976EF0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0C753F6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716</w:t>
            </w:r>
          </w:p>
        </w:tc>
        <w:tc>
          <w:tcPr>
            <w:tcW w:w="1039" w:type="dxa"/>
            <w:vAlign w:val="center"/>
          </w:tcPr>
          <w:p w14:paraId="42B891C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785" w:type="dxa"/>
            <w:vAlign w:val="center"/>
          </w:tcPr>
          <w:p w14:paraId="607FCA3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r>
      <w:tr w14:paraId="35797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0AD146E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04C933F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广林村</w:t>
            </w:r>
          </w:p>
        </w:tc>
        <w:tc>
          <w:tcPr>
            <w:tcW w:w="1041" w:type="dxa"/>
            <w:vAlign w:val="center"/>
          </w:tcPr>
          <w:p w14:paraId="5AA83C9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746</w:t>
            </w:r>
          </w:p>
        </w:tc>
        <w:tc>
          <w:tcPr>
            <w:tcW w:w="1145" w:type="dxa"/>
            <w:vAlign w:val="center"/>
          </w:tcPr>
          <w:p w14:paraId="3F922E7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737</w:t>
            </w:r>
          </w:p>
        </w:tc>
        <w:tc>
          <w:tcPr>
            <w:tcW w:w="957" w:type="dxa"/>
            <w:vAlign w:val="center"/>
          </w:tcPr>
          <w:p w14:paraId="254C686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6" w:type="dxa"/>
            <w:vAlign w:val="center"/>
          </w:tcPr>
          <w:p w14:paraId="73A2E2A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2" w:type="dxa"/>
            <w:vAlign w:val="center"/>
          </w:tcPr>
          <w:p w14:paraId="13C6F37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522EED0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543</w:t>
            </w:r>
          </w:p>
        </w:tc>
        <w:tc>
          <w:tcPr>
            <w:tcW w:w="1039" w:type="dxa"/>
            <w:vAlign w:val="center"/>
          </w:tcPr>
          <w:p w14:paraId="49A8AEA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743FC22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385C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6DF30C5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7779E39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高坡村</w:t>
            </w:r>
          </w:p>
        </w:tc>
        <w:tc>
          <w:tcPr>
            <w:tcW w:w="1041" w:type="dxa"/>
            <w:vAlign w:val="center"/>
          </w:tcPr>
          <w:p w14:paraId="793C73E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1022</w:t>
            </w:r>
          </w:p>
        </w:tc>
        <w:tc>
          <w:tcPr>
            <w:tcW w:w="1145" w:type="dxa"/>
            <w:vAlign w:val="center"/>
          </w:tcPr>
          <w:p w14:paraId="32E1373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955</w:t>
            </w:r>
          </w:p>
        </w:tc>
        <w:tc>
          <w:tcPr>
            <w:tcW w:w="957" w:type="dxa"/>
            <w:vAlign w:val="center"/>
          </w:tcPr>
          <w:p w14:paraId="474E788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w:t>
            </w:r>
          </w:p>
        </w:tc>
        <w:tc>
          <w:tcPr>
            <w:tcW w:w="916" w:type="dxa"/>
            <w:vAlign w:val="center"/>
          </w:tcPr>
          <w:p w14:paraId="78D2D64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1082" w:type="dxa"/>
            <w:vAlign w:val="center"/>
          </w:tcPr>
          <w:p w14:paraId="333990B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49916D5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515</w:t>
            </w:r>
          </w:p>
        </w:tc>
        <w:tc>
          <w:tcPr>
            <w:tcW w:w="1039" w:type="dxa"/>
            <w:vAlign w:val="center"/>
          </w:tcPr>
          <w:p w14:paraId="595242F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w:t>
            </w:r>
          </w:p>
        </w:tc>
        <w:tc>
          <w:tcPr>
            <w:tcW w:w="785" w:type="dxa"/>
            <w:vAlign w:val="center"/>
          </w:tcPr>
          <w:p w14:paraId="6777C82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r>
      <w:tr w14:paraId="6A51F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3A3C100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53D7E26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天台村</w:t>
            </w:r>
          </w:p>
        </w:tc>
        <w:tc>
          <w:tcPr>
            <w:tcW w:w="1041" w:type="dxa"/>
            <w:vAlign w:val="center"/>
          </w:tcPr>
          <w:p w14:paraId="05E2E0B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1307</w:t>
            </w:r>
          </w:p>
        </w:tc>
        <w:tc>
          <w:tcPr>
            <w:tcW w:w="1145" w:type="dxa"/>
            <w:vAlign w:val="center"/>
          </w:tcPr>
          <w:p w14:paraId="0C08F8A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816</w:t>
            </w:r>
          </w:p>
        </w:tc>
        <w:tc>
          <w:tcPr>
            <w:tcW w:w="957" w:type="dxa"/>
            <w:vAlign w:val="center"/>
          </w:tcPr>
          <w:p w14:paraId="58AE759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6" w:type="dxa"/>
            <w:vAlign w:val="center"/>
          </w:tcPr>
          <w:p w14:paraId="5E3FF06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2" w:type="dxa"/>
            <w:vAlign w:val="center"/>
          </w:tcPr>
          <w:p w14:paraId="034AC0D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7C16678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712</w:t>
            </w:r>
          </w:p>
        </w:tc>
        <w:tc>
          <w:tcPr>
            <w:tcW w:w="1039" w:type="dxa"/>
            <w:vAlign w:val="center"/>
          </w:tcPr>
          <w:p w14:paraId="1B53BD8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785" w:type="dxa"/>
            <w:vAlign w:val="center"/>
          </w:tcPr>
          <w:p w14:paraId="4EE0920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r>
      <w:tr w14:paraId="0270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259492C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34404CC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天宫村</w:t>
            </w:r>
          </w:p>
        </w:tc>
        <w:tc>
          <w:tcPr>
            <w:tcW w:w="1041" w:type="dxa"/>
            <w:vAlign w:val="center"/>
          </w:tcPr>
          <w:p w14:paraId="768978E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832</w:t>
            </w:r>
          </w:p>
        </w:tc>
        <w:tc>
          <w:tcPr>
            <w:tcW w:w="1145" w:type="dxa"/>
            <w:vAlign w:val="center"/>
          </w:tcPr>
          <w:p w14:paraId="0545C2F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468</w:t>
            </w:r>
          </w:p>
        </w:tc>
        <w:tc>
          <w:tcPr>
            <w:tcW w:w="957" w:type="dxa"/>
            <w:vAlign w:val="center"/>
          </w:tcPr>
          <w:p w14:paraId="607F4DE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916" w:type="dxa"/>
            <w:vAlign w:val="center"/>
          </w:tcPr>
          <w:p w14:paraId="63071F3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2" w:type="dxa"/>
            <w:vAlign w:val="center"/>
          </w:tcPr>
          <w:p w14:paraId="116B16F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05453DA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346</w:t>
            </w:r>
          </w:p>
        </w:tc>
        <w:tc>
          <w:tcPr>
            <w:tcW w:w="1039" w:type="dxa"/>
            <w:vAlign w:val="center"/>
          </w:tcPr>
          <w:p w14:paraId="55FB839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4960BDD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63C2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724E731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6A3D9B1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四坪村</w:t>
            </w:r>
          </w:p>
        </w:tc>
        <w:tc>
          <w:tcPr>
            <w:tcW w:w="1041" w:type="dxa"/>
            <w:vAlign w:val="center"/>
          </w:tcPr>
          <w:p w14:paraId="61B6375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930</w:t>
            </w:r>
          </w:p>
        </w:tc>
        <w:tc>
          <w:tcPr>
            <w:tcW w:w="1145" w:type="dxa"/>
            <w:vAlign w:val="center"/>
          </w:tcPr>
          <w:p w14:paraId="7FCD3D0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618</w:t>
            </w:r>
          </w:p>
        </w:tc>
        <w:tc>
          <w:tcPr>
            <w:tcW w:w="957" w:type="dxa"/>
            <w:vAlign w:val="center"/>
          </w:tcPr>
          <w:p w14:paraId="776392E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w:t>
            </w:r>
          </w:p>
        </w:tc>
        <w:tc>
          <w:tcPr>
            <w:tcW w:w="916" w:type="dxa"/>
            <w:vAlign w:val="center"/>
          </w:tcPr>
          <w:p w14:paraId="29FF315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2" w:type="dxa"/>
            <w:vAlign w:val="center"/>
          </w:tcPr>
          <w:p w14:paraId="0724F70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4F0CFE0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387</w:t>
            </w:r>
          </w:p>
        </w:tc>
        <w:tc>
          <w:tcPr>
            <w:tcW w:w="1039" w:type="dxa"/>
            <w:vAlign w:val="center"/>
          </w:tcPr>
          <w:p w14:paraId="0C85C0E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w:t>
            </w:r>
          </w:p>
        </w:tc>
        <w:tc>
          <w:tcPr>
            <w:tcW w:w="785" w:type="dxa"/>
            <w:vAlign w:val="center"/>
          </w:tcPr>
          <w:p w14:paraId="0D3257E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51C0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500139A5">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6D881B2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双山村</w:t>
            </w:r>
          </w:p>
        </w:tc>
        <w:tc>
          <w:tcPr>
            <w:tcW w:w="1041" w:type="dxa"/>
            <w:vAlign w:val="center"/>
          </w:tcPr>
          <w:p w14:paraId="0A5D3E6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1301</w:t>
            </w:r>
          </w:p>
        </w:tc>
        <w:tc>
          <w:tcPr>
            <w:tcW w:w="1145" w:type="dxa"/>
            <w:vAlign w:val="center"/>
          </w:tcPr>
          <w:p w14:paraId="5036F85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337</w:t>
            </w:r>
          </w:p>
        </w:tc>
        <w:tc>
          <w:tcPr>
            <w:tcW w:w="957" w:type="dxa"/>
            <w:vAlign w:val="center"/>
          </w:tcPr>
          <w:p w14:paraId="6D3AF58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916" w:type="dxa"/>
            <w:vAlign w:val="center"/>
          </w:tcPr>
          <w:p w14:paraId="7B524B9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2" w:type="dxa"/>
            <w:vAlign w:val="center"/>
          </w:tcPr>
          <w:p w14:paraId="617F8CD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7F49BFA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142</w:t>
            </w:r>
          </w:p>
        </w:tc>
        <w:tc>
          <w:tcPr>
            <w:tcW w:w="1039" w:type="dxa"/>
            <w:vAlign w:val="center"/>
          </w:tcPr>
          <w:p w14:paraId="2F9B5F6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w:t>
            </w:r>
          </w:p>
        </w:tc>
        <w:tc>
          <w:tcPr>
            <w:tcW w:w="785" w:type="dxa"/>
            <w:vAlign w:val="center"/>
          </w:tcPr>
          <w:p w14:paraId="7B81831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44D4A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5D580F1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0076618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双河村</w:t>
            </w:r>
          </w:p>
        </w:tc>
        <w:tc>
          <w:tcPr>
            <w:tcW w:w="1041" w:type="dxa"/>
            <w:vAlign w:val="center"/>
          </w:tcPr>
          <w:p w14:paraId="64A00B3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1552</w:t>
            </w:r>
          </w:p>
        </w:tc>
        <w:tc>
          <w:tcPr>
            <w:tcW w:w="1145" w:type="dxa"/>
            <w:vAlign w:val="center"/>
          </w:tcPr>
          <w:p w14:paraId="4766154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1518</w:t>
            </w:r>
          </w:p>
        </w:tc>
        <w:tc>
          <w:tcPr>
            <w:tcW w:w="957" w:type="dxa"/>
            <w:vAlign w:val="center"/>
          </w:tcPr>
          <w:p w14:paraId="53D6648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6" w:type="dxa"/>
            <w:vAlign w:val="center"/>
          </w:tcPr>
          <w:p w14:paraId="15DD596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w:t>
            </w:r>
          </w:p>
        </w:tc>
        <w:tc>
          <w:tcPr>
            <w:tcW w:w="1082" w:type="dxa"/>
            <w:vAlign w:val="center"/>
          </w:tcPr>
          <w:p w14:paraId="13614B6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3F5A596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1132</w:t>
            </w:r>
          </w:p>
        </w:tc>
        <w:tc>
          <w:tcPr>
            <w:tcW w:w="1039" w:type="dxa"/>
            <w:vAlign w:val="center"/>
          </w:tcPr>
          <w:p w14:paraId="0E549E9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5A51DE3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r>
      <w:tr w14:paraId="3B3CF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6D8FB35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4538D24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石板村</w:t>
            </w:r>
          </w:p>
        </w:tc>
        <w:tc>
          <w:tcPr>
            <w:tcW w:w="1041" w:type="dxa"/>
            <w:vAlign w:val="center"/>
          </w:tcPr>
          <w:p w14:paraId="3239A04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834</w:t>
            </w:r>
          </w:p>
        </w:tc>
        <w:tc>
          <w:tcPr>
            <w:tcW w:w="1145" w:type="dxa"/>
            <w:vAlign w:val="center"/>
          </w:tcPr>
          <w:p w14:paraId="1708CDD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834</w:t>
            </w:r>
          </w:p>
        </w:tc>
        <w:tc>
          <w:tcPr>
            <w:tcW w:w="957" w:type="dxa"/>
            <w:vAlign w:val="center"/>
          </w:tcPr>
          <w:p w14:paraId="26B348A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6" w:type="dxa"/>
            <w:vAlign w:val="center"/>
          </w:tcPr>
          <w:p w14:paraId="5961A30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1082" w:type="dxa"/>
            <w:vAlign w:val="center"/>
          </w:tcPr>
          <w:p w14:paraId="1B1F825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4E1A40B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460</w:t>
            </w:r>
          </w:p>
        </w:tc>
        <w:tc>
          <w:tcPr>
            <w:tcW w:w="1039" w:type="dxa"/>
            <w:vAlign w:val="center"/>
          </w:tcPr>
          <w:p w14:paraId="0FA7BDC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28569E0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r>
      <w:tr w14:paraId="36EBF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52005D5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5A4ED89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桥亭村</w:t>
            </w:r>
          </w:p>
        </w:tc>
        <w:tc>
          <w:tcPr>
            <w:tcW w:w="1041" w:type="dxa"/>
            <w:vAlign w:val="center"/>
          </w:tcPr>
          <w:p w14:paraId="774174D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820</w:t>
            </w:r>
          </w:p>
        </w:tc>
        <w:tc>
          <w:tcPr>
            <w:tcW w:w="1145" w:type="dxa"/>
            <w:vAlign w:val="center"/>
          </w:tcPr>
          <w:p w14:paraId="1473D7C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820</w:t>
            </w:r>
          </w:p>
        </w:tc>
        <w:tc>
          <w:tcPr>
            <w:tcW w:w="957" w:type="dxa"/>
            <w:vAlign w:val="center"/>
          </w:tcPr>
          <w:p w14:paraId="647F2A6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916" w:type="dxa"/>
            <w:vAlign w:val="center"/>
          </w:tcPr>
          <w:p w14:paraId="6BA9946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2" w:type="dxa"/>
            <w:vAlign w:val="center"/>
          </w:tcPr>
          <w:p w14:paraId="0489AD1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6BE98EB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474</w:t>
            </w:r>
          </w:p>
        </w:tc>
        <w:tc>
          <w:tcPr>
            <w:tcW w:w="1039" w:type="dxa"/>
            <w:vAlign w:val="center"/>
          </w:tcPr>
          <w:p w14:paraId="5898185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2A57E64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331E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4DC5A3D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6764949E">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五里沟村</w:t>
            </w:r>
          </w:p>
        </w:tc>
        <w:tc>
          <w:tcPr>
            <w:tcW w:w="1041" w:type="dxa"/>
            <w:vAlign w:val="center"/>
          </w:tcPr>
          <w:p w14:paraId="158322A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900</w:t>
            </w:r>
          </w:p>
        </w:tc>
        <w:tc>
          <w:tcPr>
            <w:tcW w:w="1145" w:type="dxa"/>
            <w:vAlign w:val="center"/>
          </w:tcPr>
          <w:p w14:paraId="49260DE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562</w:t>
            </w:r>
          </w:p>
        </w:tc>
        <w:tc>
          <w:tcPr>
            <w:tcW w:w="957" w:type="dxa"/>
            <w:vAlign w:val="center"/>
          </w:tcPr>
          <w:p w14:paraId="135E8D9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916" w:type="dxa"/>
            <w:vAlign w:val="center"/>
          </w:tcPr>
          <w:p w14:paraId="1549ADD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2" w:type="dxa"/>
            <w:vAlign w:val="center"/>
          </w:tcPr>
          <w:p w14:paraId="0F6C1A9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520FFCE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416</w:t>
            </w:r>
          </w:p>
        </w:tc>
        <w:tc>
          <w:tcPr>
            <w:tcW w:w="1039" w:type="dxa"/>
            <w:vAlign w:val="center"/>
          </w:tcPr>
          <w:p w14:paraId="7EFF342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4168A36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776C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5CB41BE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14D4315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竹林村</w:t>
            </w:r>
          </w:p>
        </w:tc>
        <w:tc>
          <w:tcPr>
            <w:tcW w:w="1041" w:type="dxa"/>
            <w:vAlign w:val="center"/>
          </w:tcPr>
          <w:p w14:paraId="0E68D0D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831</w:t>
            </w:r>
          </w:p>
        </w:tc>
        <w:tc>
          <w:tcPr>
            <w:tcW w:w="1145" w:type="dxa"/>
            <w:vAlign w:val="center"/>
          </w:tcPr>
          <w:p w14:paraId="1895975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517</w:t>
            </w:r>
          </w:p>
        </w:tc>
        <w:tc>
          <w:tcPr>
            <w:tcW w:w="957" w:type="dxa"/>
            <w:vAlign w:val="center"/>
          </w:tcPr>
          <w:p w14:paraId="2B6DA23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6" w:type="dxa"/>
            <w:vAlign w:val="center"/>
          </w:tcPr>
          <w:p w14:paraId="3318047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2" w:type="dxa"/>
            <w:vAlign w:val="center"/>
          </w:tcPr>
          <w:p w14:paraId="021E50E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09D8176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186</w:t>
            </w:r>
          </w:p>
        </w:tc>
        <w:tc>
          <w:tcPr>
            <w:tcW w:w="1039" w:type="dxa"/>
            <w:vAlign w:val="center"/>
          </w:tcPr>
          <w:p w14:paraId="01E6A45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59C699C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r>
      <w:tr w14:paraId="0D46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21E1C2F4">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75A92D2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治田村</w:t>
            </w:r>
          </w:p>
        </w:tc>
        <w:tc>
          <w:tcPr>
            <w:tcW w:w="1041" w:type="dxa"/>
            <w:vAlign w:val="center"/>
          </w:tcPr>
          <w:p w14:paraId="619DF5F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874</w:t>
            </w:r>
          </w:p>
        </w:tc>
        <w:tc>
          <w:tcPr>
            <w:tcW w:w="1145" w:type="dxa"/>
            <w:vAlign w:val="center"/>
          </w:tcPr>
          <w:p w14:paraId="6010736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661</w:t>
            </w:r>
          </w:p>
        </w:tc>
        <w:tc>
          <w:tcPr>
            <w:tcW w:w="957" w:type="dxa"/>
            <w:vAlign w:val="center"/>
          </w:tcPr>
          <w:p w14:paraId="0545E57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916" w:type="dxa"/>
            <w:vAlign w:val="center"/>
          </w:tcPr>
          <w:p w14:paraId="22BD970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2" w:type="dxa"/>
            <w:vAlign w:val="center"/>
          </w:tcPr>
          <w:p w14:paraId="4AE94A9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4651B34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420</w:t>
            </w:r>
          </w:p>
        </w:tc>
        <w:tc>
          <w:tcPr>
            <w:tcW w:w="1039" w:type="dxa"/>
            <w:vAlign w:val="center"/>
          </w:tcPr>
          <w:p w14:paraId="36C1F43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w:t>
            </w:r>
          </w:p>
        </w:tc>
        <w:tc>
          <w:tcPr>
            <w:tcW w:w="785" w:type="dxa"/>
            <w:vAlign w:val="center"/>
          </w:tcPr>
          <w:p w14:paraId="1676514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2A6D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18D4D673">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602A9BA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中心村</w:t>
            </w:r>
          </w:p>
        </w:tc>
        <w:tc>
          <w:tcPr>
            <w:tcW w:w="1041" w:type="dxa"/>
            <w:vAlign w:val="center"/>
          </w:tcPr>
          <w:p w14:paraId="2A5ED93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1149</w:t>
            </w:r>
          </w:p>
        </w:tc>
        <w:tc>
          <w:tcPr>
            <w:tcW w:w="1145" w:type="dxa"/>
            <w:vAlign w:val="center"/>
          </w:tcPr>
          <w:p w14:paraId="4DA3A4A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832</w:t>
            </w:r>
          </w:p>
        </w:tc>
        <w:tc>
          <w:tcPr>
            <w:tcW w:w="957" w:type="dxa"/>
            <w:vAlign w:val="center"/>
          </w:tcPr>
          <w:p w14:paraId="2CBF74B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916" w:type="dxa"/>
            <w:vAlign w:val="center"/>
          </w:tcPr>
          <w:p w14:paraId="40B55DA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2" w:type="dxa"/>
            <w:vAlign w:val="center"/>
          </w:tcPr>
          <w:p w14:paraId="66699E5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362517E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711</w:t>
            </w:r>
          </w:p>
        </w:tc>
        <w:tc>
          <w:tcPr>
            <w:tcW w:w="1039" w:type="dxa"/>
            <w:vAlign w:val="center"/>
          </w:tcPr>
          <w:p w14:paraId="25A228F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28F0CDA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419A7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105FE49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00FC676F">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长垭村</w:t>
            </w:r>
          </w:p>
        </w:tc>
        <w:tc>
          <w:tcPr>
            <w:tcW w:w="1041" w:type="dxa"/>
            <w:vAlign w:val="center"/>
          </w:tcPr>
          <w:p w14:paraId="324085F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1174</w:t>
            </w:r>
          </w:p>
        </w:tc>
        <w:tc>
          <w:tcPr>
            <w:tcW w:w="1145" w:type="dxa"/>
            <w:vAlign w:val="center"/>
          </w:tcPr>
          <w:p w14:paraId="587B95F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904</w:t>
            </w:r>
          </w:p>
        </w:tc>
        <w:tc>
          <w:tcPr>
            <w:tcW w:w="957" w:type="dxa"/>
            <w:vAlign w:val="center"/>
          </w:tcPr>
          <w:p w14:paraId="3C93498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6" w:type="dxa"/>
            <w:vAlign w:val="center"/>
          </w:tcPr>
          <w:p w14:paraId="5F96733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0</w:t>
            </w:r>
          </w:p>
        </w:tc>
        <w:tc>
          <w:tcPr>
            <w:tcW w:w="1082" w:type="dxa"/>
            <w:vAlign w:val="center"/>
          </w:tcPr>
          <w:p w14:paraId="4BB7FCE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7C1F27A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904</w:t>
            </w:r>
          </w:p>
        </w:tc>
        <w:tc>
          <w:tcPr>
            <w:tcW w:w="1039" w:type="dxa"/>
            <w:vAlign w:val="center"/>
          </w:tcPr>
          <w:p w14:paraId="6626281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785" w:type="dxa"/>
            <w:vAlign w:val="center"/>
          </w:tcPr>
          <w:p w14:paraId="5821635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r>
      <w:tr w14:paraId="7B49F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6DA06C3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29BC3DD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芋头村</w:t>
            </w:r>
          </w:p>
        </w:tc>
        <w:tc>
          <w:tcPr>
            <w:tcW w:w="1041" w:type="dxa"/>
            <w:vAlign w:val="center"/>
          </w:tcPr>
          <w:p w14:paraId="498D902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762</w:t>
            </w:r>
          </w:p>
        </w:tc>
        <w:tc>
          <w:tcPr>
            <w:tcW w:w="1145" w:type="dxa"/>
            <w:vAlign w:val="center"/>
          </w:tcPr>
          <w:p w14:paraId="591E316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450</w:t>
            </w:r>
          </w:p>
        </w:tc>
        <w:tc>
          <w:tcPr>
            <w:tcW w:w="957" w:type="dxa"/>
            <w:vAlign w:val="center"/>
          </w:tcPr>
          <w:p w14:paraId="5AF03113">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916" w:type="dxa"/>
            <w:vAlign w:val="center"/>
          </w:tcPr>
          <w:p w14:paraId="43F9F9E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2" w:type="dxa"/>
            <w:vAlign w:val="center"/>
          </w:tcPr>
          <w:p w14:paraId="1DF29CB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1BDD5ED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175</w:t>
            </w:r>
          </w:p>
        </w:tc>
        <w:tc>
          <w:tcPr>
            <w:tcW w:w="1039" w:type="dxa"/>
            <w:vAlign w:val="center"/>
          </w:tcPr>
          <w:p w14:paraId="0A5DACE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1684712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r>
      <w:tr w14:paraId="20F5A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6416F03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172138AD">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玉石村</w:t>
            </w:r>
          </w:p>
        </w:tc>
        <w:tc>
          <w:tcPr>
            <w:tcW w:w="1041" w:type="dxa"/>
            <w:vAlign w:val="center"/>
          </w:tcPr>
          <w:p w14:paraId="6ACEA5E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933</w:t>
            </w:r>
          </w:p>
        </w:tc>
        <w:tc>
          <w:tcPr>
            <w:tcW w:w="1145" w:type="dxa"/>
            <w:vAlign w:val="center"/>
          </w:tcPr>
          <w:p w14:paraId="215AD75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681</w:t>
            </w:r>
          </w:p>
        </w:tc>
        <w:tc>
          <w:tcPr>
            <w:tcW w:w="957" w:type="dxa"/>
            <w:vAlign w:val="center"/>
          </w:tcPr>
          <w:p w14:paraId="0DD9638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916" w:type="dxa"/>
            <w:vAlign w:val="center"/>
          </w:tcPr>
          <w:p w14:paraId="3AE5809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2" w:type="dxa"/>
            <w:vAlign w:val="center"/>
          </w:tcPr>
          <w:p w14:paraId="7EC57F6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4836D53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430</w:t>
            </w:r>
          </w:p>
        </w:tc>
        <w:tc>
          <w:tcPr>
            <w:tcW w:w="1039" w:type="dxa"/>
            <w:vAlign w:val="center"/>
          </w:tcPr>
          <w:p w14:paraId="044B896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785" w:type="dxa"/>
            <w:vAlign w:val="center"/>
          </w:tcPr>
          <w:p w14:paraId="5807BF8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r w14:paraId="64E0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1901FA9A">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11590C02">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燕岩村</w:t>
            </w:r>
          </w:p>
        </w:tc>
        <w:tc>
          <w:tcPr>
            <w:tcW w:w="1041" w:type="dxa"/>
            <w:vAlign w:val="center"/>
          </w:tcPr>
          <w:p w14:paraId="26DEDD7C">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970</w:t>
            </w:r>
          </w:p>
        </w:tc>
        <w:tc>
          <w:tcPr>
            <w:tcW w:w="1145" w:type="dxa"/>
            <w:vAlign w:val="center"/>
          </w:tcPr>
          <w:p w14:paraId="791B3A4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970</w:t>
            </w:r>
          </w:p>
        </w:tc>
        <w:tc>
          <w:tcPr>
            <w:tcW w:w="957" w:type="dxa"/>
            <w:vAlign w:val="center"/>
          </w:tcPr>
          <w:p w14:paraId="6662542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916" w:type="dxa"/>
            <w:vAlign w:val="center"/>
          </w:tcPr>
          <w:p w14:paraId="2F40307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2" w:type="dxa"/>
            <w:vAlign w:val="center"/>
          </w:tcPr>
          <w:p w14:paraId="76767F0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1150994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886</w:t>
            </w:r>
          </w:p>
        </w:tc>
        <w:tc>
          <w:tcPr>
            <w:tcW w:w="1039" w:type="dxa"/>
            <w:vAlign w:val="center"/>
          </w:tcPr>
          <w:p w14:paraId="6A10A24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03782EA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r>
      <w:tr w14:paraId="52B9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3116CB2B">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4F7E6496">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新宁村</w:t>
            </w:r>
          </w:p>
        </w:tc>
        <w:tc>
          <w:tcPr>
            <w:tcW w:w="1041" w:type="dxa"/>
            <w:vAlign w:val="center"/>
          </w:tcPr>
          <w:p w14:paraId="493EADD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1220</w:t>
            </w:r>
          </w:p>
        </w:tc>
        <w:tc>
          <w:tcPr>
            <w:tcW w:w="1145" w:type="dxa"/>
            <w:vAlign w:val="center"/>
          </w:tcPr>
          <w:p w14:paraId="6DE480E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772</w:t>
            </w:r>
          </w:p>
        </w:tc>
        <w:tc>
          <w:tcPr>
            <w:tcW w:w="957" w:type="dxa"/>
            <w:vAlign w:val="center"/>
          </w:tcPr>
          <w:p w14:paraId="29033F6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916" w:type="dxa"/>
            <w:vAlign w:val="center"/>
          </w:tcPr>
          <w:p w14:paraId="409A151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1082" w:type="dxa"/>
            <w:vAlign w:val="center"/>
          </w:tcPr>
          <w:p w14:paraId="3E9346E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0CCE4B2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455</w:t>
            </w:r>
          </w:p>
        </w:tc>
        <w:tc>
          <w:tcPr>
            <w:tcW w:w="1039" w:type="dxa"/>
            <w:vAlign w:val="center"/>
          </w:tcPr>
          <w:p w14:paraId="4700F74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785" w:type="dxa"/>
            <w:vAlign w:val="center"/>
          </w:tcPr>
          <w:p w14:paraId="3D51B7D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r>
      <w:tr w14:paraId="4AEF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3620CFA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1E8C163C">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新貌村</w:t>
            </w:r>
          </w:p>
        </w:tc>
        <w:tc>
          <w:tcPr>
            <w:tcW w:w="1041" w:type="dxa"/>
            <w:vAlign w:val="center"/>
          </w:tcPr>
          <w:p w14:paraId="5AC50E8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1065</w:t>
            </w:r>
          </w:p>
        </w:tc>
        <w:tc>
          <w:tcPr>
            <w:tcW w:w="1145" w:type="dxa"/>
            <w:vAlign w:val="center"/>
          </w:tcPr>
          <w:p w14:paraId="21DF2FE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980</w:t>
            </w:r>
          </w:p>
        </w:tc>
        <w:tc>
          <w:tcPr>
            <w:tcW w:w="957" w:type="dxa"/>
            <w:vAlign w:val="center"/>
          </w:tcPr>
          <w:p w14:paraId="6CCEB8D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3</w:t>
            </w:r>
          </w:p>
        </w:tc>
        <w:tc>
          <w:tcPr>
            <w:tcW w:w="916" w:type="dxa"/>
            <w:vAlign w:val="center"/>
          </w:tcPr>
          <w:p w14:paraId="78B8336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1082" w:type="dxa"/>
            <w:vAlign w:val="center"/>
          </w:tcPr>
          <w:p w14:paraId="67E5AB97">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13CC678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896</w:t>
            </w:r>
          </w:p>
        </w:tc>
        <w:tc>
          <w:tcPr>
            <w:tcW w:w="1039" w:type="dxa"/>
            <w:vAlign w:val="center"/>
          </w:tcPr>
          <w:p w14:paraId="7FF350EF">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4</w:t>
            </w:r>
          </w:p>
        </w:tc>
        <w:tc>
          <w:tcPr>
            <w:tcW w:w="785" w:type="dxa"/>
            <w:vAlign w:val="center"/>
          </w:tcPr>
          <w:p w14:paraId="5B38DEB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r>
      <w:tr w14:paraId="1C2D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00" w:type="dxa"/>
            <w:vMerge w:val="continue"/>
            <w:vAlign w:val="center"/>
          </w:tcPr>
          <w:p w14:paraId="24DC1E10">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p>
        </w:tc>
        <w:tc>
          <w:tcPr>
            <w:tcW w:w="950" w:type="dxa"/>
            <w:vAlign w:val="center"/>
          </w:tcPr>
          <w:p w14:paraId="28558B71">
            <w:pPr>
              <w:pStyle w:val="22"/>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80" w:lineRule="exact"/>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卧龙村</w:t>
            </w:r>
          </w:p>
        </w:tc>
        <w:tc>
          <w:tcPr>
            <w:tcW w:w="1041" w:type="dxa"/>
            <w:vAlign w:val="center"/>
          </w:tcPr>
          <w:p w14:paraId="45BD68D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1510</w:t>
            </w:r>
          </w:p>
        </w:tc>
        <w:tc>
          <w:tcPr>
            <w:tcW w:w="1145" w:type="dxa"/>
            <w:vAlign w:val="center"/>
          </w:tcPr>
          <w:p w14:paraId="56D1644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1510</w:t>
            </w:r>
          </w:p>
        </w:tc>
        <w:tc>
          <w:tcPr>
            <w:tcW w:w="957" w:type="dxa"/>
            <w:vAlign w:val="center"/>
          </w:tcPr>
          <w:p w14:paraId="23235F78">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0</w:t>
            </w:r>
          </w:p>
        </w:tc>
        <w:tc>
          <w:tcPr>
            <w:tcW w:w="916" w:type="dxa"/>
            <w:vAlign w:val="center"/>
          </w:tcPr>
          <w:p w14:paraId="39C1D9F2">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2</w:t>
            </w:r>
          </w:p>
        </w:tc>
        <w:tc>
          <w:tcPr>
            <w:tcW w:w="1082" w:type="dxa"/>
            <w:vAlign w:val="center"/>
          </w:tcPr>
          <w:p w14:paraId="7F5C388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p>
        </w:tc>
        <w:tc>
          <w:tcPr>
            <w:tcW w:w="1291" w:type="dxa"/>
            <w:vAlign w:val="center"/>
          </w:tcPr>
          <w:p w14:paraId="14C6A054">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1246</w:t>
            </w:r>
          </w:p>
        </w:tc>
        <w:tc>
          <w:tcPr>
            <w:tcW w:w="1039" w:type="dxa"/>
            <w:vAlign w:val="center"/>
          </w:tcPr>
          <w:p w14:paraId="24868CB1">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c>
          <w:tcPr>
            <w:tcW w:w="785" w:type="dxa"/>
            <w:vAlign w:val="center"/>
          </w:tcPr>
          <w:p w14:paraId="1022A525">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1"/>
                <w:szCs w:val="21"/>
                <w:lang w:val="en-US" w:eastAsia="zh-CN"/>
              </w:rPr>
              <w:t>1</w:t>
            </w:r>
          </w:p>
        </w:tc>
      </w:tr>
    </w:tbl>
    <w:p w14:paraId="0F143C07">
      <w:pPr>
        <w:jc w:val="left"/>
        <w:rPr>
          <w:rFonts w:hint="default" w:ascii="Times New Roman" w:hAnsi="Times New Roman" w:eastAsia="仿宋_GB2312" w:cs="Times New Roman"/>
          <w:b/>
          <w:bCs/>
          <w:sz w:val="32"/>
          <w:szCs w:val="32"/>
          <w:lang w:val="en-US" w:eastAsia="zh-CN"/>
        </w:rPr>
      </w:pPr>
    </w:p>
    <w:p w14:paraId="53EFAFB8">
      <w:pPr>
        <w:jc w:val="left"/>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注：有条件的农村散户可联户建三格式化粪池。</w:t>
      </w:r>
    </w:p>
    <w:p w14:paraId="21C2D0A9">
      <w:pPr>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br w:type="page"/>
      </w:r>
    </w:p>
    <w:p w14:paraId="2A514DFB">
      <w:pPr>
        <w:pStyle w:val="12"/>
        <w:keepNext w:val="0"/>
        <w:keepLines w:val="0"/>
        <w:pageBreakBefore w:val="0"/>
        <w:widowControl w:val="0"/>
        <w:kinsoku/>
        <w:wordWrap/>
        <w:overflowPunct/>
        <w:topLinePunct w:val="0"/>
        <w:autoSpaceDE w:val="0"/>
        <w:autoSpaceDN w:val="0"/>
        <w:bidi w:val="0"/>
        <w:adjustRightInd/>
        <w:snapToGrid/>
        <w:spacing w:line="576" w:lineRule="exact"/>
        <w:ind w:right="0" w:firstLine="640" w:firstLineChars="200"/>
        <w:textAlignment w:val="auto"/>
        <w:outlineLvl w:val="1"/>
        <w:rPr>
          <w:rFonts w:hint="default" w:ascii="Times New Roman" w:hAnsi="Times New Roman" w:cs="Times New Roman"/>
          <w:b w:val="0"/>
          <w:bCs w:val="0"/>
          <w:sz w:val="30"/>
          <w:szCs w:val="30"/>
          <w:lang w:val="en-US" w:eastAsia="zh-CN" w:bidi="zh-CN"/>
        </w:rPr>
      </w:pPr>
      <w:bookmarkStart w:id="234" w:name="_Toc3429"/>
      <w:r>
        <w:rPr>
          <w:rFonts w:hint="default" w:ascii="Times New Roman" w:hAnsi="Times New Roman" w:eastAsia="黑体" w:cs="Times New Roman"/>
          <w:b w:val="0"/>
          <w:bCs w:val="0"/>
          <w:sz w:val="32"/>
          <w:szCs w:val="32"/>
          <w:lang w:val="en-US" w:eastAsia="zh-CN"/>
        </w:rPr>
        <w:t>6.2重点建设项目</w:t>
      </w:r>
      <w:bookmarkEnd w:id="234"/>
    </w:p>
    <w:tbl>
      <w:tblPr>
        <w:tblStyle w:val="24"/>
        <w:tblW w:w="9763" w:type="dxa"/>
        <w:tblInd w:w="-4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2968"/>
        <w:gridCol w:w="2869"/>
        <w:gridCol w:w="2805"/>
      </w:tblGrid>
      <w:tr w14:paraId="316A2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121" w:type="dxa"/>
            <w:vAlign w:val="center"/>
          </w:tcPr>
          <w:p w14:paraId="21ACC10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仿宋_GB2312" w:cs="Times New Roman"/>
                <w:b/>
                <w:bCs/>
                <w:color w:val="auto"/>
                <w:sz w:val="24"/>
                <w:szCs w:val="24"/>
              </w:rPr>
              <w:t>镇名称</w:t>
            </w:r>
          </w:p>
        </w:tc>
        <w:tc>
          <w:tcPr>
            <w:tcW w:w="2968" w:type="dxa"/>
            <w:vAlign w:val="center"/>
          </w:tcPr>
          <w:p w14:paraId="2713E56B">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仿宋_GB2312" w:cs="Times New Roman"/>
                <w:b/>
                <w:bCs/>
                <w:color w:val="auto"/>
                <w:sz w:val="24"/>
                <w:szCs w:val="24"/>
              </w:rPr>
              <w:t>2023年</w:t>
            </w:r>
          </w:p>
        </w:tc>
        <w:tc>
          <w:tcPr>
            <w:tcW w:w="2869" w:type="dxa"/>
            <w:vAlign w:val="center"/>
          </w:tcPr>
          <w:p w14:paraId="2F8B603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仿宋_GB2312" w:cs="Times New Roman"/>
                <w:b/>
                <w:bCs/>
                <w:color w:val="auto"/>
                <w:sz w:val="24"/>
                <w:szCs w:val="24"/>
              </w:rPr>
              <w:t>2024年</w:t>
            </w:r>
          </w:p>
        </w:tc>
        <w:tc>
          <w:tcPr>
            <w:tcW w:w="2805" w:type="dxa"/>
            <w:vAlign w:val="center"/>
          </w:tcPr>
          <w:p w14:paraId="15150426">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仿宋_GB2312" w:cs="Times New Roman"/>
                <w:b/>
                <w:bCs/>
                <w:color w:val="auto"/>
                <w:sz w:val="24"/>
                <w:szCs w:val="24"/>
              </w:rPr>
              <w:t>2025年</w:t>
            </w:r>
          </w:p>
        </w:tc>
      </w:tr>
      <w:tr w14:paraId="60D6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121" w:type="dxa"/>
            <w:vAlign w:val="center"/>
          </w:tcPr>
          <w:p w14:paraId="40C0924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三家镇</w:t>
            </w:r>
          </w:p>
        </w:tc>
        <w:tc>
          <w:tcPr>
            <w:tcW w:w="2968" w:type="dxa"/>
            <w:vAlign w:val="center"/>
          </w:tcPr>
          <w:p w14:paraId="040CC23E">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510</w:t>
            </w:r>
            <w:r>
              <w:rPr>
                <w:rFonts w:hint="eastAsia" w:ascii="Times New Roman" w:hAnsi="Times New Roman" w:eastAsia="仿宋_GB2312" w:cs="Times New Roman"/>
                <w:color w:val="auto"/>
                <w:sz w:val="24"/>
                <w:szCs w:val="24"/>
              </w:rPr>
              <w:t>处</w:t>
            </w:r>
          </w:p>
        </w:tc>
        <w:tc>
          <w:tcPr>
            <w:tcW w:w="2869" w:type="dxa"/>
            <w:vAlign w:val="center"/>
          </w:tcPr>
          <w:p w14:paraId="171C0B60">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470</w:t>
            </w:r>
            <w:r>
              <w:rPr>
                <w:rFonts w:hint="eastAsia" w:ascii="Times New Roman" w:hAnsi="Times New Roman" w:eastAsia="仿宋_GB2312" w:cs="Times New Roman"/>
                <w:color w:val="auto"/>
                <w:sz w:val="24"/>
                <w:szCs w:val="24"/>
              </w:rPr>
              <w:t>处</w:t>
            </w:r>
          </w:p>
        </w:tc>
        <w:tc>
          <w:tcPr>
            <w:tcW w:w="2805" w:type="dxa"/>
            <w:vAlign w:val="center"/>
          </w:tcPr>
          <w:p w14:paraId="7FDF3DBD">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330</w:t>
            </w:r>
            <w:r>
              <w:rPr>
                <w:rFonts w:hint="eastAsia" w:ascii="Times New Roman" w:hAnsi="Times New Roman" w:eastAsia="仿宋_GB2312" w:cs="Times New Roman"/>
                <w:color w:val="auto"/>
                <w:sz w:val="24"/>
                <w:szCs w:val="24"/>
              </w:rPr>
              <w:t>处</w:t>
            </w:r>
          </w:p>
        </w:tc>
      </w:tr>
      <w:tr w14:paraId="7FBB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121" w:type="dxa"/>
            <w:vAlign w:val="center"/>
          </w:tcPr>
          <w:p w14:paraId="32F4A2F9">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安居镇</w:t>
            </w:r>
          </w:p>
        </w:tc>
        <w:tc>
          <w:tcPr>
            <w:tcW w:w="2968" w:type="dxa"/>
            <w:vAlign w:val="center"/>
          </w:tcPr>
          <w:p w14:paraId="77931B54">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268</w:t>
            </w:r>
            <w:r>
              <w:rPr>
                <w:rFonts w:hint="eastAsia" w:ascii="Times New Roman" w:hAnsi="Times New Roman" w:eastAsia="仿宋_GB2312" w:cs="Times New Roman"/>
                <w:color w:val="auto"/>
                <w:sz w:val="24"/>
                <w:szCs w:val="24"/>
              </w:rPr>
              <w:t>处</w:t>
            </w:r>
          </w:p>
        </w:tc>
        <w:tc>
          <w:tcPr>
            <w:tcW w:w="2869" w:type="dxa"/>
            <w:vAlign w:val="center"/>
          </w:tcPr>
          <w:p w14:paraId="120701F1">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269</w:t>
            </w:r>
            <w:r>
              <w:rPr>
                <w:rFonts w:hint="eastAsia" w:ascii="Times New Roman" w:hAnsi="Times New Roman" w:eastAsia="仿宋_GB2312" w:cs="Times New Roman"/>
                <w:color w:val="auto"/>
                <w:sz w:val="24"/>
                <w:szCs w:val="24"/>
              </w:rPr>
              <w:t>处</w:t>
            </w:r>
          </w:p>
        </w:tc>
        <w:tc>
          <w:tcPr>
            <w:tcW w:w="2805" w:type="dxa"/>
            <w:vAlign w:val="center"/>
          </w:tcPr>
          <w:p w14:paraId="105D7C3D">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p>
        </w:tc>
      </w:tr>
      <w:tr w14:paraId="0E86D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121" w:type="dxa"/>
            <w:vAlign w:val="center"/>
          </w:tcPr>
          <w:p w14:paraId="738A0EFA">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玉丰镇</w:t>
            </w:r>
          </w:p>
        </w:tc>
        <w:tc>
          <w:tcPr>
            <w:tcW w:w="2968" w:type="dxa"/>
            <w:vAlign w:val="center"/>
          </w:tcPr>
          <w:p w14:paraId="67F4FD22">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85</w:t>
            </w:r>
            <w:r>
              <w:rPr>
                <w:rFonts w:hint="eastAsia" w:ascii="Times New Roman" w:hAnsi="Times New Roman" w:eastAsia="仿宋_GB2312" w:cs="Times New Roman"/>
                <w:color w:val="auto"/>
                <w:sz w:val="24"/>
                <w:szCs w:val="24"/>
              </w:rPr>
              <w:t>处</w:t>
            </w:r>
          </w:p>
        </w:tc>
        <w:tc>
          <w:tcPr>
            <w:tcW w:w="2869" w:type="dxa"/>
            <w:vAlign w:val="center"/>
          </w:tcPr>
          <w:p w14:paraId="64999EC9">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90</w:t>
            </w:r>
            <w:r>
              <w:rPr>
                <w:rFonts w:hint="eastAsia" w:ascii="Times New Roman" w:hAnsi="Times New Roman" w:eastAsia="仿宋_GB2312" w:cs="Times New Roman"/>
                <w:color w:val="auto"/>
                <w:sz w:val="24"/>
                <w:szCs w:val="24"/>
              </w:rPr>
              <w:t>处</w:t>
            </w:r>
          </w:p>
        </w:tc>
        <w:tc>
          <w:tcPr>
            <w:tcW w:w="2805" w:type="dxa"/>
            <w:vAlign w:val="center"/>
          </w:tcPr>
          <w:p w14:paraId="4A0ED3DF">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60</w:t>
            </w:r>
            <w:r>
              <w:rPr>
                <w:rFonts w:hint="eastAsia" w:ascii="Times New Roman" w:hAnsi="Times New Roman" w:eastAsia="仿宋_GB2312" w:cs="Times New Roman"/>
                <w:color w:val="auto"/>
                <w:sz w:val="24"/>
                <w:szCs w:val="24"/>
              </w:rPr>
              <w:t>处</w:t>
            </w:r>
          </w:p>
        </w:tc>
      </w:tr>
      <w:tr w14:paraId="4DE38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121" w:type="dxa"/>
            <w:vAlign w:val="center"/>
          </w:tcPr>
          <w:p w14:paraId="5BE5823E">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会龙镇</w:t>
            </w:r>
          </w:p>
        </w:tc>
        <w:tc>
          <w:tcPr>
            <w:tcW w:w="2968" w:type="dxa"/>
            <w:vAlign w:val="center"/>
          </w:tcPr>
          <w:p w14:paraId="39E5A968">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20</w:t>
            </w:r>
            <w:r>
              <w:rPr>
                <w:rFonts w:hint="eastAsia" w:ascii="Times New Roman" w:hAnsi="Times New Roman" w:eastAsia="仿宋_GB2312" w:cs="Times New Roman"/>
                <w:color w:val="auto"/>
                <w:sz w:val="24"/>
                <w:szCs w:val="24"/>
              </w:rPr>
              <w:t>处</w:t>
            </w:r>
          </w:p>
        </w:tc>
        <w:tc>
          <w:tcPr>
            <w:tcW w:w="2869" w:type="dxa"/>
            <w:vAlign w:val="center"/>
          </w:tcPr>
          <w:p w14:paraId="0C1EFF06">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20</w:t>
            </w:r>
            <w:r>
              <w:rPr>
                <w:rFonts w:hint="eastAsia" w:ascii="Times New Roman" w:hAnsi="Times New Roman" w:eastAsia="仿宋_GB2312" w:cs="Times New Roman"/>
                <w:color w:val="auto"/>
                <w:sz w:val="24"/>
                <w:szCs w:val="24"/>
              </w:rPr>
              <w:t>处</w:t>
            </w:r>
          </w:p>
        </w:tc>
        <w:tc>
          <w:tcPr>
            <w:tcW w:w="2805" w:type="dxa"/>
            <w:vAlign w:val="center"/>
          </w:tcPr>
          <w:p w14:paraId="026F7BCC">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20</w:t>
            </w:r>
            <w:r>
              <w:rPr>
                <w:rFonts w:hint="eastAsia" w:ascii="Times New Roman" w:hAnsi="Times New Roman" w:eastAsia="仿宋_GB2312" w:cs="Times New Roman"/>
                <w:color w:val="auto"/>
                <w:sz w:val="24"/>
                <w:szCs w:val="24"/>
              </w:rPr>
              <w:t>处</w:t>
            </w:r>
          </w:p>
        </w:tc>
      </w:tr>
      <w:tr w14:paraId="668D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121" w:type="dxa"/>
            <w:vAlign w:val="center"/>
          </w:tcPr>
          <w:p w14:paraId="7407861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rPr>
              <w:t>聚贤镇</w:t>
            </w:r>
          </w:p>
        </w:tc>
        <w:tc>
          <w:tcPr>
            <w:tcW w:w="2968" w:type="dxa"/>
            <w:vAlign w:val="center"/>
          </w:tcPr>
          <w:p w14:paraId="64C505A7">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30</w:t>
            </w:r>
            <w:r>
              <w:rPr>
                <w:rFonts w:hint="eastAsia" w:ascii="Times New Roman" w:hAnsi="Times New Roman" w:eastAsia="仿宋_GB2312" w:cs="Times New Roman"/>
                <w:color w:val="auto"/>
                <w:sz w:val="24"/>
                <w:szCs w:val="24"/>
              </w:rPr>
              <w:t>处</w:t>
            </w:r>
          </w:p>
        </w:tc>
        <w:tc>
          <w:tcPr>
            <w:tcW w:w="2869" w:type="dxa"/>
            <w:vAlign w:val="center"/>
          </w:tcPr>
          <w:p w14:paraId="0AB7F23E">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20</w:t>
            </w:r>
            <w:r>
              <w:rPr>
                <w:rFonts w:hint="eastAsia" w:ascii="Times New Roman" w:hAnsi="Times New Roman" w:eastAsia="仿宋_GB2312" w:cs="Times New Roman"/>
                <w:color w:val="auto"/>
                <w:sz w:val="24"/>
                <w:szCs w:val="24"/>
              </w:rPr>
              <w:t>处</w:t>
            </w:r>
          </w:p>
        </w:tc>
        <w:tc>
          <w:tcPr>
            <w:tcW w:w="2805" w:type="dxa"/>
            <w:vAlign w:val="center"/>
          </w:tcPr>
          <w:p w14:paraId="26BD844C">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rPr>
              <w:t>新建三格式化粪池</w:t>
            </w:r>
            <w:r>
              <w:rPr>
                <w:rFonts w:hint="default" w:ascii="Times New Roman" w:hAnsi="Times New Roman" w:eastAsia="仿宋_GB2312" w:cs="Times New Roman"/>
                <w:color w:val="auto"/>
                <w:sz w:val="24"/>
                <w:szCs w:val="24"/>
              </w:rPr>
              <w:t>20</w:t>
            </w:r>
            <w:r>
              <w:rPr>
                <w:rFonts w:hint="eastAsia" w:ascii="Times New Roman" w:hAnsi="Times New Roman" w:eastAsia="仿宋_GB2312" w:cs="Times New Roman"/>
                <w:color w:val="auto"/>
                <w:sz w:val="24"/>
                <w:szCs w:val="24"/>
              </w:rPr>
              <w:t>处</w:t>
            </w:r>
          </w:p>
        </w:tc>
      </w:tr>
      <w:tr w14:paraId="70C7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1121" w:type="dxa"/>
            <w:vAlign w:val="center"/>
          </w:tcPr>
          <w:p w14:paraId="7118552D">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磨溪镇</w:t>
            </w:r>
          </w:p>
        </w:tc>
        <w:tc>
          <w:tcPr>
            <w:tcW w:w="2968" w:type="dxa"/>
            <w:vAlign w:val="center"/>
          </w:tcPr>
          <w:p w14:paraId="58000871">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新建三格式化粪池</w:t>
            </w:r>
            <w:r>
              <w:rPr>
                <w:rFonts w:hint="default" w:ascii="Times New Roman" w:hAnsi="Times New Roman" w:eastAsia="仿宋_GB2312" w:cs="Times New Roman"/>
                <w:color w:val="auto"/>
                <w:sz w:val="24"/>
                <w:szCs w:val="24"/>
                <w:lang w:eastAsia="zh-CN"/>
              </w:rPr>
              <w:t>20</w:t>
            </w:r>
            <w:r>
              <w:rPr>
                <w:rFonts w:hint="eastAsia" w:ascii="Times New Roman" w:hAnsi="Times New Roman" w:eastAsia="仿宋_GB2312" w:cs="Times New Roman"/>
                <w:color w:val="auto"/>
                <w:sz w:val="24"/>
                <w:szCs w:val="24"/>
                <w:lang w:val="en-US" w:eastAsia="zh-CN"/>
              </w:rPr>
              <w:t>处、人工湿地3座</w:t>
            </w:r>
          </w:p>
        </w:tc>
        <w:tc>
          <w:tcPr>
            <w:tcW w:w="2869" w:type="dxa"/>
            <w:vAlign w:val="center"/>
          </w:tcPr>
          <w:p w14:paraId="139F9848">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val="en-US" w:eastAsia="zh-CN"/>
              </w:rPr>
              <w:t>人工湿地2座</w:t>
            </w:r>
          </w:p>
        </w:tc>
        <w:tc>
          <w:tcPr>
            <w:tcW w:w="2805" w:type="dxa"/>
            <w:vAlign w:val="center"/>
          </w:tcPr>
          <w:p w14:paraId="40510689">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val="en-US" w:eastAsia="zh-CN"/>
              </w:rPr>
              <w:t>一体化污水处理设施1座</w:t>
            </w:r>
          </w:p>
        </w:tc>
      </w:tr>
      <w:tr w14:paraId="0364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vAlign w:val="center"/>
          </w:tcPr>
          <w:p w14:paraId="731971F0">
            <w:pPr>
              <w:pStyle w:val="22"/>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lang w:val="en-US" w:eastAsia="zh-CN"/>
              </w:rPr>
              <w:t>西眉镇</w:t>
            </w:r>
          </w:p>
        </w:tc>
        <w:tc>
          <w:tcPr>
            <w:tcW w:w="2968" w:type="dxa"/>
            <w:vAlign w:val="center"/>
          </w:tcPr>
          <w:p w14:paraId="765A2D41">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val="en-US" w:eastAsia="zh-CN"/>
              </w:rPr>
              <w:t>新建三格式化粪池</w:t>
            </w:r>
            <w:r>
              <w:rPr>
                <w:rFonts w:hint="default" w:ascii="Times New Roman" w:hAnsi="Times New Roman" w:eastAsia="仿宋_GB2312" w:cs="Times New Roman"/>
                <w:color w:val="auto"/>
                <w:sz w:val="24"/>
                <w:szCs w:val="24"/>
                <w:lang w:eastAsia="zh-CN"/>
              </w:rPr>
              <w:t>1043</w:t>
            </w:r>
            <w:r>
              <w:rPr>
                <w:rFonts w:hint="eastAsia" w:ascii="Times New Roman" w:hAnsi="Times New Roman" w:eastAsia="仿宋_GB2312" w:cs="Times New Roman"/>
                <w:color w:val="auto"/>
                <w:sz w:val="24"/>
                <w:szCs w:val="24"/>
                <w:lang w:val="en-US" w:eastAsia="zh-CN"/>
              </w:rPr>
              <w:t>处、人工湿地7座、一体化污水处理设施1座</w:t>
            </w:r>
          </w:p>
        </w:tc>
        <w:tc>
          <w:tcPr>
            <w:tcW w:w="2869" w:type="dxa"/>
            <w:vAlign w:val="center"/>
          </w:tcPr>
          <w:p w14:paraId="59C89168">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val="en-US" w:eastAsia="zh-CN"/>
              </w:rPr>
              <w:t>新建三格式化粪池</w:t>
            </w:r>
            <w:r>
              <w:rPr>
                <w:rFonts w:hint="default" w:ascii="Times New Roman" w:hAnsi="Times New Roman" w:eastAsia="仿宋_GB2312" w:cs="Times New Roman"/>
                <w:color w:val="auto"/>
                <w:sz w:val="24"/>
                <w:szCs w:val="24"/>
                <w:lang w:eastAsia="zh-CN"/>
              </w:rPr>
              <w:t>711</w:t>
            </w:r>
            <w:r>
              <w:rPr>
                <w:rFonts w:hint="eastAsia" w:ascii="Times New Roman" w:hAnsi="Times New Roman" w:eastAsia="仿宋_GB2312" w:cs="Times New Roman"/>
                <w:color w:val="auto"/>
                <w:sz w:val="24"/>
                <w:szCs w:val="24"/>
                <w:lang w:val="en-US" w:eastAsia="zh-CN"/>
              </w:rPr>
              <w:t>处、人工湿地9座</w:t>
            </w:r>
          </w:p>
        </w:tc>
        <w:tc>
          <w:tcPr>
            <w:tcW w:w="2805" w:type="dxa"/>
            <w:vAlign w:val="center"/>
          </w:tcPr>
          <w:p w14:paraId="3C7F9780">
            <w:pPr>
              <w:pStyle w:val="22"/>
              <w:keepNext w:val="0"/>
              <w:keepLines w:val="0"/>
              <w:widowControl/>
              <w:suppressLineNumbers w:val="0"/>
              <w:spacing w:line="240" w:lineRule="auto"/>
              <w:ind w:left="0" w:leftChars="0" w:firstLine="0" w:firstLineChars="0"/>
              <w:jc w:val="center"/>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val="en-US" w:eastAsia="zh-CN"/>
              </w:rPr>
              <w:t>新建三格式化粪池</w:t>
            </w:r>
            <w:r>
              <w:rPr>
                <w:rFonts w:hint="default" w:ascii="Times New Roman" w:hAnsi="Times New Roman" w:eastAsia="仿宋_GB2312" w:cs="Times New Roman"/>
                <w:color w:val="auto"/>
                <w:sz w:val="24"/>
                <w:szCs w:val="24"/>
                <w:lang w:eastAsia="zh-CN"/>
              </w:rPr>
              <w:t>521</w:t>
            </w:r>
            <w:r>
              <w:rPr>
                <w:rFonts w:hint="eastAsia" w:ascii="Times New Roman" w:hAnsi="Times New Roman" w:eastAsia="仿宋_GB2312" w:cs="Times New Roman"/>
                <w:color w:val="auto"/>
                <w:sz w:val="24"/>
                <w:szCs w:val="24"/>
                <w:lang w:val="en-US" w:eastAsia="zh-CN"/>
              </w:rPr>
              <w:t>处、人工湿地7座</w:t>
            </w:r>
          </w:p>
        </w:tc>
      </w:tr>
    </w:tbl>
    <w:p w14:paraId="20024E64">
      <w:pPr>
        <w:pStyle w:val="12"/>
        <w:tabs>
          <w:tab w:val="left" w:pos="1284"/>
        </w:tabs>
        <w:spacing w:before="48"/>
        <w:jc w:val="both"/>
        <w:rPr>
          <w:rFonts w:hint="default" w:ascii="Times New Roman" w:hAnsi="Times New Roman" w:eastAsia="仿宋_GB2312" w:cs="Times New Roman"/>
        </w:rPr>
      </w:pPr>
    </w:p>
    <w:p w14:paraId="688C65D9">
      <w:pPr>
        <w:pStyle w:val="12"/>
        <w:keepNext w:val="0"/>
        <w:keepLines w:val="0"/>
        <w:pageBreakBefore w:val="0"/>
        <w:widowControl w:val="0"/>
        <w:kinsoku/>
        <w:wordWrap/>
        <w:overflowPunct/>
        <w:topLinePunct w:val="0"/>
        <w:autoSpaceDE w:val="0"/>
        <w:autoSpaceDN w:val="0"/>
        <w:bidi w:val="0"/>
        <w:adjustRightInd/>
        <w:snapToGrid/>
        <w:spacing w:line="576" w:lineRule="atLeast"/>
        <w:ind w:right="0" w:firstLine="640" w:firstLineChars="200"/>
        <w:jc w:val="both"/>
        <w:textAlignment w:val="auto"/>
        <w:outlineLvl w:val="1"/>
        <w:rPr>
          <w:rFonts w:hint="default" w:ascii="Times New Roman" w:hAnsi="Times New Roman" w:eastAsia="黑体" w:cs="Times New Roman"/>
          <w:b w:val="0"/>
          <w:bCs w:val="0"/>
          <w:sz w:val="32"/>
          <w:szCs w:val="32"/>
          <w:lang w:val="en-US"/>
        </w:rPr>
      </w:pPr>
      <w:bookmarkStart w:id="235" w:name="8.3资金筹措_"/>
      <w:bookmarkEnd w:id="235"/>
      <w:bookmarkStart w:id="236" w:name="_bookmark39"/>
      <w:bookmarkEnd w:id="236"/>
      <w:bookmarkStart w:id="237" w:name="_Toc5968"/>
      <w:bookmarkStart w:id="238" w:name="_Toc5452"/>
      <w:bookmarkStart w:id="239" w:name="_Toc11339"/>
      <w:r>
        <w:rPr>
          <w:rFonts w:hint="default" w:ascii="Times New Roman" w:hAnsi="Times New Roman" w:eastAsia="黑体" w:cs="Times New Roman"/>
          <w:b w:val="0"/>
          <w:bCs w:val="0"/>
          <w:sz w:val="32"/>
          <w:szCs w:val="32"/>
          <w:lang w:val="en-US" w:eastAsia="zh-CN"/>
        </w:rPr>
        <w:t>6.3</w:t>
      </w:r>
      <w:r>
        <w:rPr>
          <w:rFonts w:hint="default" w:ascii="Times New Roman" w:hAnsi="Times New Roman" w:eastAsia="黑体" w:cs="Times New Roman"/>
          <w:b w:val="0"/>
          <w:bCs w:val="0"/>
          <w:sz w:val="32"/>
          <w:szCs w:val="32"/>
          <w:lang w:val="en-US"/>
        </w:rPr>
        <w:t>资金筹措</w:t>
      </w:r>
      <w:bookmarkEnd w:id="237"/>
      <w:bookmarkEnd w:id="238"/>
      <w:bookmarkEnd w:id="239"/>
    </w:p>
    <w:p w14:paraId="42DA93D3">
      <w:pPr>
        <w:keepNext w:val="0"/>
        <w:keepLines w:val="0"/>
        <w:pageBreakBefore w:val="0"/>
        <w:widowControl w:val="0"/>
        <w:kinsoku/>
        <w:wordWrap/>
        <w:overflowPunct/>
        <w:topLinePunct w:val="0"/>
        <w:autoSpaceDE w:val="0"/>
        <w:autoSpaceDN w:val="0"/>
        <w:bidi w:val="0"/>
        <w:adjustRightInd/>
        <w:snapToGrid/>
        <w:spacing w:line="576" w:lineRule="atLeas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农村生活污水治理工程需要政府参与，并起到投资的引导和撬动作用，采取直接投资、投资补助、资本金注入、财政贴息、以奖代补、先建后补、无偿提供建筑材料等多种方式支持农村基础设施建设。鼓励地方政府和社会资本设立农村基础设施建设投资基金。建立规范的地方政府举债融资机制，推动地方融资平台转型改制和市场化融资，重点推进农村污水治理建设。</w:t>
      </w:r>
    </w:p>
    <w:p w14:paraId="006B5525">
      <w:pPr>
        <w:keepNext w:val="0"/>
        <w:keepLines w:val="0"/>
        <w:pageBreakBefore w:val="0"/>
        <w:widowControl w:val="0"/>
        <w:kinsoku/>
        <w:wordWrap/>
        <w:overflowPunct/>
        <w:topLinePunct w:val="0"/>
        <w:autoSpaceDE w:val="0"/>
        <w:autoSpaceDN w:val="0"/>
        <w:bidi w:val="0"/>
        <w:adjustRightInd/>
        <w:snapToGrid/>
        <w:spacing w:line="576" w:lineRule="atLeas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农村生活污水处理设施建设和运营属于特殊专业领域，区、镇缺乏充足财力、人力和技术资源，须遵循“市场的交给市场、专业的交给专业”的原则。积极拓宽融资渠道，采取多元投资、多方参与等方式筹措建设资金。例如，以区为单位，采取PPP等模式，通过招商洽谈，委托专业环保公司负区域内乡镇污水处理设施建设，以政府购买服务、征收污水处理费等方式给予环保公司和投资人回报。各级财政应加大对乡镇污水处理设施建设的扶持力度，设立农村污水处理专项资金，建设及运维资金纳入年度财政预算，并积极申请省、市相关经费补助，同时鼓励引导和支持企业、社会团体、个人等社会力量，通过投资、捐助、认建等形式，参与农村生活污水治理设施建设与改造。</w:t>
      </w:r>
    </w:p>
    <w:p w14:paraId="12059B19">
      <w:pPr>
        <w:keepNext w:val="0"/>
        <w:keepLines w:val="0"/>
        <w:pageBreakBefore w:val="0"/>
        <w:widowControl w:val="0"/>
        <w:kinsoku/>
        <w:wordWrap/>
        <w:overflowPunct/>
        <w:topLinePunct w:val="0"/>
        <w:autoSpaceDE w:val="0"/>
        <w:autoSpaceDN w:val="0"/>
        <w:bidi w:val="0"/>
        <w:adjustRightInd/>
        <w:snapToGrid/>
        <w:spacing w:line="576" w:lineRule="atLeast"/>
        <w:ind w:firstLine="640" w:firstLineChars="200"/>
        <w:jc w:val="both"/>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sz w:val="32"/>
          <w:szCs w:val="32"/>
          <w:lang w:val="en-US" w:eastAsia="zh-CN"/>
        </w:rPr>
        <w:t>农村生活污水治理资金按实际投入额由区级财政承担，其中乡镇承担部分可视村级经济情况由镇、村两级共同承担。对于新建的新农村集中居住片区，生活污水的收集处理工程应纳入规划工程建设许可内，由乡镇监督，行政村负责实施。新建区域对污水垃圾集中处理、无害化卫生公厕等农村卫生公共服务设施的建设管护主要由政府出资；对户用厕所改造、户用小型污水处理等设施建设，由农户适当出资，政府给予奖补。有经营性的场所生活污水应当要求经营主出资对生活污水进行收集处理。</w:t>
      </w:r>
    </w:p>
    <w:p w14:paraId="573FB1A0">
      <w:pPr>
        <w:ind w:firstLine="560" w:firstLineChars="200"/>
        <w:rPr>
          <w:rFonts w:hint="default" w:ascii="Times New Roman" w:hAnsi="Times New Roman" w:eastAsia="仿宋_GB2312" w:cs="Times New Roman"/>
          <w:lang w:val="en-US" w:eastAsia="zh-CN"/>
        </w:rPr>
        <w:sectPr>
          <w:footerReference r:id="rId11" w:type="default"/>
          <w:footerReference r:id="rId12" w:type="even"/>
          <w:pgSz w:w="11905" w:h="16838"/>
          <w:pgMar w:top="2098" w:right="1474" w:bottom="1984" w:left="1587" w:header="1020" w:footer="1417" w:gutter="0"/>
          <w:pgNumType w:fmt="decimal"/>
          <w:cols w:space="0" w:num="1"/>
          <w:rtlGutter w:val="0"/>
          <w:docGrid w:linePitch="0" w:charSpace="0"/>
        </w:sectPr>
      </w:pPr>
    </w:p>
    <w:p w14:paraId="2F4E86F3">
      <w:pPr>
        <w:pStyle w:val="3"/>
        <w:numPr>
          <w:ilvl w:val="0"/>
          <w:numId w:val="0"/>
        </w:numPr>
        <w:jc w:val="center"/>
        <w:rPr>
          <w:rFonts w:hint="default" w:ascii="Times New Roman" w:hAnsi="Times New Roman" w:eastAsia="方正小标宋简体" w:cs="Times New Roman"/>
          <w:b w:val="0"/>
          <w:bCs w:val="0"/>
          <w:sz w:val="40"/>
          <w:szCs w:val="40"/>
        </w:rPr>
      </w:pPr>
      <w:bookmarkStart w:id="240" w:name="第九章_效益分析"/>
      <w:bookmarkEnd w:id="240"/>
      <w:bookmarkStart w:id="241" w:name="_Toc10363"/>
      <w:bookmarkStart w:id="242" w:name="_Toc21873"/>
      <w:bookmarkStart w:id="243" w:name="_Toc22089"/>
      <w:bookmarkStart w:id="244" w:name="_Toc5849"/>
      <w:r>
        <w:rPr>
          <w:rFonts w:hint="eastAsia" w:ascii="Times New Roman" w:hAnsi="Times New Roman" w:eastAsia="方正小标宋简体" w:cs="Times New Roman"/>
          <w:b w:val="0"/>
          <w:bCs w:val="0"/>
          <w:sz w:val="40"/>
          <w:szCs w:val="40"/>
          <w:lang w:eastAsia="zh-CN"/>
        </w:rPr>
        <w:t>第七章</w:t>
      </w:r>
      <w:r>
        <w:rPr>
          <w:rFonts w:hint="eastAsia" w:ascii="Times New Roman" w:hAnsi="Times New Roman" w:eastAsia="方正小标宋简体" w:cs="Times New Roman"/>
          <w:b w:val="0"/>
          <w:bCs w:val="0"/>
          <w:sz w:val="40"/>
          <w:szCs w:val="40"/>
          <w:lang w:val="en-US" w:eastAsia="zh-CN"/>
        </w:rPr>
        <w:t xml:space="preserve">   </w:t>
      </w:r>
      <w:r>
        <w:rPr>
          <w:rFonts w:hint="default" w:ascii="Times New Roman" w:hAnsi="Times New Roman" w:eastAsia="方正小标宋简体" w:cs="Times New Roman"/>
          <w:b w:val="0"/>
          <w:bCs w:val="0"/>
          <w:sz w:val="40"/>
          <w:szCs w:val="40"/>
        </w:rPr>
        <w:t>效益分析</w:t>
      </w:r>
      <w:bookmarkEnd w:id="241"/>
      <w:bookmarkEnd w:id="242"/>
      <w:bookmarkEnd w:id="243"/>
      <w:bookmarkEnd w:id="244"/>
    </w:p>
    <w:p w14:paraId="3E785819">
      <w:pPr>
        <w:keepNext w:val="0"/>
        <w:keepLines w:val="0"/>
        <w:pageBreakBefore w:val="0"/>
        <w:widowControl w:val="0"/>
        <w:kinsoku/>
        <w:wordWrap/>
        <w:overflowPunct/>
        <w:topLinePunct w:val="0"/>
        <w:autoSpaceDE w:val="0"/>
        <w:autoSpaceDN w:val="0"/>
        <w:bidi w:val="0"/>
        <w:adjustRightInd/>
        <w:snapToGrid/>
        <w:spacing w:line="576" w:lineRule="exact"/>
        <w:ind w:left="0"/>
        <w:textAlignment w:val="auto"/>
        <w:rPr>
          <w:rFonts w:hint="default" w:ascii="Times New Roman" w:hAnsi="Times New Roman" w:cs="Times New Roman"/>
          <w:sz w:val="32"/>
          <w:szCs w:val="32"/>
        </w:rPr>
      </w:pPr>
    </w:p>
    <w:p w14:paraId="13D39031">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45" w:name="_bookmark43"/>
      <w:bookmarkEnd w:id="245"/>
      <w:bookmarkStart w:id="246" w:name="9.1社会效益"/>
      <w:bookmarkEnd w:id="246"/>
      <w:bookmarkStart w:id="247" w:name="_Toc16455"/>
      <w:bookmarkStart w:id="248" w:name="_Toc25468"/>
      <w:bookmarkStart w:id="249" w:name="_Toc16036"/>
      <w:bookmarkStart w:id="250" w:name="_Toc10451"/>
      <w:r>
        <w:rPr>
          <w:rFonts w:hint="default" w:ascii="Times New Roman" w:hAnsi="Times New Roman" w:eastAsia="黑体" w:cs="Times New Roman"/>
          <w:b w:val="0"/>
          <w:bCs w:val="0"/>
          <w:sz w:val="32"/>
          <w:szCs w:val="32"/>
          <w:lang w:val="en-US" w:eastAsia="zh-CN"/>
        </w:rPr>
        <w:t>7.1社会效益</w:t>
      </w:r>
      <w:bookmarkEnd w:id="247"/>
      <w:bookmarkEnd w:id="248"/>
      <w:bookmarkEnd w:id="249"/>
      <w:bookmarkEnd w:id="250"/>
    </w:p>
    <w:p w14:paraId="13C02EED">
      <w:pPr>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农村环境综合整治是一项综合系统工程，搞好环境整治，改善农民的人居环境，改变农村村容村貌，具有明显的社会效益。本次整治项目，</w:t>
      </w:r>
      <w:r>
        <w:rPr>
          <w:rFonts w:hint="default" w:ascii="Times New Roman" w:hAnsi="Times New Roman" w:eastAsia="仿宋_GB2312" w:cs="Times New Roman"/>
          <w:sz w:val="32"/>
          <w:szCs w:val="32"/>
          <w:lang w:val="en-US"/>
        </w:rPr>
        <w:t>安居区</w:t>
      </w:r>
      <w:r>
        <w:rPr>
          <w:rFonts w:hint="default" w:ascii="Times New Roman" w:hAnsi="Times New Roman" w:eastAsia="仿宋_GB2312" w:cs="Times New Roman"/>
          <w:sz w:val="32"/>
          <w:szCs w:val="32"/>
        </w:rPr>
        <w:t>受益区域涵盖</w:t>
      </w:r>
      <w:r>
        <w:rPr>
          <w:rFonts w:hint="default" w:ascii="Times New Roman" w:hAnsi="Times New Roman" w:eastAsia="仿宋_GB2312" w:cs="Times New Roman"/>
          <w:sz w:val="32"/>
          <w:szCs w:val="32"/>
          <w:lang w:val="en-US" w:eastAsia="zh-CN"/>
        </w:rPr>
        <w:t>16</w:t>
      </w:r>
      <w:r>
        <w:rPr>
          <w:rFonts w:hint="default" w:ascii="Times New Roman" w:hAnsi="Times New Roman" w:eastAsia="仿宋_GB2312" w:cs="Times New Roman"/>
          <w:sz w:val="32"/>
          <w:szCs w:val="32"/>
        </w:rPr>
        <w:t>个乡镇，</w:t>
      </w:r>
      <w:r>
        <w:rPr>
          <w:rFonts w:hint="default" w:ascii="Times New Roman" w:hAnsi="Times New Roman" w:eastAsia="仿宋_GB2312" w:cs="Times New Roman"/>
          <w:sz w:val="32"/>
          <w:szCs w:val="32"/>
          <w:lang w:val="en-US" w:eastAsia="zh-CN"/>
        </w:rPr>
        <w:t>274</w:t>
      </w:r>
      <w:r>
        <w:rPr>
          <w:rFonts w:hint="default" w:ascii="Times New Roman" w:hAnsi="Times New Roman" w:eastAsia="仿宋_GB2312" w:cs="Times New Roman"/>
          <w:sz w:val="32"/>
          <w:szCs w:val="32"/>
        </w:rPr>
        <w:t>个</w:t>
      </w:r>
      <w:r>
        <w:rPr>
          <w:rFonts w:hint="default" w:ascii="Times New Roman" w:hAnsi="Times New Roman" w:eastAsia="仿宋_GB2312" w:cs="Times New Roman"/>
          <w:sz w:val="32"/>
          <w:szCs w:val="32"/>
          <w:lang w:eastAsia="zh-CN"/>
        </w:rPr>
        <w:t>行政村</w:t>
      </w:r>
      <w:r>
        <w:rPr>
          <w:rFonts w:hint="default" w:ascii="Times New Roman" w:hAnsi="Times New Roman" w:eastAsia="仿宋_GB2312" w:cs="Times New Roman"/>
          <w:sz w:val="32"/>
          <w:szCs w:val="32"/>
        </w:rPr>
        <w:t>。</w:t>
      </w:r>
    </w:p>
    <w:p w14:paraId="3BCA2096">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51" w:name="_Toc5882"/>
      <w:bookmarkStart w:id="252" w:name="_Toc1849"/>
      <w:bookmarkStart w:id="253" w:name="_Toc9067"/>
      <w:bookmarkStart w:id="254" w:name="_Toc16997"/>
      <w:r>
        <w:rPr>
          <w:rFonts w:hint="default" w:ascii="Times New Roman" w:hAnsi="Times New Roman" w:eastAsia="黑体" w:cs="Times New Roman"/>
          <w:b w:val="0"/>
          <w:bCs w:val="0"/>
          <w:sz w:val="32"/>
          <w:szCs w:val="32"/>
          <w:lang w:val="en-US" w:eastAsia="zh-CN"/>
        </w:rPr>
        <w:t>7.2推动乡村振兴战略实施</w:t>
      </w:r>
      <w:bookmarkEnd w:id="251"/>
      <w:bookmarkEnd w:id="252"/>
      <w:bookmarkEnd w:id="253"/>
      <w:bookmarkEnd w:id="254"/>
    </w:p>
    <w:p w14:paraId="429CDA3D">
      <w:pPr>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农村环境综合整治基础上，实施乡村振兴战略，符合“产业兴旺、生态宜居、乡风文明、治理有效、生活富裕”的总体要求。通过环境综合整治，倡导文明村风和良好的生产生活方式，打造幸福美丽乡村，带动乡村旅游产业发展，促进农村物质文明、精神文明、政治文明和生态文明的协调发展。</w:t>
      </w:r>
    </w:p>
    <w:p w14:paraId="20A65457">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55" w:name="_Toc15938"/>
      <w:bookmarkStart w:id="256" w:name="_Toc17998"/>
      <w:bookmarkStart w:id="257" w:name="_Toc1078"/>
      <w:bookmarkStart w:id="258" w:name="_Toc12923"/>
      <w:r>
        <w:rPr>
          <w:rFonts w:hint="default" w:ascii="Times New Roman" w:hAnsi="Times New Roman" w:eastAsia="黑体" w:cs="Times New Roman"/>
          <w:b w:val="0"/>
          <w:bCs w:val="0"/>
          <w:sz w:val="32"/>
          <w:szCs w:val="32"/>
          <w:lang w:val="en-US" w:eastAsia="zh-CN"/>
        </w:rPr>
        <w:t>7.3提高人民群众的农村环境保护意识</w:t>
      </w:r>
      <w:bookmarkEnd w:id="255"/>
      <w:bookmarkEnd w:id="256"/>
      <w:bookmarkEnd w:id="257"/>
      <w:bookmarkEnd w:id="258"/>
    </w:p>
    <w:p w14:paraId="2B5381A2">
      <w:pPr>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农村环境综合整治是一次深刻的、生动的农村环境保护宣传过程，通过具体的环境保护行动，使人们能够深刻认识农村环境保护的重要性，使人们懂得环境污染的严重后果，包括经济损失、健康损失、资源流失等，这一行动较单纯宣传更为有效并易于被人们所接受，此外工程实施后还将伴随着大量宣教工作，包括农村环境综合整治的重要性，一旦人们认识理解了农村环境保护的深刻含义，农村环境保护将产生质的飞跃，保护环境、节约资源将成为居民的自觉行为。</w:t>
      </w:r>
    </w:p>
    <w:p w14:paraId="650C0FBE">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59" w:name="_Toc13534"/>
      <w:bookmarkStart w:id="260" w:name="_Toc18509"/>
      <w:bookmarkStart w:id="261" w:name="_Toc14384"/>
      <w:bookmarkStart w:id="262" w:name="_Toc29414"/>
      <w:r>
        <w:rPr>
          <w:rFonts w:hint="default" w:ascii="Times New Roman" w:hAnsi="Times New Roman" w:eastAsia="黑体" w:cs="Times New Roman"/>
          <w:b w:val="0"/>
          <w:bCs w:val="0"/>
          <w:sz w:val="32"/>
          <w:szCs w:val="32"/>
          <w:lang w:val="en-US" w:eastAsia="zh-CN"/>
        </w:rPr>
        <w:t>7.4改善公共健康水平</w:t>
      </w:r>
      <w:bookmarkEnd w:id="259"/>
      <w:bookmarkEnd w:id="260"/>
      <w:bookmarkEnd w:id="261"/>
      <w:bookmarkEnd w:id="262"/>
    </w:p>
    <w:p w14:paraId="6A8694E7">
      <w:pPr>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通过自然环境改善和农村生活污水、生活垃圾收集处理系统等基础设施完善，一方面美化了环境净化了水体，另一方面消除了蚊蝇等疾病传播媒质的滋生环境，农村居民的生存环境得到保护和改善，减少了疾病发病率，对公共健康是极其有益的。</w:t>
      </w:r>
    </w:p>
    <w:p w14:paraId="6DD6D3B4">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63" w:name="_Toc3141"/>
      <w:bookmarkStart w:id="264" w:name="_Toc31276"/>
      <w:bookmarkStart w:id="265" w:name="_Toc13974"/>
      <w:bookmarkStart w:id="266" w:name="_Toc1426"/>
      <w:r>
        <w:rPr>
          <w:rFonts w:hint="default" w:ascii="Times New Roman" w:hAnsi="Times New Roman" w:eastAsia="黑体" w:cs="Times New Roman"/>
          <w:b w:val="0"/>
          <w:bCs w:val="0"/>
          <w:sz w:val="32"/>
          <w:szCs w:val="32"/>
          <w:lang w:val="en-US" w:eastAsia="zh-CN"/>
        </w:rPr>
        <w:t>7.5助力脱贫攻坚，实现全面小康</w:t>
      </w:r>
      <w:bookmarkEnd w:id="263"/>
      <w:bookmarkEnd w:id="264"/>
      <w:bookmarkEnd w:id="265"/>
      <w:bookmarkEnd w:id="266"/>
    </w:p>
    <w:p w14:paraId="6E8C8BBA">
      <w:pPr>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农村环境综合整治在加快新农村建设，构建和谐社会中有着举足轻重的作用。开展农村环境综合整治，是打造发展软环境、加速建设新平陆的战略需要，是推进农村旅游发展、加快经济转型的现实需求，是打赢脱贫攻坚战的必要要件。以建设“美丽乡村”作为生态脱贫总抓手，围绕城乡环境整治、生态创建等工作，开展农村环境综合整治项目，将改善农村生产生活环境，促进贫困群众增收脱贫，实现生态保护与脱贫攻坚互融互促，为实现全面小康、争创全国生态文明示范县打下了坚实基础。</w:t>
      </w:r>
    </w:p>
    <w:p w14:paraId="0BF8C6D3">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67" w:name="_bookmark44"/>
      <w:bookmarkEnd w:id="267"/>
      <w:bookmarkStart w:id="268" w:name="9.2经济效益"/>
      <w:bookmarkEnd w:id="268"/>
      <w:bookmarkStart w:id="269" w:name="_Toc27558"/>
      <w:bookmarkStart w:id="270" w:name="_Toc31723"/>
      <w:bookmarkStart w:id="271" w:name="_Toc1220"/>
      <w:bookmarkStart w:id="272" w:name="_Toc5815"/>
      <w:r>
        <w:rPr>
          <w:rFonts w:hint="default" w:ascii="Times New Roman" w:hAnsi="Times New Roman" w:eastAsia="黑体" w:cs="Times New Roman"/>
          <w:b w:val="0"/>
          <w:bCs w:val="0"/>
          <w:sz w:val="32"/>
          <w:szCs w:val="32"/>
          <w:lang w:val="en-US" w:eastAsia="zh-CN"/>
        </w:rPr>
        <w:t>7.6经济效益</w:t>
      </w:r>
      <w:bookmarkEnd w:id="269"/>
      <w:bookmarkEnd w:id="270"/>
      <w:bookmarkEnd w:id="271"/>
      <w:bookmarkEnd w:id="272"/>
    </w:p>
    <w:p w14:paraId="6E15B3C6">
      <w:pPr>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通过安居区农村污水治理项目的实施，将带动地方建设投入，对扩大内需发挥积极作用，对环境基础设施及原材料的需求将拉动当地企业生产。同时，以农村环境污水治理为契机，因地制宜，以发展生态高效农业为主要手段，努力促进农户增收。通过工程项目建设等途径提供环保公益性岗位等非农业领域创新创业平台，为农民增收开拓新门路，切实改善农村生产生活环境，提高农民生活质量。并且通过项目的实施，可以达到保护环境及区域可持续发展的目的，项目的经济效益是难以估量的，该项目的建设于国于民都是十分有利的，是势在必行的，由此可见，本项目具有较大的经济效益。</w:t>
      </w:r>
    </w:p>
    <w:p w14:paraId="474FB49B">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73" w:name="_bookmark45"/>
      <w:bookmarkEnd w:id="273"/>
      <w:bookmarkStart w:id="274" w:name="9.3环境效益"/>
      <w:bookmarkEnd w:id="274"/>
      <w:bookmarkStart w:id="275" w:name="_Toc4095"/>
      <w:bookmarkStart w:id="276" w:name="_Toc17575"/>
      <w:bookmarkStart w:id="277" w:name="_Toc15173"/>
      <w:bookmarkStart w:id="278" w:name="_Toc26836"/>
      <w:r>
        <w:rPr>
          <w:rFonts w:hint="default" w:ascii="Times New Roman" w:hAnsi="Times New Roman" w:eastAsia="黑体" w:cs="Times New Roman"/>
          <w:b w:val="0"/>
          <w:bCs w:val="0"/>
          <w:sz w:val="32"/>
          <w:szCs w:val="32"/>
          <w:lang w:val="en-US" w:eastAsia="zh-CN"/>
        </w:rPr>
        <w:t>7.7环境效益</w:t>
      </w:r>
      <w:bookmarkEnd w:id="275"/>
      <w:bookmarkEnd w:id="276"/>
      <w:bookmarkEnd w:id="277"/>
      <w:bookmarkEnd w:id="278"/>
    </w:p>
    <w:p w14:paraId="376E974C">
      <w:pPr>
        <w:pStyle w:val="41"/>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lang w:val="en-US" w:eastAsia="zh-CN" w:bidi="zh-CN"/>
        </w:rPr>
      </w:pPr>
      <w:bookmarkStart w:id="279" w:name="第十章_工程招标与投标_"/>
      <w:bookmarkEnd w:id="279"/>
      <w:bookmarkStart w:id="280" w:name="_Toc1526"/>
      <w:bookmarkStart w:id="281" w:name="_Toc5455"/>
      <w:bookmarkStart w:id="282" w:name="_Toc7268"/>
      <w:r>
        <w:rPr>
          <w:rFonts w:hint="default" w:ascii="Times New Roman" w:hAnsi="Times New Roman" w:eastAsia="仿宋_GB2312" w:cs="Times New Roman"/>
          <w:sz w:val="32"/>
          <w:szCs w:val="32"/>
          <w:lang w:val="en-US" w:eastAsia="zh-CN" w:bidi="zh-CN"/>
        </w:rPr>
        <w:t>农村生活污水处理的最直接效果就是环境条件的改善，改变目前污水未经过处理排放的现象，使水质得到改善。特别是当采用人工湿地处理技术时，通过居民区生态环境的综合治理，可提高居民的生活环境质量。</w:t>
      </w:r>
    </w:p>
    <w:p w14:paraId="28810668">
      <w:pPr>
        <w:pStyle w:val="3"/>
        <w:keepNext w:val="0"/>
        <w:keepLines w:val="0"/>
        <w:pageBreakBefore w:val="0"/>
        <w:widowControl w:val="0"/>
        <w:kinsoku/>
        <w:wordWrap/>
        <w:overflowPunct/>
        <w:topLinePunct w:val="0"/>
        <w:autoSpaceDE w:val="0"/>
        <w:autoSpaceDN w:val="0"/>
        <w:bidi w:val="0"/>
        <w:adjustRightInd/>
        <w:snapToGrid/>
        <w:spacing w:before="0" w:line="576" w:lineRule="exact"/>
        <w:ind w:left="0"/>
        <w:textAlignment w:val="auto"/>
        <w:rPr>
          <w:rFonts w:hint="default" w:ascii="Times New Roman" w:hAnsi="Times New Roman" w:eastAsia="仿宋_GB2312" w:cs="Times New Roman"/>
          <w:sz w:val="32"/>
          <w:szCs w:val="32"/>
        </w:rPr>
        <w:sectPr>
          <w:footerReference r:id="rId13" w:type="default"/>
          <w:footerReference r:id="rId14" w:type="even"/>
          <w:pgSz w:w="11905" w:h="16838"/>
          <w:pgMar w:top="2098" w:right="1474" w:bottom="1984" w:left="1587" w:header="1020" w:footer="1417" w:gutter="0"/>
          <w:pgNumType w:fmt="decimal"/>
          <w:cols w:space="0" w:num="1"/>
          <w:rtlGutter w:val="0"/>
          <w:docGrid w:linePitch="0" w:charSpace="0"/>
        </w:sectPr>
      </w:pPr>
    </w:p>
    <w:p w14:paraId="3CAB60FD">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line="576" w:lineRule="exact"/>
        <w:ind w:leftChars="0"/>
        <w:jc w:val="center"/>
        <w:textAlignment w:val="auto"/>
        <w:rPr>
          <w:rFonts w:hint="default" w:ascii="Times New Roman" w:hAnsi="Times New Roman" w:eastAsia="方正小标宋简体" w:cs="Times New Roman"/>
          <w:b w:val="0"/>
          <w:bCs w:val="0"/>
          <w:sz w:val="44"/>
          <w:szCs w:val="44"/>
          <w:lang w:val="en-US"/>
        </w:rPr>
      </w:pPr>
      <w:bookmarkStart w:id="283" w:name="_Toc26988"/>
      <w:bookmarkStart w:id="284" w:name="_Toc6323"/>
      <w:bookmarkStart w:id="285" w:name="_Toc22505"/>
      <w:r>
        <w:rPr>
          <w:rFonts w:hint="eastAsia" w:ascii="Times New Roman" w:hAnsi="Times New Roman" w:eastAsia="方正小标宋简体" w:cs="Times New Roman"/>
          <w:b w:val="0"/>
          <w:bCs w:val="0"/>
          <w:sz w:val="44"/>
          <w:szCs w:val="44"/>
          <w:lang w:val="en-US" w:eastAsia="zh-CN"/>
        </w:rPr>
        <w:t xml:space="preserve">第八章   </w:t>
      </w:r>
      <w:r>
        <w:rPr>
          <w:rFonts w:hint="default" w:ascii="Times New Roman" w:hAnsi="Times New Roman" w:eastAsia="方正小标宋简体" w:cs="Times New Roman"/>
          <w:b w:val="0"/>
          <w:bCs w:val="0"/>
          <w:sz w:val="44"/>
          <w:szCs w:val="44"/>
          <w:lang w:val="en-US"/>
        </w:rPr>
        <w:t>保障措施</w:t>
      </w:r>
      <w:bookmarkEnd w:id="283"/>
      <w:bookmarkEnd w:id="284"/>
      <w:bookmarkEnd w:id="285"/>
    </w:p>
    <w:p w14:paraId="50F2633F">
      <w:pPr>
        <w:pStyle w:val="41"/>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lang w:val="en-US" w:eastAsia="zh-CN" w:bidi="zh-CN"/>
        </w:rPr>
      </w:pPr>
    </w:p>
    <w:p w14:paraId="0A8A4235">
      <w:pPr>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农村生活污水治理工程是一项涉及面广、工作量大的系统工程，也是一项社会效益和生态效益十分显著的民生工程，需要政府的积极引导、大力推动，更需要农民的积极参与和自觉行动。各地、各部门务必要统一思想，提高认识，加大工作力度，确保农村污水治理工作的有效，顺利的进行。</w:t>
      </w:r>
    </w:p>
    <w:p w14:paraId="3E2244FD">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86" w:name="_Toc30930"/>
      <w:bookmarkStart w:id="287" w:name="_Toc7460"/>
      <w:bookmarkStart w:id="288" w:name="_Toc16682"/>
      <w:r>
        <w:rPr>
          <w:rFonts w:hint="default" w:ascii="Times New Roman" w:hAnsi="Times New Roman" w:eastAsia="黑体" w:cs="Times New Roman"/>
          <w:b w:val="0"/>
          <w:bCs w:val="0"/>
          <w:sz w:val="32"/>
          <w:szCs w:val="32"/>
          <w:lang w:val="en-US" w:eastAsia="zh-CN"/>
        </w:rPr>
        <w:t>8.1组织保障</w:t>
      </w:r>
      <w:bookmarkEnd w:id="286"/>
      <w:bookmarkEnd w:id="287"/>
      <w:bookmarkEnd w:id="288"/>
    </w:p>
    <w:p w14:paraId="2F7F0019">
      <w:pPr>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为了更好的保障安居区农村生活污水治理设施的建设、提升改造和运维工作的顺利开展，应该在加强治理工作的组织领导力度。首先应该建立健全农村生活污水治理组织领导机构，明确主管部门、分管领导、具体责任部门和专职人员。领导组织机构要根据农村生活污水治理工作的各个侧重点划分人员职能，做到分工明确、责任清晰。建立好区对乡镇，乡镇对村的两级督查考核机制，推动和保障农村生活污水治理设施的建设、改造和运维工作的有效落实。建议成立以村为单位的农村生活污水治理工作领导小组，协调各级部门参与相关工作，通过宣传、科普教育、社区活动等多种方式，加大农村生活污水治理的意义、技术及管理等方面的宣传培训，增强农村居民对污水治理的认知，促进公众对该项工作的支持和监督。</w:t>
      </w:r>
    </w:p>
    <w:p w14:paraId="25614C8D">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89" w:name="_Toc10749"/>
      <w:bookmarkStart w:id="290" w:name="_Toc11140"/>
      <w:bookmarkStart w:id="291" w:name="_Toc18681"/>
      <w:r>
        <w:rPr>
          <w:rFonts w:hint="default" w:ascii="Times New Roman" w:hAnsi="Times New Roman" w:eastAsia="黑体" w:cs="Times New Roman"/>
          <w:b w:val="0"/>
          <w:bCs w:val="0"/>
          <w:sz w:val="32"/>
          <w:szCs w:val="32"/>
          <w:lang w:val="en-US" w:eastAsia="zh-CN"/>
        </w:rPr>
        <w:t>8.2技术保障</w:t>
      </w:r>
      <w:bookmarkEnd w:id="289"/>
      <w:bookmarkEnd w:id="290"/>
      <w:bookmarkEnd w:id="291"/>
    </w:p>
    <w:p w14:paraId="5C9EE575">
      <w:pPr>
        <w:pStyle w:val="41"/>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农村生活污水治理设施的建设，必须要有过硬且专业的技术力量保障。可邀请农村污水治理专家、环保工程师</w:t>
      </w:r>
      <w:r>
        <w:rPr>
          <w:rFonts w:hint="eastAsia" w:ascii="Times New Roman" w:hAnsi="Times New Roman" w:eastAsia="仿宋_GB2312" w:cs="Times New Roman"/>
          <w:sz w:val="32"/>
          <w:szCs w:val="32"/>
          <w:lang w:val="en-US" w:eastAsia="zh-CN" w:bidi="zh-CN"/>
        </w:rPr>
        <w:t>以及</w:t>
      </w:r>
      <w:r>
        <w:rPr>
          <w:rFonts w:hint="default" w:ascii="Times New Roman" w:hAnsi="Times New Roman" w:eastAsia="仿宋_GB2312" w:cs="Times New Roman"/>
          <w:sz w:val="32"/>
          <w:szCs w:val="32"/>
          <w:lang w:val="en-US" w:eastAsia="zh-CN" w:bidi="zh-CN"/>
        </w:rPr>
        <w:t>高校教授等组成专家团队，分专业开展定向服务，为基层治水提供最有利的技术支持。在污水治理设施实施前的所有建设和提升方案、设计图纸等技术文件，均应通过专家组的评审把关，审核通过后的方案应邀请技术力量强的公司和技术团队参与实施，有条件的地方可采取“规划、设计、施工、技术指导、运维服务”一条龙的服务模式，确保技术服务的连贯性，并加强与国内外名院校和科研机构间的合作，引进并采用新型的低能耗、低投资、低成本和高效率的分散型污水资源化治理技术，并提高污水治理深度，促进尾水资源化利用。</w:t>
      </w:r>
    </w:p>
    <w:p w14:paraId="7FC20E5E">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92" w:name="_Toc29195"/>
      <w:bookmarkStart w:id="293" w:name="_Toc32028"/>
      <w:bookmarkStart w:id="294" w:name="_Toc16940"/>
      <w:r>
        <w:rPr>
          <w:rFonts w:hint="default" w:ascii="Times New Roman" w:hAnsi="Times New Roman" w:eastAsia="黑体" w:cs="Times New Roman"/>
          <w:b w:val="0"/>
          <w:bCs w:val="0"/>
          <w:sz w:val="32"/>
          <w:szCs w:val="32"/>
          <w:lang w:val="en-US" w:eastAsia="zh-CN"/>
        </w:rPr>
        <w:t>8.3资金保障</w:t>
      </w:r>
      <w:bookmarkEnd w:id="292"/>
      <w:bookmarkEnd w:id="293"/>
      <w:bookmarkEnd w:id="294"/>
    </w:p>
    <w:p w14:paraId="09AD9449">
      <w:pPr>
        <w:pStyle w:val="41"/>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安居区政府应根据农村生活污水治理计划，提出资金筹措和保障措施，落实政府扶持、社会参与、群众集体出资的资金筹措机制，保障农村生活污水治理设施的建设和运维。拓宽资金筹措渠道，有条件的地区可适量收取生活污水治理相关费用；引导和支持企业、社会团体、个人等社会力量，通过投资、捐助、认建等形式，参与农村生活污水处理设施运行维护管理；创新融资方式，鼓励采取政府与社会资本合作（PPP）模式，综合运用股权融资、债权融资、推行农村生活污水治理的优惠政策（如税收优惠等）等多种方式，鼓励和引导各种社会力量和资金投入农村生活污水治理和运营。项目资金由区财政局、住建局及乡镇财政等部门合力监管，专款专用，实行专账核算制度。</w:t>
      </w:r>
    </w:p>
    <w:p w14:paraId="299B47AB">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95" w:name="_Toc11494"/>
      <w:bookmarkStart w:id="296" w:name="_Toc15783"/>
      <w:bookmarkStart w:id="297" w:name="_Toc22206"/>
      <w:r>
        <w:rPr>
          <w:rFonts w:hint="default" w:ascii="Times New Roman" w:hAnsi="Times New Roman" w:eastAsia="黑体" w:cs="Times New Roman"/>
          <w:b w:val="0"/>
          <w:bCs w:val="0"/>
          <w:sz w:val="32"/>
          <w:szCs w:val="32"/>
          <w:lang w:val="en-US" w:eastAsia="zh-CN"/>
        </w:rPr>
        <w:t>8.4管理保障</w:t>
      </w:r>
      <w:bookmarkEnd w:id="295"/>
      <w:bookmarkEnd w:id="296"/>
      <w:bookmarkEnd w:id="297"/>
    </w:p>
    <w:p w14:paraId="4D5DB7CE">
      <w:pPr>
        <w:pStyle w:val="41"/>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在管理系统上，完善“五位一体”的县域农村生活污水治理设施运维管理体系，加强项目所在镇、村参与日常监管。根据安居区农村生活污水处理设施规模和所处环境，以处理水量计量、排水水质监测、污泥规范处置、污水收集系统和终端处理系统的“防渗漏、防堵塞、防破损、防故障”为主要任务，建立数据监测、巡查维修、设备更换等制度，实现农村生活污水处理设施长期稳定运行。将农村污水治理达标率纳入城乡发展一体化、全面建设小康社会的指标考核体系中，作为地方政府年度责任目标考核的重要内容。</w:t>
      </w:r>
    </w:p>
    <w:p w14:paraId="131D006A">
      <w:pPr>
        <w:pStyle w:val="41"/>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sz w:val="32"/>
          <w:szCs w:val="32"/>
          <w:lang w:val="en-US" w:eastAsia="zh-CN" w:bidi="zh-CN"/>
        </w:rPr>
      </w:pPr>
      <w:r>
        <w:rPr>
          <w:rFonts w:hint="default" w:ascii="Times New Roman" w:hAnsi="Times New Roman" w:eastAsia="仿宋_GB2312" w:cs="Times New Roman"/>
          <w:sz w:val="32"/>
          <w:szCs w:val="32"/>
          <w:lang w:val="en-US" w:eastAsia="zh-CN" w:bidi="zh-CN"/>
        </w:rPr>
        <w:t>在治理设施的运维管理上，既要体现标准化、规范化，又要体现专业化、精细化，应加强信息技术支撑，提升运维管理水平。要加强全程质量监管，明确责任主体，因地制宜地确定运行维护管理体制、程序和实施细则，由政府主管部门牵头组织委托第三方专业公司运营，有关部门按照职责进行考核。积极推行农村生活污水处理设施基础信息库建设，运用在线监控、物联网、大数据技术建立智能管理云平台，实现对农村生活污水治理设施的远程集中管理、全天候实时管理、线上线下联动管理，提高运营管理效率，减少运营成本，实现农村污水治理信息化。</w:t>
      </w:r>
    </w:p>
    <w:p w14:paraId="5467B00B">
      <w:pPr>
        <w:pStyle w:val="12"/>
        <w:keepNext w:val="0"/>
        <w:keepLines w:val="0"/>
        <w:pageBreakBefore w:val="0"/>
        <w:widowControl w:val="0"/>
        <w:kinsoku/>
        <w:wordWrap/>
        <w:overflowPunct/>
        <w:topLinePunct w:val="0"/>
        <w:autoSpaceDE w:val="0"/>
        <w:autoSpaceDN w:val="0"/>
        <w:bidi w:val="0"/>
        <w:adjustRightInd/>
        <w:snapToGrid/>
        <w:spacing w:line="576" w:lineRule="exact"/>
        <w:ind w:left="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98" w:name="_Toc27087"/>
      <w:bookmarkStart w:id="299" w:name="_Toc25790"/>
      <w:bookmarkStart w:id="300" w:name="_Toc24756"/>
      <w:r>
        <w:rPr>
          <w:rFonts w:hint="default" w:ascii="Times New Roman" w:hAnsi="Times New Roman" w:eastAsia="黑体" w:cs="Times New Roman"/>
          <w:b w:val="0"/>
          <w:bCs w:val="0"/>
          <w:sz w:val="32"/>
          <w:szCs w:val="32"/>
          <w:lang w:val="en-US" w:eastAsia="zh-CN"/>
        </w:rPr>
        <w:t>8.5建设质量保障</w:t>
      </w:r>
      <w:bookmarkEnd w:id="298"/>
      <w:bookmarkEnd w:id="299"/>
      <w:bookmarkEnd w:id="300"/>
    </w:p>
    <w:p w14:paraId="7C897CAE">
      <w:pPr>
        <w:pStyle w:val="41"/>
        <w:keepNext w:val="0"/>
        <w:keepLines w:val="0"/>
        <w:pageBreakBefore w:val="0"/>
        <w:widowControl w:val="0"/>
        <w:kinsoku/>
        <w:wordWrap/>
        <w:overflowPunct/>
        <w:topLinePunct w:val="0"/>
        <w:autoSpaceDE w:val="0"/>
        <w:autoSpaceDN w:val="0"/>
        <w:bidi w:val="0"/>
        <w:adjustRightInd/>
        <w:snapToGrid/>
        <w:spacing w:line="576" w:lineRule="exact"/>
        <w:ind w:left="0" w:firstLine="64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sz w:val="32"/>
          <w:szCs w:val="32"/>
          <w:lang w:val="en-US" w:eastAsia="zh-CN" w:bidi="zh-CN"/>
        </w:rPr>
        <w:t>建立适宜的项目质量保障制度以及质量管理体系。采用成熟的技术手段，提高管网、设施用材标准；明确实施主体，落实项目法人责任制，抓好建设项目工程质量；确保农村生活污水治理设施一次建设、长久使用、持续发挥效用。对原有污水处理不达标设施，适时改造更新，实现达标排放。抓好污水处理设施、污水收集系统建设的同时，主管部门要做好工程设计、施工、质检、监理等各个环节的监管工作。建设部门依据《建设工程质量管理条例》严格惩处不按规定、技术标准接管施工的单位，落实项目法人责任制，加强日常管理和考核，抓好项目建设质量。生活污水治理单位工程须经严格验收，不合格的工程停止验收、停止启用，并追究相关单位和相关责任人的质量责任，由此保障农村污水治理工程的质量。</w:t>
      </w:r>
      <w:bookmarkEnd w:id="280"/>
      <w:bookmarkEnd w:id="281"/>
      <w:bookmarkEnd w:id="282"/>
      <w:bookmarkStart w:id="301" w:name="表一：2020年投资概算表"/>
      <w:bookmarkEnd w:id="301"/>
      <w:bookmarkStart w:id="302" w:name="附图附表"/>
      <w:bookmarkEnd w:id="302"/>
    </w:p>
    <w:sectPr>
      <w:footerReference r:id="rId15" w:type="default"/>
      <w:footerReference r:id="rId16" w:type="even"/>
      <w:pgSz w:w="11905" w:h="16838"/>
      <w:pgMar w:top="2098" w:right="1474" w:bottom="1984" w:left="1587" w:header="1020" w:footer="1417"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D2692C0-0A2C-47BF-94E1-D70F8621B77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altName w:val="仿宋_GB2312"/>
    <w:panose1 w:val="02010601030101010101"/>
    <w:charset w:val="86"/>
    <w:family w:val="auto"/>
    <w:pitch w:val="default"/>
    <w:sig w:usb0="00000000" w:usb1="00000000" w:usb2="00000000" w:usb3="00000000" w:csb0="00040000" w:csb1="00000000"/>
    <w:embedRegular r:id="rId2" w:fontKey="{6C51D0B3-50B2-4ABE-BDF2-44796A880667}"/>
  </w:font>
  <w:font w:name="方正仿宋简体">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3" w:fontKey="{327710A6-26E1-4CC5-BCEA-42EBE1F0D0F2}"/>
  </w:font>
  <w:font w:name="楷体_GB2312">
    <w:panose1 w:val="02010609030101010101"/>
    <w:charset w:val="86"/>
    <w:family w:val="auto"/>
    <w:pitch w:val="default"/>
    <w:sig w:usb0="00000001" w:usb1="080E0000" w:usb2="00000000" w:usb3="00000000" w:csb0="00040000" w:csb1="00000000"/>
    <w:embedRegular r:id="rId4" w:fontKey="{F0DC0E22-5E9F-4094-BC8C-42D5CA7617B7}"/>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C7CD5">
    <w:pPr>
      <w:pStyle w:val="12"/>
      <w:spacing w:line="14" w:lineRule="auto"/>
      <w:rPr>
        <w:rFonts w:eastAsia="仿宋_GB2312"/>
        <w:sz w:val="20"/>
      </w:rPr>
    </w:pPr>
    <w:r>
      <w:rPr>
        <w:sz w:val="20"/>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A47A40">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0EA47A40">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CFB61">
    <w:pPr>
      <w:pStyle w:val="12"/>
      <w:spacing w:line="14" w:lineRule="auto"/>
      <w:rPr>
        <w:rFonts w:eastAsia="仿宋_GB2312"/>
        <w:sz w:val="20"/>
      </w:rPr>
    </w:pPr>
    <w:r>
      <w:rPr>
        <w:sz w:val="20"/>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7798A">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70</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4C7798A">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70</w:t>
                    </w:r>
                    <w:r>
                      <w:rPr>
                        <w:sz w:val="28"/>
                        <w:szCs w:val="28"/>
                      </w:rPr>
                      <w:fldChar w:fldCharType="end"/>
                    </w:r>
                    <w:r>
                      <w:rPr>
                        <w:sz w:val="28"/>
                        <w:szCs w:val="28"/>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33528">
    <w:pPr>
      <w:pStyle w:val="12"/>
      <w:spacing w:line="14" w:lineRule="auto"/>
      <w:rPr>
        <w:rFonts w:eastAsia="仿宋_GB2312"/>
        <w:sz w:val="20"/>
      </w:rPr>
    </w:pPr>
    <w:r>
      <w:rPr>
        <w:sz w:val="20"/>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A3A962">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1A3A962">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6862F">
    <w:pPr>
      <w:pStyle w:val="12"/>
      <w:spacing w:line="14" w:lineRule="auto"/>
      <w:rPr>
        <w:rFonts w:eastAsia="仿宋_GB2312"/>
        <w:sz w:val="20"/>
      </w:rPr>
    </w:pPr>
    <w:r>
      <w:rPr>
        <w:sz w:val="20"/>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86E625">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76</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886E625">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76</w:t>
                    </w:r>
                    <w:r>
                      <w:rPr>
                        <w:sz w:val="28"/>
                        <w:szCs w:val="28"/>
                      </w:rPr>
                      <w:fldChar w:fldCharType="end"/>
                    </w:r>
                    <w:r>
                      <w:rPr>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9E527">
    <w:pPr>
      <w:pStyle w:val="12"/>
      <w:spacing w:line="14" w:lineRule="auto"/>
      <w:rPr>
        <w:rFonts w:eastAsia="仿宋_GB2312"/>
        <w:sz w:val="20"/>
      </w:rPr>
    </w:pPr>
    <w:r>
      <w:rPr>
        <w:sz w:val="20"/>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994AB0">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51994AB0">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EDA24">
    <w:pPr>
      <w:pStyle w:val="12"/>
      <w:spacing w:line="14" w:lineRule="auto"/>
      <w:rPr>
        <w:rFonts w:eastAsia="仿宋_GB2312"/>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131932">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17</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9131932">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17</w:t>
                    </w:r>
                    <w:r>
                      <w:rPr>
                        <w:sz w:val="28"/>
                        <w:szCs w:val="28"/>
                      </w:rPr>
                      <w:fldChar w:fldCharType="end"/>
                    </w:r>
                    <w:r>
                      <w:rPr>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DB24A">
    <w:pPr>
      <w:pStyle w:val="12"/>
      <w:spacing w:line="14" w:lineRule="auto"/>
      <w:rPr>
        <w:rFonts w:eastAsia="仿宋_GB2312"/>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069292">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18</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069292">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18</w:t>
                    </w:r>
                    <w:r>
                      <w:rPr>
                        <w:sz w:val="28"/>
                        <w:szCs w:val="28"/>
                      </w:rPr>
                      <w:fldChar w:fldCharType="end"/>
                    </w:r>
                    <w:r>
                      <w:rPr>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4B4DE">
    <w:pPr>
      <w:pStyle w:val="12"/>
      <w:spacing w:line="14" w:lineRule="auto"/>
      <w:rPr>
        <w:rFonts w:eastAsia="仿宋_GB2312"/>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4FBFBB">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45</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24FBFBB">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45</w:t>
                    </w:r>
                    <w:r>
                      <w:rPr>
                        <w:sz w:val="28"/>
                        <w:szCs w:val="28"/>
                      </w:rPr>
                      <w:fldChar w:fldCharType="end"/>
                    </w:r>
                    <w:r>
                      <w:rPr>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03018">
    <w:pPr>
      <w:pStyle w:val="12"/>
      <w:spacing w:line="14" w:lineRule="auto"/>
      <w:rPr>
        <w:rFonts w:eastAsia="仿宋_GB2312"/>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EDEE22">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46</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8EDEE22">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46</w:t>
                    </w:r>
                    <w:r>
                      <w:rPr>
                        <w:sz w:val="28"/>
                        <w:szCs w:val="28"/>
                      </w:rPr>
                      <w:fldChar w:fldCharType="end"/>
                    </w:r>
                    <w:r>
                      <w:rPr>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78FA3">
    <w:pPr>
      <w:pStyle w:val="12"/>
      <w:spacing w:line="14" w:lineRule="auto"/>
      <w:rPr>
        <w:rFonts w:eastAsia="仿宋_GB2312"/>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E0DDB9">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63</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5E0DDB9">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63</w:t>
                    </w:r>
                    <w:r>
                      <w:rPr>
                        <w:sz w:val="28"/>
                        <w:szCs w:val="28"/>
                      </w:rPr>
                      <w:fldChar w:fldCharType="end"/>
                    </w:r>
                    <w:r>
                      <w:rPr>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A5937">
    <w:pPr>
      <w:pStyle w:val="12"/>
      <w:spacing w:line="14" w:lineRule="auto"/>
      <w:rPr>
        <w:rFonts w:eastAsia="仿宋_GB2312"/>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453854">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64</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4453854">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64</w:t>
                    </w:r>
                    <w:r>
                      <w:rPr>
                        <w:sz w:val="28"/>
                        <w:szCs w:val="28"/>
                      </w:rPr>
                      <w:fldChar w:fldCharType="end"/>
                    </w:r>
                    <w:r>
                      <w:rPr>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1888E">
    <w:pPr>
      <w:pStyle w:val="12"/>
      <w:spacing w:line="14" w:lineRule="auto"/>
      <w:rPr>
        <w:rFonts w:eastAsia="仿宋_GB2312"/>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6CABF">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69</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4C6CABF">
                    <w:pPr>
                      <w:pStyle w:val="1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69</w:t>
                    </w:r>
                    <w:r>
                      <w:rPr>
                        <w:sz w:val="28"/>
                        <w:szCs w:val="28"/>
                      </w:rPr>
                      <w:fldChar w:fldCharType="end"/>
                    </w:r>
                    <w:r>
                      <w:rPr>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02CF0B"/>
    <w:multiLevelType w:val="singleLevel"/>
    <w:tmpl w:val="B102CF0B"/>
    <w:lvl w:ilvl="0" w:tentative="0">
      <w:start w:val="1"/>
      <w:numFmt w:val="decimal"/>
      <w:suff w:val="nothing"/>
      <w:lvlText w:val="%1、"/>
      <w:lvlJc w:val="left"/>
    </w:lvl>
  </w:abstractNum>
  <w:abstractNum w:abstractNumId="1">
    <w:nsid w:val="0FE9B425"/>
    <w:multiLevelType w:val="multilevel"/>
    <w:tmpl w:val="0FE9B425"/>
    <w:lvl w:ilvl="0" w:tentative="0">
      <w:start w:val="1"/>
      <w:numFmt w:val="chineseCounting"/>
      <w:pStyle w:val="3"/>
      <w:suff w:val="nothing"/>
      <w:lvlText w:val="第%1章 "/>
      <w:lvlJc w:val="left"/>
      <w:pPr>
        <w:tabs>
          <w:tab w:val="left" w:pos="3260"/>
        </w:tabs>
        <w:ind w:left="3260" w:firstLine="0"/>
      </w:pPr>
      <w:rPr>
        <w:rFonts w:hint="eastAsia" w:ascii="方正小标宋简体" w:hAnsi="方正小标宋简体" w:eastAsia="方正小标宋简体" w:cs="方正小标宋简体"/>
        <w:b w:val="0"/>
        <w:bCs w:val="0"/>
      </w:rPr>
    </w:lvl>
    <w:lvl w:ilvl="1" w:tentative="0">
      <w:start w:val="1"/>
      <w:numFmt w:val="decimal"/>
      <w:pStyle w:val="4"/>
      <w:isLgl/>
      <w:suff w:val="nothing"/>
      <w:lvlText w:val="%1.%2."/>
      <w:lvlJc w:val="left"/>
      <w:pPr>
        <w:tabs>
          <w:tab w:val="left" w:pos="0"/>
        </w:tabs>
        <w:ind w:left="0" w:firstLine="0"/>
      </w:pPr>
      <w:rPr>
        <w:rFonts w:hint="eastAsia"/>
      </w:rPr>
    </w:lvl>
    <w:lvl w:ilvl="2" w:tentative="0">
      <w:start w:val="1"/>
      <w:numFmt w:val="decimal"/>
      <w:pStyle w:val="5"/>
      <w:isLgl/>
      <w:suff w:val="nothing"/>
      <w:lvlText w:val="%1.%2.%3."/>
      <w:lvlJc w:val="left"/>
      <w:pPr>
        <w:tabs>
          <w:tab w:val="left" w:pos="562"/>
        </w:tabs>
        <w:ind w:left="862" w:hanging="720"/>
      </w:pPr>
      <w:rPr>
        <w:rFonts w:hint="eastAsia"/>
      </w:rPr>
    </w:lvl>
    <w:lvl w:ilvl="3" w:tentative="0">
      <w:start w:val="1"/>
      <w:numFmt w:val="decimal"/>
      <w:pStyle w:val="6"/>
      <w:isLgl/>
      <w:lvlText w:val="%1.%2.%3.%4."/>
      <w:lvlJc w:val="left"/>
      <w:pPr>
        <w:ind w:left="2991" w:hanging="864"/>
      </w:pPr>
      <w:rPr>
        <w:rFonts w:hint="eastAsia"/>
      </w:rPr>
    </w:lvl>
    <w:lvl w:ilvl="4" w:tentative="0">
      <w:start w:val="1"/>
      <w:numFmt w:val="decimal"/>
      <w:pStyle w:val="7"/>
      <w:isLgl/>
      <w:lvlText w:val="%1.%2.%3.%4.%5."/>
      <w:lvlJc w:val="left"/>
      <w:pPr>
        <w:ind w:left="3135" w:hanging="1008"/>
      </w:pPr>
      <w:rPr>
        <w:rFonts w:hint="eastAsia"/>
      </w:rPr>
    </w:lvl>
    <w:lvl w:ilvl="5" w:tentative="0">
      <w:start w:val="1"/>
      <w:numFmt w:val="decimal"/>
      <w:pStyle w:val="8"/>
      <w:isLgl/>
      <w:lvlText w:val="%1.%2.%3.%4.%5.%6."/>
      <w:lvlJc w:val="left"/>
      <w:pPr>
        <w:ind w:left="3278" w:hanging="1151"/>
      </w:pPr>
      <w:rPr>
        <w:rFonts w:hint="eastAsia"/>
      </w:rPr>
    </w:lvl>
    <w:lvl w:ilvl="6" w:tentative="0">
      <w:start w:val="1"/>
      <w:numFmt w:val="decimal"/>
      <w:pStyle w:val="9"/>
      <w:isLgl/>
      <w:lvlText w:val="%1.%2.%3.%4.%5.%6.%7."/>
      <w:lvlJc w:val="left"/>
      <w:pPr>
        <w:ind w:left="3423" w:hanging="1296"/>
      </w:pPr>
      <w:rPr>
        <w:rFonts w:hint="eastAsia"/>
      </w:rPr>
    </w:lvl>
    <w:lvl w:ilvl="7" w:tentative="0">
      <w:start w:val="1"/>
      <w:numFmt w:val="decimal"/>
      <w:pStyle w:val="10"/>
      <w:isLgl/>
      <w:lvlText w:val="%1.%2.%3.%4.%5.%6.%7.%8."/>
      <w:lvlJc w:val="left"/>
      <w:pPr>
        <w:ind w:left="3567" w:hanging="1440"/>
      </w:pPr>
      <w:rPr>
        <w:rFonts w:hint="eastAsia"/>
      </w:rPr>
    </w:lvl>
    <w:lvl w:ilvl="8" w:tentative="0">
      <w:start w:val="1"/>
      <w:numFmt w:val="decimal"/>
      <w:pStyle w:val="11"/>
      <w:isLgl/>
      <w:lvlText w:val="%1.%2.%3.%4.%5.%6.%7.%8.%9."/>
      <w:lvlJc w:val="left"/>
      <w:pPr>
        <w:ind w:left="3710" w:hanging="1583"/>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hideSpellingErrors/>
  <w:documentProtection w:enforcement="0"/>
  <w:defaultTabStop w:val="720"/>
  <w:evenAndOddHeaders w:val="1"/>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lYjNhZmJmNzRjNTEzM2I3MjFjYzkxMGMwZDA2NmIifQ=="/>
  </w:docVars>
  <w:rsids>
    <w:rsidRoot w:val="00B3322D"/>
    <w:rsid w:val="000075C1"/>
    <w:rsid w:val="00046D75"/>
    <w:rsid w:val="00051CB0"/>
    <w:rsid w:val="00061501"/>
    <w:rsid w:val="00095A24"/>
    <w:rsid w:val="000B167C"/>
    <w:rsid w:val="000D48CE"/>
    <w:rsid w:val="00106541"/>
    <w:rsid w:val="001111D9"/>
    <w:rsid w:val="00127C81"/>
    <w:rsid w:val="0016246E"/>
    <w:rsid w:val="00233EDA"/>
    <w:rsid w:val="002D0ADF"/>
    <w:rsid w:val="00310311"/>
    <w:rsid w:val="00320951"/>
    <w:rsid w:val="00380FEA"/>
    <w:rsid w:val="003A1ED7"/>
    <w:rsid w:val="003D71CC"/>
    <w:rsid w:val="00431E27"/>
    <w:rsid w:val="004828B3"/>
    <w:rsid w:val="004E7CDE"/>
    <w:rsid w:val="005257E0"/>
    <w:rsid w:val="0055798B"/>
    <w:rsid w:val="0063247B"/>
    <w:rsid w:val="00644A82"/>
    <w:rsid w:val="00665305"/>
    <w:rsid w:val="006C6609"/>
    <w:rsid w:val="006E7153"/>
    <w:rsid w:val="006F2E57"/>
    <w:rsid w:val="00703754"/>
    <w:rsid w:val="0076690B"/>
    <w:rsid w:val="007A6BC0"/>
    <w:rsid w:val="007B5670"/>
    <w:rsid w:val="00902027"/>
    <w:rsid w:val="0094398E"/>
    <w:rsid w:val="009E7C0D"/>
    <w:rsid w:val="00A0065E"/>
    <w:rsid w:val="00A0103F"/>
    <w:rsid w:val="00AB153D"/>
    <w:rsid w:val="00B06929"/>
    <w:rsid w:val="00B112BF"/>
    <w:rsid w:val="00B2010F"/>
    <w:rsid w:val="00B24819"/>
    <w:rsid w:val="00B3322D"/>
    <w:rsid w:val="00C0196A"/>
    <w:rsid w:val="00C805F8"/>
    <w:rsid w:val="00CA0938"/>
    <w:rsid w:val="00D01190"/>
    <w:rsid w:val="00D1211F"/>
    <w:rsid w:val="00D13F59"/>
    <w:rsid w:val="00D362EC"/>
    <w:rsid w:val="00D54F70"/>
    <w:rsid w:val="00D759B4"/>
    <w:rsid w:val="00DA17C7"/>
    <w:rsid w:val="00E96F5C"/>
    <w:rsid w:val="00EC7A94"/>
    <w:rsid w:val="00EF3DBA"/>
    <w:rsid w:val="00F021BF"/>
    <w:rsid w:val="00F075FB"/>
    <w:rsid w:val="00F53253"/>
    <w:rsid w:val="00FA52CE"/>
    <w:rsid w:val="010A1F93"/>
    <w:rsid w:val="04EC1C83"/>
    <w:rsid w:val="06FD4679"/>
    <w:rsid w:val="07DB0C2F"/>
    <w:rsid w:val="0D1568BA"/>
    <w:rsid w:val="0FF00FEF"/>
    <w:rsid w:val="130051DE"/>
    <w:rsid w:val="13F12268"/>
    <w:rsid w:val="17914FDA"/>
    <w:rsid w:val="1A9609E5"/>
    <w:rsid w:val="1B9E2247"/>
    <w:rsid w:val="202C6EA9"/>
    <w:rsid w:val="221971D4"/>
    <w:rsid w:val="22204D3F"/>
    <w:rsid w:val="23CE1C00"/>
    <w:rsid w:val="257B2CAB"/>
    <w:rsid w:val="25C4755D"/>
    <w:rsid w:val="27273C80"/>
    <w:rsid w:val="28794A16"/>
    <w:rsid w:val="293B25E0"/>
    <w:rsid w:val="2B4C41C8"/>
    <w:rsid w:val="2D0962B8"/>
    <w:rsid w:val="2D4D39A2"/>
    <w:rsid w:val="2F5C25CA"/>
    <w:rsid w:val="33D22D2B"/>
    <w:rsid w:val="34592532"/>
    <w:rsid w:val="34EA39B0"/>
    <w:rsid w:val="3511259B"/>
    <w:rsid w:val="3A0D0D13"/>
    <w:rsid w:val="3AEB1DF0"/>
    <w:rsid w:val="3C9C6D2D"/>
    <w:rsid w:val="3D0E2985"/>
    <w:rsid w:val="3E4B54BF"/>
    <w:rsid w:val="3F60143E"/>
    <w:rsid w:val="3FA87672"/>
    <w:rsid w:val="3FAA4467"/>
    <w:rsid w:val="3FCD1908"/>
    <w:rsid w:val="43AD4526"/>
    <w:rsid w:val="43B80C8B"/>
    <w:rsid w:val="449A3AA7"/>
    <w:rsid w:val="45E31D51"/>
    <w:rsid w:val="479F062A"/>
    <w:rsid w:val="4B5179A2"/>
    <w:rsid w:val="4CA965F3"/>
    <w:rsid w:val="51EE70B6"/>
    <w:rsid w:val="52F95F32"/>
    <w:rsid w:val="56B60423"/>
    <w:rsid w:val="59693C14"/>
    <w:rsid w:val="5A054C64"/>
    <w:rsid w:val="60262323"/>
    <w:rsid w:val="60972E4F"/>
    <w:rsid w:val="60E2185B"/>
    <w:rsid w:val="614E7152"/>
    <w:rsid w:val="62520ACA"/>
    <w:rsid w:val="639803C4"/>
    <w:rsid w:val="64A12D7F"/>
    <w:rsid w:val="655C031D"/>
    <w:rsid w:val="676E78DB"/>
    <w:rsid w:val="68D93544"/>
    <w:rsid w:val="6A026A55"/>
    <w:rsid w:val="6BAE7270"/>
    <w:rsid w:val="6E1119D2"/>
    <w:rsid w:val="6FB93E09"/>
    <w:rsid w:val="72037A91"/>
    <w:rsid w:val="72F86CBC"/>
    <w:rsid w:val="73797DFD"/>
    <w:rsid w:val="767C624E"/>
    <w:rsid w:val="76F65C09"/>
    <w:rsid w:val="76F9164E"/>
    <w:rsid w:val="788D7A67"/>
    <w:rsid w:val="7AB96D68"/>
    <w:rsid w:val="7AD43193"/>
    <w:rsid w:val="7BE90E62"/>
    <w:rsid w:val="7C9F582B"/>
    <w:rsid w:val="7D1B3750"/>
    <w:rsid w:val="7FA626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line="360" w:lineRule="auto"/>
    </w:pPr>
    <w:rPr>
      <w:rFonts w:ascii="宋体" w:hAnsi="宋体" w:eastAsia="宋体" w:cs="宋体"/>
      <w:sz w:val="28"/>
      <w:szCs w:val="22"/>
      <w:lang w:val="zh-CN" w:eastAsia="zh-CN" w:bidi="zh-CN"/>
    </w:rPr>
  </w:style>
  <w:style w:type="paragraph" w:styleId="3">
    <w:name w:val="heading 1"/>
    <w:basedOn w:val="1"/>
    <w:next w:val="1"/>
    <w:link w:val="33"/>
    <w:qFormat/>
    <w:uiPriority w:val="1"/>
    <w:pPr>
      <w:numPr>
        <w:ilvl w:val="0"/>
        <w:numId w:val="1"/>
      </w:numPr>
      <w:tabs>
        <w:tab w:val="left" w:pos="2127"/>
      </w:tabs>
      <w:spacing w:before="54"/>
      <w:jc w:val="center"/>
      <w:outlineLvl w:val="0"/>
    </w:pPr>
    <w:rPr>
      <w:b/>
      <w:bCs/>
      <w:sz w:val="32"/>
      <w:szCs w:val="32"/>
    </w:rPr>
  </w:style>
  <w:style w:type="paragraph" w:styleId="4">
    <w:name w:val="heading 2"/>
    <w:basedOn w:val="1"/>
    <w:next w:val="1"/>
    <w:link w:val="26"/>
    <w:qFormat/>
    <w:uiPriority w:val="1"/>
    <w:pPr>
      <w:numPr>
        <w:ilvl w:val="1"/>
        <w:numId w:val="1"/>
      </w:numPr>
      <w:tabs>
        <w:tab w:val="left" w:pos="3260"/>
      </w:tabs>
      <w:outlineLvl w:val="1"/>
    </w:pPr>
    <w:rPr>
      <w:b/>
      <w:bCs/>
      <w:sz w:val="30"/>
      <w:szCs w:val="30"/>
    </w:rPr>
  </w:style>
  <w:style w:type="paragraph" w:styleId="5">
    <w:name w:val="heading 3"/>
    <w:basedOn w:val="1"/>
    <w:next w:val="1"/>
    <w:link w:val="32"/>
    <w:qFormat/>
    <w:uiPriority w:val="1"/>
    <w:pPr>
      <w:numPr>
        <w:ilvl w:val="2"/>
        <w:numId w:val="1"/>
      </w:numPr>
      <w:tabs>
        <w:tab w:val="left" w:pos="420"/>
        <w:tab w:val="left" w:pos="2127"/>
        <w:tab w:val="left" w:pos="2973"/>
        <w:tab w:val="left" w:pos="3260"/>
      </w:tabs>
      <w:outlineLvl w:val="2"/>
    </w:pPr>
    <w:rPr>
      <w:b/>
      <w:bCs/>
      <w:szCs w:val="28"/>
    </w:rPr>
  </w:style>
  <w:style w:type="paragraph" w:styleId="6">
    <w:name w:val="heading 4"/>
    <w:basedOn w:val="1"/>
    <w:next w:val="1"/>
    <w:link w:val="35"/>
    <w:semiHidden/>
    <w:unhideWhenUsed/>
    <w:qFormat/>
    <w:uiPriority w:val="0"/>
    <w:pPr>
      <w:keepNext/>
      <w:keepLines/>
      <w:numPr>
        <w:ilvl w:val="3"/>
        <w:numId w:val="1"/>
      </w:numPr>
      <w:spacing w:line="372" w:lineRule="auto"/>
      <w:outlineLvl w:val="3"/>
    </w:pPr>
    <w:rPr>
      <w:rFonts w:ascii="Arial" w:hAnsi="Arial" w:eastAsia="黑体"/>
      <w:b/>
    </w:rPr>
  </w:style>
  <w:style w:type="paragraph" w:styleId="7">
    <w:name w:val="heading 5"/>
    <w:basedOn w:val="1"/>
    <w:next w:val="1"/>
    <w:semiHidden/>
    <w:unhideWhenUsed/>
    <w:qFormat/>
    <w:uiPriority w:val="0"/>
    <w:pPr>
      <w:keepNext/>
      <w:keepLines/>
      <w:numPr>
        <w:ilvl w:val="4"/>
        <w:numId w:val="1"/>
      </w:numPr>
      <w:spacing w:line="372" w:lineRule="auto"/>
      <w:outlineLvl w:val="4"/>
    </w:pPr>
    <w:rPr>
      <w:b/>
    </w:rPr>
  </w:style>
  <w:style w:type="paragraph" w:styleId="8">
    <w:name w:val="heading 6"/>
    <w:basedOn w:val="1"/>
    <w:next w:val="1"/>
    <w:semiHidden/>
    <w:unhideWhenUsed/>
    <w:qFormat/>
    <w:uiPriority w:val="0"/>
    <w:pPr>
      <w:keepNext/>
      <w:keepLines/>
      <w:numPr>
        <w:ilvl w:val="5"/>
        <w:numId w:val="1"/>
      </w:numPr>
      <w:spacing w:line="317" w:lineRule="auto"/>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spacing w:line="317" w:lineRule="auto"/>
      <w:outlineLvl w:val="6"/>
    </w:pPr>
    <w:rPr>
      <w:b/>
      <w:sz w:val="24"/>
    </w:rPr>
  </w:style>
  <w:style w:type="paragraph" w:styleId="10">
    <w:name w:val="heading 8"/>
    <w:basedOn w:val="1"/>
    <w:next w:val="1"/>
    <w:semiHidden/>
    <w:unhideWhenUsed/>
    <w:qFormat/>
    <w:uiPriority w:val="0"/>
    <w:pPr>
      <w:keepNext/>
      <w:keepLines/>
      <w:numPr>
        <w:ilvl w:val="7"/>
        <w:numId w:val="1"/>
      </w:numPr>
      <w:spacing w:line="317" w:lineRule="auto"/>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line="317" w:lineRule="auto"/>
      <w:outlineLvl w:val="8"/>
    </w:pPr>
    <w:rPr>
      <w:rFonts w:ascii="Arial" w:hAnsi="Arial" w:eastAsia="黑体"/>
      <w:sz w:val="21"/>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常用样式（方正仿宋简）"/>
    <w:basedOn w:val="1"/>
    <w:next w:val="1"/>
    <w:qFormat/>
    <w:uiPriority w:val="0"/>
    <w:pPr>
      <w:spacing w:line="560" w:lineRule="exact"/>
      <w:ind w:firstLine="200" w:firstLineChars="200"/>
    </w:pPr>
    <w:rPr>
      <w:rFonts w:ascii="Times New Roman" w:hAnsi="Times New Roman" w:eastAsia="方正仿宋简体"/>
      <w:sz w:val="32"/>
    </w:rPr>
  </w:style>
  <w:style w:type="paragraph" w:styleId="12">
    <w:name w:val="Body Text"/>
    <w:basedOn w:val="1"/>
    <w:qFormat/>
    <w:uiPriority w:val="1"/>
    <w:rPr>
      <w:szCs w:val="28"/>
    </w:rPr>
  </w:style>
  <w:style w:type="paragraph" w:styleId="13">
    <w:name w:val="toc 5"/>
    <w:basedOn w:val="1"/>
    <w:next w:val="1"/>
    <w:qFormat/>
    <w:uiPriority w:val="1"/>
    <w:pPr>
      <w:spacing w:before="3"/>
      <w:ind w:left="1232" w:hanging="452"/>
    </w:pPr>
    <w:rPr>
      <w:sz w:val="20"/>
      <w:szCs w:val="20"/>
    </w:rPr>
  </w:style>
  <w:style w:type="paragraph" w:styleId="14">
    <w:name w:val="toc 3"/>
    <w:basedOn w:val="1"/>
    <w:next w:val="1"/>
    <w:qFormat/>
    <w:uiPriority w:val="1"/>
    <w:pPr>
      <w:ind w:firstLine="400" w:firstLineChars="200"/>
    </w:pPr>
    <w:rPr>
      <w:bCs/>
      <w:sz w:val="20"/>
      <w:szCs w:val="20"/>
    </w:rPr>
  </w:style>
  <w:style w:type="paragraph" w:styleId="15">
    <w:name w:val="Plain Text"/>
    <w:basedOn w:val="1"/>
    <w:qFormat/>
    <w:uiPriority w:val="0"/>
    <w:pPr>
      <w:spacing w:line="240" w:lineRule="auto"/>
    </w:pPr>
    <w:rPr>
      <w:rFonts w:eastAsia="仿宋"/>
      <w:sz w:val="16"/>
      <w:szCs w:val="21"/>
    </w:rPr>
  </w:style>
  <w:style w:type="paragraph" w:styleId="16">
    <w:name w:val="Balloon Text"/>
    <w:basedOn w:val="1"/>
    <w:link w:val="39"/>
    <w:qFormat/>
    <w:uiPriority w:val="0"/>
    <w:pPr>
      <w:spacing w:line="240" w:lineRule="auto"/>
    </w:pPr>
    <w:rPr>
      <w:sz w:val="18"/>
      <w:szCs w:val="18"/>
    </w:rPr>
  </w:style>
  <w:style w:type="paragraph" w:styleId="17">
    <w:name w:val="footer"/>
    <w:basedOn w:val="1"/>
    <w:qFormat/>
    <w:uiPriority w:val="0"/>
    <w:pPr>
      <w:tabs>
        <w:tab w:val="center" w:pos="4153"/>
        <w:tab w:val="right" w:pos="8306"/>
      </w:tabs>
      <w:snapToGrid w:val="0"/>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9">
    <w:name w:val="toc 1"/>
    <w:basedOn w:val="1"/>
    <w:next w:val="1"/>
    <w:qFormat/>
    <w:uiPriority w:val="1"/>
    <w:pPr>
      <w:spacing w:before="3"/>
      <w:ind w:right="518"/>
      <w:jc w:val="right"/>
    </w:pPr>
    <w:rPr>
      <w:b/>
      <w:bCs/>
      <w:sz w:val="20"/>
      <w:szCs w:val="20"/>
    </w:rPr>
  </w:style>
  <w:style w:type="paragraph" w:styleId="20">
    <w:name w:val="toc 4"/>
    <w:basedOn w:val="1"/>
    <w:next w:val="1"/>
    <w:qFormat/>
    <w:uiPriority w:val="1"/>
    <w:pPr>
      <w:spacing w:before="3"/>
      <w:ind w:left="1080" w:hanging="301"/>
    </w:pPr>
    <w:rPr>
      <w:sz w:val="20"/>
      <w:szCs w:val="20"/>
    </w:rPr>
  </w:style>
  <w:style w:type="paragraph" w:styleId="21">
    <w:name w:val="toc 2"/>
    <w:basedOn w:val="1"/>
    <w:next w:val="1"/>
    <w:qFormat/>
    <w:uiPriority w:val="1"/>
    <w:pPr>
      <w:jc w:val="right"/>
    </w:pPr>
    <w:rPr>
      <w:b/>
      <w:sz w:val="20"/>
      <w:szCs w:val="20"/>
    </w:rPr>
  </w:style>
  <w:style w:type="paragraph" w:styleId="22">
    <w:name w:val="Normal (Web)"/>
    <w:basedOn w:val="1"/>
    <w:qFormat/>
    <w:uiPriority w:val="0"/>
    <w:pPr>
      <w:spacing w:beforeAutospacing="1" w:afterAutospacing="1"/>
      <w:jc w:val="left"/>
    </w:pPr>
    <w:rPr>
      <w:rFonts w:cs="Times New Roman"/>
      <w:kern w:val="0"/>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6">
    <w:name w:val="标题 2 Char"/>
    <w:link w:val="4"/>
    <w:qFormat/>
    <w:uiPriority w:val="1"/>
    <w:rPr>
      <w:rFonts w:ascii="宋体" w:hAnsi="宋体" w:cs="宋体"/>
      <w:b/>
      <w:bCs/>
      <w:sz w:val="30"/>
      <w:szCs w:val="30"/>
      <w:lang w:val="zh-CN" w:bidi="zh-CN"/>
    </w:rPr>
  </w:style>
  <w:style w:type="table" w:customStyle="1" w:styleId="27">
    <w:name w:val="Table Normal"/>
    <w:semiHidden/>
    <w:unhideWhenUsed/>
    <w:qFormat/>
    <w:uiPriority w:val="2"/>
    <w:tblPr>
      <w:tblCellMar>
        <w:top w:w="0" w:type="dxa"/>
        <w:left w:w="0" w:type="dxa"/>
        <w:bottom w:w="0" w:type="dxa"/>
        <w:right w:w="0" w:type="dxa"/>
      </w:tblCellMar>
    </w:tblPr>
  </w:style>
  <w:style w:type="paragraph" w:styleId="28">
    <w:name w:val="List Paragraph"/>
    <w:basedOn w:val="1"/>
    <w:qFormat/>
    <w:uiPriority w:val="1"/>
    <w:pPr>
      <w:ind w:left="1412" w:firstLine="559"/>
    </w:pPr>
  </w:style>
  <w:style w:type="paragraph" w:customStyle="1" w:styleId="29">
    <w:name w:val="Table Paragraph"/>
    <w:basedOn w:val="1"/>
    <w:qFormat/>
    <w:uiPriority w:val="1"/>
  </w:style>
  <w:style w:type="paragraph" w:customStyle="1" w:styleId="3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1">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2">
    <w:name w:val="标题 3 Char"/>
    <w:link w:val="5"/>
    <w:qFormat/>
    <w:uiPriority w:val="1"/>
    <w:rPr>
      <w:rFonts w:ascii="宋体" w:hAnsi="宋体" w:cs="宋体"/>
      <w:b/>
      <w:bCs/>
      <w:sz w:val="28"/>
      <w:szCs w:val="28"/>
      <w:lang w:val="zh-CN" w:bidi="zh-CN"/>
    </w:rPr>
  </w:style>
  <w:style w:type="character" w:customStyle="1" w:styleId="33">
    <w:name w:val="标题 1 Char"/>
    <w:link w:val="3"/>
    <w:qFormat/>
    <w:uiPriority w:val="1"/>
    <w:rPr>
      <w:rFonts w:ascii="宋体" w:hAnsi="宋体" w:cs="宋体"/>
      <w:b/>
      <w:bCs/>
      <w:sz w:val="32"/>
      <w:szCs w:val="32"/>
      <w:lang w:val="zh-CN" w:bidi="zh-CN"/>
    </w:rPr>
  </w:style>
  <w:style w:type="paragraph" w:customStyle="1" w:styleId="34">
    <w:name w:val="四号表头"/>
    <w:basedOn w:val="1"/>
    <w:qFormat/>
    <w:uiPriority w:val="0"/>
    <w:pPr>
      <w:jc w:val="center"/>
    </w:pPr>
    <w:rPr>
      <w:rFonts w:ascii="Times New Roman" w:hAnsi="Times New Roman" w:cs="Times New Roman"/>
      <w:b/>
    </w:rPr>
  </w:style>
  <w:style w:type="character" w:customStyle="1" w:styleId="35">
    <w:name w:val="标题 4 Char"/>
    <w:link w:val="6"/>
    <w:semiHidden/>
    <w:qFormat/>
    <w:uiPriority w:val="0"/>
    <w:rPr>
      <w:rFonts w:ascii="Arial" w:hAnsi="Arial" w:eastAsia="黑体" w:cs="宋体"/>
      <w:b/>
      <w:sz w:val="28"/>
      <w:szCs w:val="22"/>
      <w:lang w:val="zh-CN" w:bidi="zh-CN"/>
    </w:rPr>
  </w:style>
  <w:style w:type="paragraph" w:customStyle="1" w:styleId="36">
    <w:name w:val="小四号表格"/>
    <w:basedOn w:val="1"/>
    <w:qFormat/>
    <w:uiPriority w:val="0"/>
    <w:pPr>
      <w:jc w:val="center"/>
    </w:pPr>
    <w:rPr>
      <w:rFonts w:cs="Times New Roman"/>
      <w:sz w:val="24"/>
    </w:rPr>
  </w:style>
  <w:style w:type="character" w:customStyle="1" w:styleId="37">
    <w:name w:val="font11"/>
    <w:basedOn w:val="25"/>
    <w:qFormat/>
    <w:uiPriority w:val="0"/>
    <w:rPr>
      <w:rFonts w:hint="eastAsia" w:ascii="宋体" w:hAnsi="宋体" w:eastAsia="宋体" w:cs="宋体"/>
      <w:color w:val="FF0000"/>
      <w:sz w:val="21"/>
      <w:szCs w:val="21"/>
      <w:u w:val="none"/>
    </w:rPr>
  </w:style>
  <w:style w:type="character" w:customStyle="1" w:styleId="38">
    <w:name w:val="font31"/>
    <w:basedOn w:val="25"/>
    <w:qFormat/>
    <w:uiPriority w:val="0"/>
    <w:rPr>
      <w:rFonts w:hint="eastAsia" w:ascii="宋体" w:hAnsi="宋体" w:eastAsia="宋体" w:cs="宋体"/>
      <w:color w:val="FF0000"/>
      <w:sz w:val="10"/>
      <w:szCs w:val="10"/>
      <w:u w:val="none"/>
    </w:rPr>
  </w:style>
  <w:style w:type="character" w:customStyle="1" w:styleId="39">
    <w:name w:val="批注框文本 Char"/>
    <w:basedOn w:val="25"/>
    <w:link w:val="16"/>
    <w:qFormat/>
    <w:uiPriority w:val="0"/>
    <w:rPr>
      <w:rFonts w:ascii="宋体" w:hAnsi="宋体" w:cs="宋体"/>
      <w:sz w:val="18"/>
      <w:szCs w:val="18"/>
      <w:lang w:val="zh-CN" w:bidi="zh-CN"/>
    </w:rPr>
  </w:style>
  <w:style w:type="paragraph" w:customStyle="1" w:styleId="40">
    <w:name w:val="表格"/>
    <w:basedOn w:val="1"/>
    <w:qFormat/>
    <w:uiPriority w:val="0"/>
    <w:pPr>
      <w:widowControl/>
      <w:spacing w:line="240" w:lineRule="auto"/>
      <w:jc w:val="center"/>
    </w:pPr>
    <w:rPr>
      <w:rFonts w:ascii="Times New Roman" w:hAnsi="Times New Roman" w:cs="Times New Roman"/>
      <w:sz w:val="21"/>
      <w:szCs w:val="21"/>
    </w:rPr>
  </w:style>
  <w:style w:type="paragraph" w:customStyle="1" w:styleId="41">
    <w:name w:val="Body text|1"/>
    <w:basedOn w:val="1"/>
    <w:qFormat/>
    <w:uiPriority w:val="0"/>
    <w:pPr>
      <w:spacing w:line="446" w:lineRule="auto"/>
      <w:ind w:firstLine="400"/>
    </w:pPr>
    <w:rPr>
      <w:szCs w:val="28"/>
      <w:lang w:val="zh-TW" w:eastAsia="zh-TW" w:bidi="zh-TW"/>
    </w:rPr>
  </w:style>
  <w:style w:type="paragraph" w:customStyle="1" w:styleId="42">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4.jpe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55DE60-A4A0-4F4C-B95B-FB82BB3238C2}">
  <ds:schemaRefs/>
</ds:datastoreItem>
</file>

<file path=docProps/app.xml><?xml version="1.0" encoding="utf-8"?>
<Properties xmlns="http://schemas.openxmlformats.org/officeDocument/2006/extended-properties" xmlns:vt="http://schemas.openxmlformats.org/officeDocument/2006/docPropsVTypes">
  <Template>Normal</Template>
  <Pages>80</Pages>
  <Words>18314</Words>
  <Characters>19936</Characters>
  <Lines>531</Lines>
  <Paragraphs>149</Paragraphs>
  <TotalTime>3</TotalTime>
  <ScaleCrop>false</ScaleCrop>
  <LinksUpToDate>false</LinksUpToDate>
  <CharactersWithSpaces>19946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2020-11-14T09:10:00Z</dcterms:created>
  <dc:creator>Administrator</dc:creator>
  <cp:lastModifiedBy>Administrator</cp:lastModifiedBy>
  <cp:lastPrinted>2022-11-23T01:17:00Z</cp:lastPrinted>
  <dcterms:modified xsi:type="dcterms:W3CDTF">2025-06-25T02:40:33Z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2020-08-17T00:00:00Z</vt:filetime>
  </property>
  <property fmtid="{D5CDD505-2E9C-101B-9397-08002B2CF9AE}" pid="3" name="Creator">
    <vt:lpwstr>WPS 文字</vt:lpwstr>
  </property>
  <property fmtid="{D5CDD505-2E9C-101B-9397-08002B2CF9AE}" pid="4" name="LastSaved">
    <vt:filetime>2020-09-10T00:00:00Z</vt:filetime>
  </property>
  <property fmtid="{D5CDD505-2E9C-101B-9397-08002B2CF9AE}" pid="5" name="KSOProductBuildVer">
    <vt:lpwstr>2052-12.1.0.21541</vt:lpwstr>
  </property>
  <property fmtid="{D5CDD505-2E9C-101B-9397-08002B2CF9AE}" pid="6" name="ICV">
    <vt:lpwstr>72E9FBE86D6F457681D88F26F439BE4D</vt:lpwstr>
  </property>
  <property fmtid="{D5CDD505-2E9C-101B-9397-08002B2CF9AE}" pid="7" name="KSOTemplateDocerSaveRecord">
    <vt:lpwstr>eyJoZGlkIjoiMjcwYjc0NzEyMzZlNTZmOWU5MGU4MTc5MzFmMjczNTkifQ==</vt:lpwstr>
  </property>
</Properties>
</file>