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347C24">
      <w:pPr>
        <w:rPr>
          <w:rFonts w:ascii="仿宋_GB2312" w:hAnsi="仿宋_GB2312" w:eastAsia="仿宋_GB2312" w:cs="仿宋_GB2312"/>
          <w:color w:val="auto"/>
          <w:sz w:val="36"/>
          <w:szCs w:val="36"/>
        </w:rPr>
      </w:pPr>
    </w:p>
    <w:p w14:paraId="67DA3447">
      <w:pPr>
        <w:rPr>
          <w:rFonts w:ascii="仿宋_GB2312" w:hAnsi="仿宋_GB2312" w:eastAsia="仿宋_GB2312" w:cs="仿宋_GB2312"/>
          <w:color w:val="auto"/>
          <w:sz w:val="36"/>
          <w:szCs w:val="36"/>
        </w:rPr>
      </w:pPr>
    </w:p>
    <w:p w14:paraId="4B372C8B">
      <w:pPr>
        <w:rPr>
          <w:rFonts w:ascii="仿宋_GB2312" w:hAnsi="仿宋_GB2312" w:eastAsia="仿宋_GB2312" w:cs="仿宋_GB2312"/>
          <w:color w:val="auto"/>
          <w:sz w:val="36"/>
          <w:szCs w:val="36"/>
        </w:rPr>
      </w:pPr>
    </w:p>
    <w:p w14:paraId="39D2D68C">
      <w:pPr>
        <w:adjustRightInd w:val="0"/>
        <w:snapToGrid w:val="0"/>
        <w:jc w:val="center"/>
        <w:outlineLvl w:val="0"/>
        <w:rPr>
          <w:rFonts w:hint="eastAsia" w:ascii="方正小标宋_GBK" w:eastAsia="方正小标宋_GBK"/>
          <w:bCs/>
          <w:color w:val="auto"/>
          <w:sz w:val="72"/>
          <w:szCs w:val="72"/>
        </w:rPr>
      </w:pPr>
      <w:r>
        <w:rPr>
          <w:rFonts w:hint="eastAsia" w:ascii="方正小标宋_GBK" w:eastAsia="方正小标宋_GBK"/>
          <w:bCs/>
          <w:color w:val="auto"/>
          <w:sz w:val="72"/>
          <w:szCs w:val="72"/>
        </w:rPr>
        <w:t>建设项目环境影响报告表</w:t>
      </w:r>
    </w:p>
    <w:p w14:paraId="168817A0">
      <w:pPr>
        <w:adjustRightInd w:val="0"/>
        <w:snapToGrid w:val="0"/>
        <w:spacing w:before="192" w:beforeLines="80"/>
        <w:jc w:val="center"/>
        <w:rPr>
          <w:rFonts w:hint="eastAsia" w:ascii="楷体_GB2312" w:eastAsia="楷体_GB2312"/>
          <w:bCs/>
          <w:color w:val="auto"/>
          <w:sz w:val="48"/>
          <w:szCs w:val="48"/>
        </w:rPr>
      </w:pPr>
      <w:r>
        <w:rPr>
          <w:rFonts w:hint="eastAsia" w:ascii="楷体_GB2312" w:eastAsia="楷体_GB2312"/>
          <w:bCs/>
          <w:color w:val="auto"/>
          <w:sz w:val="48"/>
          <w:szCs w:val="48"/>
        </w:rPr>
        <w:t>（污染影响类）</w:t>
      </w:r>
    </w:p>
    <w:p w14:paraId="425062DA">
      <w:pPr>
        <w:adjustRightInd w:val="0"/>
        <w:snapToGrid w:val="0"/>
        <w:spacing w:before="192" w:beforeLines="80"/>
        <w:jc w:val="center"/>
        <w:rPr>
          <w:rFonts w:hint="default" w:ascii="楷体_GB2312" w:eastAsia="楷体_GB2312"/>
          <w:bCs/>
          <w:color w:val="auto"/>
          <w:sz w:val="48"/>
          <w:szCs w:val="48"/>
          <w:lang w:val="en-US"/>
        </w:rPr>
      </w:pPr>
      <w:r>
        <w:rPr>
          <w:rFonts w:hint="eastAsia" w:ascii="楷体_GB2312" w:eastAsia="楷体_GB2312"/>
          <w:bCs/>
          <w:color w:val="auto"/>
          <w:sz w:val="44"/>
          <w:szCs w:val="44"/>
          <w:lang w:val="en-US" w:eastAsia="zh-CN"/>
        </w:rPr>
        <w:t>承诺制项目报批本</w:t>
      </w:r>
    </w:p>
    <w:p w14:paraId="6E227B48">
      <w:pPr>
        <w:adjustRightInd w:val="0"/>
        <w:snapToGrid w:val="0"/>
        <w:spacing w:line="288" w:lineRule="auto"/>
        <w:jc w:val="center"/>
        <w:outlineLvl w:val="0"/>
        <w:rPr>
          <w:rFonts w:ascii="华文仿宋" w:hAnsi="华文仿宋" w:eastAsia="华文仿宋" w:cs="华文仿宋"/>
          <w:color w:val="auto"/>
          <w:kern w:val="44"/>
          <w:sz w:val="44"/>
          <w:szCs w:val="44"/>
        </w:rPr>
      </w:pPr>
    </w:p>
    <w:p w14:paraId="51FA55F3">
      <w:pPr>
        <w:jc w:val="center"/>
        <w:rPr>
          <w:rFonts w:eastAsia="仿宋"/>
          <w:color w:val="auto"/>
          <w:sz w:val="52"/>
          <w:szCs w:val="52"/>
        </w:rPr>
      </w:pPr>
    </w:p>
    <w:p w14:paraId="398C362F">
      <w:pPr>
        <w:ind w:firstLine="1040"/>
        <w:rPr>
          <w:rFonts w:eastAsia="仿宋"/>
          <w:color w:val="auto"/>
          <w:sz w:val="44"/>
          <w:szCs w:val="44"/>
        </w:rPr>
      </w:pPr>
    </w:p>
    <w:p w14:paraId="0CF86432">
      <w:pPr>
        <w:ind w:firstLine="1040"/>
        <w:rPr>
          <w:rFonts w:eastAsia="仿宋"/>
          <w:color w:val="auto"/>
          <w:sz w:val="44"/>
          <w:szCs w:val="44"/>
        </w:rPr>
      </w:pPr>
    </w:p>
    <w:p w14:paraId="0E48C805">
      <w:pPr>
        <w:ind w:firstLine="1040"/>
        <w:rPr>
          <w:rFonts w:eastAsia="仿宋"/>
          <w:color w:val="auto"/>
          <w:sz w:val="44"/>
          <w:szCs w:val="44"/>
        </w:rPr>
      </w:pPr>
    </w:p>
    <w:p w14:paraId="37632944">
      <w:pPr>
        <w:adjustRightInd w:val="0"/>
        <w:snapToGrid w:val="0"/>
        <w:spacing w:line="288" w:lineRule="auto"/>
        <w:ind w:firstLine="1040"/>
        <w:rPr>
          <w:rFonts w:hint="default" w:ascii="仿宋_GB2312" w:eastAsia="仿宋_GB2312"/>
          <w:color w:val="auto"/>
          <w:spacing w:val="-34"/>
          <w:sz w:val="36"/>
          <w:szCs w:val="36"/>
          <w:u w:val="single"/>
          <w:lang w:val="en-US"/>
        </w:rPr>
      </w:pPr>
      <w:r>
        <w:rPr>
          <w:rFonts w:hint="eastAsia" w:ascii="仿宋_GB2312" w:eastAsia="仿宋_GB2312"/>
          <w:color w:val="auto"/>
          <w:spacing w:val="-34"/>
          <w:sz w:val="36"/>
          <w:szCs w:val="36"/>
        </w:rPr>
        <w:t>项目名称：</w:t>
      </w:r>
      <w:r>
        <w:rPr>
          <w:rFonts w:hint="eastAsia" w:ascii="仿宋_GB2312" w:eastAsia="仿宋_GB2312"/>
          <w:color w:val="auto"/>
          <w:spacing w:val="-34"/>
          <w:sz w:val="36"/>
          <w:szCs w:val="36"/>
          <w:u w:val="single"/>
          <w:lang w:val="en-US" w:eastAsia="zh-CN"/>
        </w:rPr>
        <w:t>遂宁市安居区政宇年产10万辆新能源电动车项目</w:t>
      </w:r>
    </w:p>
    <w:p w14:paraId="71088C9C">
      <w:pPr>
        <w:adjustRightInd w:val="0"/>
        <w:snapToGrid w:val="0"/>
        <w:spacing w:line="288" w:lineRule="auto"/>
        <w:ind w:firstLine="1040"/>
        <w:rPr>
          <w:rFonts w:hint="default" w:ascii="仿宋_GB2312" w:eastAsia="仿宋_GB2312"/>
          <w:color w:val="auto"/>
          <w:spacing w:val="-20"/>
          <w:sz w:val="32"/>
          <w:szCs w:val="32"/>
          <w:u w:val="single"/>
          <w:lang w:val="en-US" w:eastAsia="zh-CN"/>
        </w:rPr>
      </w:pPr>
      <w:r>
        <w:rPr>
          <w:rFonts w:hint="eastAsia" w:ascii="仿宋_GB2312" w:eastAsia="仿宋_GB2312"/>
          <w:color w:val="auto"/>
          <w:spacing w:val="-20"/>
          <w:sz w:val="36"/>
          <w:szCs w:val="36"/>
        </w:rPr>
        <w:t>建设单位（盖章）：</w:t>
      </w:r>
      <w:r>
        <w:rPr>
          <w:rFonts w:hint="eastAsia" w:ascii="仿宋_GB2312" w:eastAsia="仿宋_GB2312"/>
          <w:color w:val="auto"/>
          <w:spacing w:val="-20"/>
          <w:sz w:val="36"/>
          <w:szCs w:val="36"/>
          <w:u w:val="single"/>
          <w:lang w:val="en-US" w:eastAsia="zh-CN"/>
        </w:rPr>
        <w:t>四川政宇摩托车制造有限公司</w:t>
      </w:r>
    </w:p>
    <w:p w14:paraId="1BD0BE1F">
      <w:pPr>
        <w:adjustRightInd w:val="0"/>
        <w:snapToGrid w:val="0"/>
        <w:spacing w:line="288" w:lineRule="auto"/>
        <w:ind w:firstLine="1040"/>
        <w:rPr>
          <w:rFonts w:hint="default" w:ascii="仿宋_GB2312" w:eastAsia="仿宋_GB2312"/>
          <w:color w:val="auto"/>
          <w:spacing w:val="-20"/>
          <w:sz w:val="36"/>
          <w:szCs w:val="36"/>
          <w:u w:val="single"/>
          <w:lang w:val="en-US" w:eastAsia="zh-CN"/>
        </w:rPr>
      </w:pPr>
      <w:r>
        <w:rPr>
          <w:rFonts w:hint="eastAsia" w:ascii="仿宋_GB2312" w:eastAsia="仿宋_GB2312"/>
          <w:color w:val="auto"/>
          <w:spacing w:val="-20"/>
          <w:sz w:val="36"/>
          <w:szCs w:val="36"/>
        </w:rPr>
        <w:t>编制日期：</w:t>
      </w:r>
      <w:r>
        <w:rPr>
          <w:rFonts w:hint="eastAsia" w:ascii="仿宋_GB2312" w:eastAsia="仿宋_GB2312"/>
          <w:color w:val="auto"/>
          <w:spacing w:val="-20"/>
          <w:sz w:val="36"/>
          <w:szCs w:val="36"/>
          <w:u w:val="single"/>
        </w:rPr>
        <w:t xml:space="preserve"> </w:t>
      </w:r>
      <w:r>
        <w:rPr>
          <w:rFonts w:hint="eastAsia" w:ascii="仿宋_GB2312" w:eastAsia="仿宋_GB2312"/>
          <w:color w:val="auto"/>
          <w:spacing w:val="-20"/>
          <w:sz w:val="36"/>
          <w:szCs w:val="36"/>
          <w:u w:val="single"/>
          <w:lang w:val="en-US" w:eastAsia="zh-CN"/>
        </w:rPr>
        <w:t xml:space="preserve">         二〇二五年八月         </w:t>
      </w:r>
    </w:p>
    <w:p w14:paraId="49101729">
      <w:pPr>
        <w:adjustRightInd w:val="0"/>
        <w:snapToGrid w:val="0"/>
        <w:spacing w:line="288" w:lineRule="auto"/>
        <w:ind w:firstLine="1040"/>
        <w:rPr>
          <w:rFonts w:ascii="仿宋_GB2312" w:eastAsia="仿宋_GB2312"/>
          <w:color w:val="auto"/>
          <w:sz w:val="36"/>
          <w:szCs w:val="36"/>
          <w:u w:val="single"/>
        </w:rPr>
      </w:pPr>
      <w:bookmarkStart w:id="0" w:name="_Hlk57884087"/>
    </w:p>
    <w:p w14:paraId="52084445">
      <w:pPr>
        <w:adjustRightInd w:val="0"/>
        <w:snapToGrid w:val="0"/>
        <w:spacing w:line="288" w:lineRule="auto"/>
        <w:ind w:firstLine="1040"/>
        <w:rPr>
          <w:rFonts w:ascii="仿宋_GB2312" w:eastAsia="仿宋_GB2312"/>
          <w:color w:val="auto"/>
          <w:sz w:val="36"/>
          <w:szCs w:val="36"/>
        </w:rPr>
      </w:pPr>
    </w:p>
    <w:p w14:paraId="04E041E4">
      <w:pPr>
        <w:adjustRightInd w:val="0"/>
        <w:snapToGrid w:val="0"/>
        <w:spacing w:line="288" w:lineRule="auto"/>
        <w:ind w:firstLine="1040"/>
        <w:rPr>
          <w:rFonts w:ascii="仿宋_GB2312" w:eastAsia="仿宋_GB2312"/>
          <w:color w:val="auto"/>
          <w:sz w:val="36"/>
          <w:szCs w:val="36"/>
        </w:rPr>
      </w:pPr>
    </w:p>
    <w:p w14:paraId="01517966">
      <w:pPr>
        <w:adjustRightInd w:val="0"/>
        <w:snapToGrid w:val="0"/>
        <w:spacing w:line="288" w:lineRule="auto"/>
        <w:ind w:firstLine="1040"/>
        <w:rPr>
          <w:rFonts w:hint="eastAsia" w:ascii="仿宋_GB2312" w:eastAsia="仿宋_GB2312"/>
          <w:color w:val="auto"/>
          <w:sz w:val="36"/>
          <w:szCs w:val="36"/>
        </w:rPr>
      </w:pPr>
    </w:p>
    <w:p w14:paraId="78FA9578">
      <w:pPr>
        <w:adjustRightInd w:val="0"/>
        <w:snapToGrid w:val="0"/>
        <w:spacing w:line="288" w:lineRule="auto"/>
        <w:ind w:firstLine="1040"/>
        <w:rPr>
          <w:rFonts w:hint="eastAsia" w:ascii="仿宋_GB2312" w:eastAsia="仿宋_GB2312"/>
          <w:color w:val="auto"/>
          <w:sz w:val="36"/>
          <w:szCs w:val="36"/>
        </w:rPr>
      </w:pPr>
    </w:p>
    <w:bookmarkEnd w:id="0"/>
    <w:p w14:paraId="1D941481">
      <w:pPr>
        <w:adjustRightInd w:val="0"/>
        <w:snapToGrid w:val="0"/>
        <w:spacing w:line="288" w:lineRule="auto"/>
        <w:jc w:val="center"/>
        <w:rPr>
          <w:rFonts w:hint="eastAsia" w:ascii="楷体_GB2312" w:eastAsia="楷体_GB2312"/>
          <w:color w:val="auto"/>
          <w:sz w:val="36"/>
          <w:szCs w:val="36"/>
        </w:rPr>
      </w:pPr>
      <w:r>
        <w:rPr>
          <w:rFonts w:hint="eastAsia" w:ascii="楷体_GB2312" w:eastAsia="楷体_GB2312"/>
          <w:color w:val="auto"/>
          <w:sz w:val="36"/>
          <w:szCs w:val="36"/>
        </w:rPr>
        <w:t>中华人民共和国生态环境部制</w:t>
      </w:r>
    </w:p>
    <w:p w14:paraId="2338AC60">
      <w:pPr>
        <w:adjustRightInd w:val="0"/>
        <w:snapToGrid w:val="0"/>
        <w:spacing w:line="288" w:lineRule="auto"/>
        <w:ind w:firstLine="1040"/>
        <w:rPr>
          <w:rFonts w:ascii="仿宋_GB2312" w:eastAsia="仿宋_GB2312"/>
          <w:color w:val="auto"/>
          <w:sz w:val="36"/>
          <w:szCs w:val="36"/>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3570CAC3">
      <w:pPr>
        <w:pStyle w:val="25"/>
        <w:jc w:val="center"/>
        <w:outlineLvl w:val="0"/>
        <w:rPr>
          <w:rFonts w:hint="eastAsia" w:ascii="黑体" w:hAnsi="黑体" w:eastAsia="黑体"/>
          <w:snapToGrid w:val="0"/>
          <w:color w:val="auto"/>
          <w:sz w:val="30"/>
          <w:szCs w:val="30"/>
        </w:rPr>
      </w:pPr>
      <w:r>
        <w:rPr>
          <w:rFonts w:hint="eastAsia" w:ascii="黑体" w:hAnsi="黑体" w:eastAsia="黑体"/>
          <w:snapToGrid w:val="0"/>
          <w:color w:val="auto"/>
          <w:sz w:val="30"/>
          <w:szCs w:val="30"/>
        </w:rPr>
        <w:t>一、建设项目基本情况</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846"/>
        <w:gridCol w:w="846"/>
        <w:gridCol w:w="2150"/>
        <w:gridCol w:w="1675"/>
        <w:gridCol w:w="3353"/>
      </w:tblGrid>
      <w:tr w14:paraId="2BE7F6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92" w:type="dxa"/>
            <w:gridSpan w:val="2"/>
            <w:noWrap w:val="0"/>
            <w:tcMar>
              <w:top w:w="16" w:type="dxa"/>
              <w:left w:w="16" w:type="dxa"/>
              <w:right w:w="16" w:type="dxa"/>
            </w:tcMar>
            <w:vAlign w:val="center"/>
          </w:tcPr>
          <w:p w14:paraId="2640A706">
            <w:pPr>
              <w:adjustRightInd w:val="0"/>
              <w:snapToGrid w:val="0"/>
              <w:jc w:val="center"/>
              <w:rPr>
                <w:rFonts w:ascii="宋体" w:hAnsi="宋体" w:cs="宋体"/>
                <w:color w:val="auto"/>
                <w:szCs w:val="21"/>
              </w:rPr>
            </w:pPr>
            <w:r>
              <w:rPr>
                <w:rFonts w:hint="eastAsia" w:ascii="宋体" w:hAnsi="宋体" w:cs="宋体"/>
                <w:color w:val="auto"/>
                <w:szCs w:val="21"/>
              </w:rPr>
              <w:t>建设项目名称</w:t>
            </w:r>
          </w:p>
        </w:tc>
        <w:tc>
          <w:tcPr>
            <w:tcW w:w="7178" w:type="dxa"/>
            <w:gridSpan w:val="3"/>
            <w:noWrap w:val="0"/>
            <w:vAlign w:val="center"/>
          </w:tcPr>
          <w:p w14:paraId="36E84D46">
            <w:pPr>
              <w:adjustRightInd w:val="0"/>
              <w:snapToGrid w:val="0"/>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遂宁市安居区政宇年产10万辆新能源电动车项目</w:t>
            </w:r>
          </w:p>
        </w:tc>
      </w:tr>
      <w:tr w14:paraId="1A842A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92" w:type="dxa"/>
            <w:gridSpan w:val="2"/>
            <w:noWrap w:val="0"/>
            <w:tcMar>
              <w:top w:w="16" w:type="dxa"/>
              <w:left w:w="16" w:type="dxa"/>
              <w:right w:w="16" w:type="dxa"/>
            </w:tcMar>
            <w:vAlign w:val="center"/>
          </w:tcPr>
          <w:p w14:paraId="767565E9">
            <w:pPr>
              <w:adjustRightInd w:val="0"/>
              <w:snapToGrid w:val="0"/>
              <w:jc w:val="center"/>
              <w:rPr>
                <w:rFonts w:ascii="宋体" w:hAnsi="宋体" w:cs="宋体"/>
                <w:color w:val="auto"/>
                <w:szCs w:val="21"/>
              </w:rPr>
            </w:pPr>
            <w:r>
              <w:rPr>
                <w:rFonts w:hint="eastAsia" w:ascii="宋体" w:hAnsi="宋体" w:cs="宋体"/>
                <w:color w:val="auto"/>
                <w:szCs w:val="21"/>
              </w:rPr>
              <w:t>项目代码</w:t>
            </w:r>
          </w:p>
        </w:tc>
        <w:tc>
          <w:tcPr>
            <w:tcW w:w="7178" w:type="dxa"/>
            <w:gridSpan w:val="3"/>
            <w:noWrap w:val="0"/>
            <w:vAlign w:val="center"/>
          </w:tcPr>
          <w:p w14:paraId="418D611F">
            <w:pPr>
              <w:adjustRightInd w:val="0"/>
              <w:snapToGrid w:val="0"/>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2410-510904-04-01-105379</w:t>
            </w:r>
          </w:p>
        </w:tc>
      </w:tr>
      <w:tr w14:paraId="73A928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92" w:type="dxa"/>
            <w:gridSpan w:val="2"/>
            <w:noWrap w:val="0"/>
            <w:tcMar>
              <w:top w:w="16" w:type="dxa"/>
              <w:left w:w="16" w:type="dxa"/>
              <w:right w:w="16" w:type="dxa"/>
            </w:tcMar>
            <w:vAlign w:val="center"/>
          </w:tcPr>
          <w:p w14:paraId="5EC54887">
            <w:pPr>
              <w:adjustRightInd w:val="0"/>
              <w:snapToGrid w:val="0"/>
              <w:jc w:val="center"/>
              <w:rPr>
                <w:rFonts w:hint="eastAsia" w:ascii="宋体" w:hAnsi="宋体" w:cs="宋体"/>
                <w:color w:val="auto"/>
                <w:szCs w:val="21"/>
              </w:rPr>
            </w:pPr>
            <w:r>
              <w:rPr>
                <w:rFonts w:hint="eastAsia" w:ascii="宋体" w:hAnsi="宋体" w:cs="宋体"/>
                <w:color w:val="auto"/>
                <w:szCs w:val="21"/>
              </w:rPr>
              <w:t>建设单位联系人</w:t>
            </w:r>
          </w:p>
        </w:tc>
        <w:tc>
          <w:tcPr>
            <w:tcW w:w="2150" w:type="dxa"/>
            <w:noWrap w:val="0"/>
            <w:vAlign w:val="center"/>
          </w:tcPr>
          <w:p w14:paraId="24F91025">
            <w:pPr>
              <w:adjustRightInd w:val="0"/>
              <w:snapToGrid w:val="0"/>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唐辉</w:t>
            </w:r>
          </w:p>
        </w:tc>
        <w:tc>
          <w:tcPr>
            <w:tcW w:w="1675" w:type="dxa"/>
            <w:noWrap w:val="0"/>
            <w:vAlign w:val="center"/>
          </w:tcPr>
          <w:p w14:paraId="7437C5E3">
            <w:pPr>
              <w:adjustRightInd w:val="0"/>
              <w:snapToGrid w:val="0"/>
              <w:jc w:val="center"/>
              <w:rPr>
                <w:rFonts w:hint="eastAsia" w:ascii="宋体" w:hAnsi="宋体" w:cs="宋体"/>
                <w:color w:val="auto"/>
                <w:szCs w:val="21"/>
                <w:lang w:val="en-US" w:eastAsia="zh-CN"/>
              </w:rPr>
            </w:pPr>
            <w:r>
              <w:rPr>
                <w:rFonts w:hint="eastAsia" w:ascii="宋体" w:hAnsi="宋体" w:cs="宋体"/>
                <w:color w:val="auto"/>
                <w:szCs w:val="21"/>
                <w:lang w:val="en-US" w:eastAsia="zh-CN"/>
              </w:rPr>
              <w:t>联系方式</w:t>
            </w:r>
          </w:p>
        </w:tc>
        <w:tc>
          <w:tcPr>
            <w:tcW w:w="3353" w:type="dxa"/>
            <w:noWrap w:val="0"/>
            <w:vAlign w:val="center"/>
          </w:tcPr>
          <w:p w14:paraId="65C74E45">
            <w:pPr>
              <w:adjustRightInd w:val="0"/>
              <w:snapToGrid w:val="0"/>
              <w:jc w:val="center"/>
              <w:rPr>
                <w:rFonts w:hint="default" w:ascii="宋体" w:hAnsi="宋体" w:cs="宋体"/>
                <w:color w:val="auto"/>
                <w:szCs w:val="21"/>
                <w:lang w:val="en-US" w:eastAsia="zh-CN"/>
              </w:rPr>
            </w:pPr>
            <w:r>
              <w:rPr>
                <w:rFonts w:hint="eastAsia" w:ascii="宋体" w:hAnsi="宋体" w:cs="宋体"/>
                <w:color w:val="auto"/>
                <w:szCs w:val="21"/>
                <w:lang w:val="en-US" w:eastAsia="zh-CN"/>
              </w:rPr>
              <w:t>18882586470</w:t>
            </w:r>
          </w:p>
        </w:tc>
      </w:tr>
      <w:tr w14:paraId="696E77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92" w:type="dxa"/>
            <w:gridSpan w:val="2"/>
            <w:noWrap w:val="0"/>
            <w:tcMar>
              <w:top w:w="16" w:type="dxa"/>
              <w:left w:w="16" w:type="dxa"/>
              <w:right w:w="16" w:type="dxa"/>
            </w:tcMar>
            <w:vAlign w:val="center"/>
          </w:tcPr>
          <w:p w14:paraId="072DC0CF">
            <w:pPr>
              <w:adjustRightInd w:val="0"/>
              <w:snapToGrid w:val="0"/>
              <w:jc w:val="center"/>
              <w:rPr>
                <w:rFonts w:ascii="宋体" w:hAnsi="宋体" w:cs="宋体"/>
                <w:color w:val="auto"/>
                <w:szCs w:val="21"/>
              </w:rPr>
            </w:pPr>
            <w:r>
              <w:rPr>
                <w:rFonts w:hint="eastAsia" w:ascii="宋体" w:hAnsi="宋体" w:cs="宋体"/>
                <w:color w:val="auto"/>
                <w:szCs w:val="21"/>
              </w:rPr>
              <w:t>建设地点</w:t>
            </w:r>
          </w:p>
        </w:tc>
        <w:tc>
          <w:tcPr>
            <w:tcW w:w="7178" w:type="dxa"/>
            <w:gridSpan w:val="3"/>
            <w:noWrap w:val="0"/>
            <w:vAlign w:val="center"/>
          </w:tcPr>
          <w:p w14:paraId="09F8E7F8">
            <w:pPr>
              <w:adjustRightInd w:val="0"/>
              <w:snapToGrid w:val="0"/>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四川省遂宁市安居区潮新路 8 号</w:t>
            </w:r>
          </w:p>
        </w:tc>
      </w:tr>
      <w:tr w14:paraId="514343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92" w:type="dxa"/>
            <w:gridSpan w:val="2"/>
            <w:noWrap w:val="0"/>
            <w:tcMar>
              <w:top w:w="16" w:type="dxa"/>
              <w:left w:w="16" w:type="dxa"/>
              <w:right w:w="16" w:type="dxa"/>
            </w:tcMar>
            <w:vAlign w:val="center"/>
          </w:tcPr>
          <w:p w14:paraId="7DB20F69">
            <w:pPr>
              <w:adjustRightInd w:val="0"/>
              <w:snapToGrid w:val="0"/>
              <w:jc w:val="center"/>
              <w:rPr>
                <w:rFonts w:ascii="宋体" w:hAnsi="宋体" w:cs="宋体"/>
                <w:color w:val="auto"/>
                <w:szCs w:val="21"/>
              </w:rPr>
            </w:pPr>
            <w:r>
              <w:rPr>
                <w:rFonts w:hint="eastAsia" w:ascii="宋体" w:hAnsi="宋体" w:cs="宋体"/>
                <w:color w:val="auto"/>
                <w:szCs w:val="21"/>
              </w:rPr>
              <w:t>地理坐标</w:t>
            </w:r>
          </w:p>
        </w:tc>
        <w:tc>
          <w:tcPr>
            <w:tcW w:w="7178" w:type="dxa"/>
            <w:gridSpan w:val="3"/>
            <w:noWrap w:val="0"/>
            <w:vAlign w:val="center"/>
          </w:tcPr>
          <w:p w14:paraId="0B332D35">
            <w:pPr>
              <w:jc w:val="center"/>
              <w:rPr>
                <w:rFonts w:hint="default" w:ascii="宋体" w:hAnsi="宋体" w:eastAsia="宋体" w:cs="宋体"/>
                <w:color w:val="auto"/>
                <w:szCs w:val="21"/>
                <w:lang w:val="en-US" w:eastAsia="zh-CN"/>
              </w:rPr>
            </w:pPr>
            <w:r>
              <w:rPr>
                <w:rFonts w:hint="eastAsia" w:ascii="宋体" w:hAnsi="宋体" w:cs="宋体"/>
                <w:color w:val="auto"/>
                <w:szCs w:val="21"/>
                <w:u w:val="none"/>
                <w:lang w:val="en-US" w:eastAsia="zh-CN"/>
              </w:rPr>
              <w:t>经度105°29′59.355″</w:t>
            </w:r>
            <w:r>
              <w:rPr>
                <w:rFonts w:hint="eastAsia" w:ascii="宋体" w:hAnsi="宋体" w:cs="宋体"/>
                <w:color w:val="auto"/>
                <w:szCs w:val="21"/>
                <w:u w:val="none"/>
              </w:rPr>
              <w:t>，</w:t>
            </w:r>
            <w:r>
              <w:rPr>
                <w:rFonts w:hint="eastAsia" w:ascii="宋体" w:hAnsi="宋体" w:cs="宋体"/>
                <w:color w:val="auto"/>
                <w:szCs w:val="21"/>
                <w:u w:val="none"/>
                <w:lang w:val="en-US" w:eastAsia="zh-CN"/>
              </w:rPr>
              <w:t>纬度30°21′41.868″</w:t>
            </w:r>
          </w:p>
        </w:tc>
      </w:tr>
      <w:tr w14:paraId="58DE62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692" w:type="dxa"/>
            <w:gridSpan w:val="2"/>
            <w:noWrap w:val="0"/>
            <w:tcMar>
              <w:top w:w="16" w:type="dxa"/>
              <w:left w:w="16" w:type="dxa"/>
              <w:right w:w="16" w:type="dxa"/>
            </w:tcMar>
            <w:vAlign w:val="center"/>
          </w:tcPr>
          <w:p w14:paraId="140D0D60">
            <w:pPr>
              <w:adjustRightInd w:val="0"/>
              <w:snapToGrid w:val="0"/>
              <w:jc w:val="center"/>
              <w:rPr>
                <w:rFonts w:hint="eastAsia" w:ascii="宋体" w:hAnsi="宋体" w:cs="宋体"/>
                <w:color w:val="auto"/>
                <w:szCs w:val="21"/>
              </w:rPr>
            </w:pPr>
            <w:r>
              <w:rPr>
                <w:rFonts w:hint="eastAsia" w:ascii="宋体" w:hAnsi="宋体" w:cs="宋体"/>
                <w:color w:val="auto"/>
                <w:szCs w:val="21"/>
              </w:rPr>
              <w:t>国民经济</w:t>
            </w:r>
          </w:p>
          <w:p w14:paraId="3601A6E5">
            <w:pPr>
              <w:adjustRightInd w:val="0"/>
              <w:snapToGrid w:val="0"/>
              <w:jc w:val="center"/>
              <w:rPr>
                <w:rFonts w:ascii="宋体" w:hAnsi="宋体" w:cs="宋体"/>
                <w:color w:val="auto"/>
                <w:szCs w:val="21"/>
              </w:rPr>
            </w:pPr>
            <w:r>
              <w:rPr>
                <w:rFonts w:hint="eastAsia" w:ascii="宋体" w:hAnsi="宋体" w:cs="宋体"/>
                <w:color w:val="auto"/>
                <w:szCs w:val="21"/>
              </w:rPr>
              <w:t>行业类别</w:t>
            </w:r>
          </w:p>
        </w:tc>
        <w:tc>
          <w:tcPr>
            <w:tcW w:w="2150" w:type="dxa"/>
            <w:noWrap w:val="0"/>
            <w:vAlign w:val="center"/>
          </w:tcPr>
          <w:p w14:paraId="6AD0C0B8">
            <w:pPr>
              <w:keepNext w:val="0"/>
              <w:keepLines w:val="0"/>
              <w:widowControl/>
              <w:suppressLineNumbers w:val="0"/>
              <w:jc w:val="left"/>
              <w:rPr>
                <w:rFonts w:hint="default" w:ascii="宋体" w:hAnsi="宋体" w:eastAsia="宋体" w:cs="宋体"/>
                <w:color w:val="auto"/>
                <w:szCs w:val="21"/>
                <w:lang w:val="en-US" w:eastAsia="zh-CN"/>
              </w:rPr>
            </w:pPr>
            <w:r>
              <w:rPr>
                <w:rFonts w:hint="eastAsia" w:ascii="宋体" w:hAnsi="宋体" w:cs="宋体"/>
                <w:color w:val="auto"/>
                <w:sz w:val="21"/>
                <w:szCs w:val="21"/>
                <w:lang w:val="en-US" w:eastAsia="zh-CN"/>
              </w:rPr>
              <w:t xml:space="preserve">C3751 </w:t>
            </w:r>
            <w:r>
              <w:rPr>
                <w:rFonts w:hint="eastAsia" w:ascii="华文宋体" w:hAnsi="华文宋体" w:eastAsia="华文宋体" w:cs="华文宋体"/>
                <w:color w:val="auto"/>
                <w:kern w:val="0"/>
                <w:sz w:val="21"/>
                <w:szCs w:val="21"/>
                <w:lang w:val="en-US" w:eastAsia="zh-CN" w:bidi="ar"/>
              </w:rPr>
              <w:t>摩托车整车制造</w:t>
            </w:r>
          </w:p>
        </w:tc>
        <w:tc>
          <w:tcPr>
            <w:tcW w:w="1675" w:type="dxa"/>
            <w:noWrap w:val="0"/>
            <w:vAlign w:val="center"/>
          </w:tcPr>
          <w:p w14:paraId="62150CEE">
            <w:pPr>
              <w:adjustRightInd w:val="0"/>
              <w:snapToGrid w:val="0"/>
              <w:jc w:val="center"/>
              <w:rPr>
                <w:rFonts w:ascii="宋体" w:hAnsi="宋体" w:cs="宋体"/>
                <w:color w:val="auto"/>
                <w:szCs w:val="21"/>
              </w:rPr>
            </w:pPr>
            <w:bookmarkStart w:id="1" w:name="_Hlk49843745"/>
            <w:r>
              <w:rPr>
                <w:rFonts w:hint="eastAsia" w:ascii="宋体" w:hAnsi="宋体" w:cs="宋体"/>
                <w:color w:val="auto"/>
                <w:szCs w:val="21"/>
              </w:rPr>
              <w:t>建设项目</w:t>
            </w:r>
          </w:p>
          <w:p w14:paraId="230A67E6">
            <w:pPr>
              <w:adjustRightInd w:val="0"/>
              <w:snapToGrid w:val="0"/>
              <w:jc w:val="center"/>
              <w:rPr>
                <w:rFonts w:ascii="宋体" w:hAnsi="宋体" w:cs="宋体"/>
                <w:color w:val="auto"/>
                <w:szCs w:val="21"/>
              </w:rPr>
            </w:pPr>
            <w:r>
              <w:rPr>
                <w:rFonts w:hint="eastAsia" w:ascii="宋体" w:hAnsi="宋体" w:cs="宋体"/>
                <w:color w:val="auto"/>
                <w:szCs w:val="21"/>
              </w:rPr>
              <w:t>行业类别</w:t>
            </w:r>
            <w:bookmarkEnd w:id="1"/>
          </w:p>
        </w:tc>
        <w:tc>
          <w:tcPr>
            <w:tcW w:w="3353" w:type="dxa"/>
            <w:noWrap w:val="0"/>
            <w:vAlign w:val="center"/>
          </w:tcPr>
          <w:p w14:paraId="0A303292">
            <w:pPr>
              <w:adjustRightInd w:val="0"/>
              <w:snapToGrid w:val="0"/>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75、摩托车制造375</w:t>
            </w:r>
          </w:p>
        </w:tc>
      </w:tr>
      <w:tr w14:paraId="25AAEE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692" w:type="dxa"/>
            <w:gridSpan w:val="2"/>
            <w:noWrap w:val="0"/>
            <w:tcMar>
              <w:top w:w="16" w:type="dxa"/>
              <w:left w:w="16" w:type="dxa"/>
              <w:right w:w="16" w:type="dxa"/>
            </w:tcMar>
            <w:vAlign w:val="center"/>
          </w:tcPr>
          <w:p w14:paraId="76F2C4A2">
            <w:pPr>
              <w:adjustRightInd w:val="0"/>
              <w:snapToGrid w:val="0"/>
              <w:jc w:val="center"/>
              <w:rPr>
                <w:rFonts w:ascii="宋体" w:hAnsi="宋体" w:cs="宋体"/>
                <w:color w:val="auto"/>
                <w:szCs w:val="21"/>
              </w:rPr>
            </w:pPr>
            <w:r>
              <w:rPr>
                <w:rFonts w:hint="eastAsia" w:ascii="宋体" w:hAnsi="宋体" w:cs="宋体"/>
                <w:color w:val="auto"/>
                <w:szCs w:val="21"/>
              </w:rPr>
              <w:t>建设性质</w:t>
            </w:r>
          </w:p>
        </w:tc>
        <w:tc>
          <w:tcPr>
            <w:tcW w:w="2150" w:type="dxa"/>
            <w:noWrap w:val="0"/>
            <w:vAlign w:val="center"/>
          </w:tcPr>
          <w:p w14:paraId="2CF5EC18">
            <w:pPr>
              <w:jc w:val="left"/>
              <w:rPr>
                <w:rFonts w:ascii="宋体" w:hAnsi="宋体" w:cs="宋体"/>
                <w:color w:val="auto"/>
                <w:szCs w:val="21"/>
              </w:rPr>
            </w:pPr>
            <w:r>
              <w:rPr>
                <w:rFonts w:hint="eastAsia" w:ascii="宋体" w:hAnsi="宋体" w:cs="宋体"/>
                <w:color w:val="auto"/>
                <w:szCs w:val="21"/>
                <w:lang w:eastAsia="zh-CN"/>
              </w:rPr>
              <w:t>☑</w:t>
            </w:r>
            <w:r>
              <w:rPr>
                <w:rFonts w:hint="eastAsia" w:ascii="宋体" w:hAnsi="宋体" w:cs="宋体"/>
                <w:color w:val="auto"/>
                <w:szCs w:val="21"/>
              </w:rPr>
              <w:t>新建（迁建）</w:t>
            </w:r>
          </w:p>
          <w:p w14:paraId="2CBDEE9A">
            <w:pPr>
              <w:jc w:val="left"/>
              <w:rPr>
                <w:rFonts w:hint="eastAsia" w:ascii="宋体" w:hAnsi="宋体" w:cs="宋体"/>
                <w:color w:val="auto"/>
                <w:szCs w:val="21"/>
              </w:rPr>
            </w:pPr>
            <w:r>
              <w:rPr>
                <w:rFonts w:hint="eastAsia" w:ascii="宋体" w:hAnsi="宋体" w:cs="宋体"/>
                <w:color w:val="auto"/>
                <w:szCs w:val="21"/>
                <w:lang w:eastAsia="zh-CN"/>
              </w:rPr>
              <w:t>□</w:t>
            </w:r>
            <w:r>
              <w:rPr>
                <w:rFonts w:hint="eastAsia" w:ascii="宋体" w:hAnsi="宋体" w:cs="宋体"/>
                <w:color w:val="auto"/>
                <w:szCs w:val="21"/>
              </w:rPr>
              <w:t>改建</w:t>
            </w:r>
          </w:p>
          <w:p w14:paraId="3703B514">
            <w:pPr>
              <w:jc w:val="left"/>
              <w:rPr>
                <w:rFonts w:hint="eastAsia" w:ascii="宋体" w:hAnsi="宋体" w:cs="宋体"/>
                <w:color w:val="auto"/>
                <w:szCs w:val="21"/>
              </w:rPr>
            </w:pPr>
            <w:r>
              <w:rPr>
                <w:rFonts w:hint="eastAsia" w:ascii="宋体" w:hAnsi="宋体" w:cs="宋体"/>
                <w:color w:val="auto"/>
                <w:szCs w:val="21"/>
                <w:lang w:eastAsia="zh-CN"/>
              </w:rPr>
              <w:t>□</w:t>
            </w:r>
            <w:r>
              <w:rPr>
                <w:rFonts w:hint="eastAsia" w:ascii="宋体" w:hAnsi="宋体" w:cs="宋体"/>
                <w:color w:val="auto"/>
                <w:szCs w:val="21"/>
              </w:rPr>
              <w:t>扩建</w:t>
            </w:r>
          </w:p>
          <w:p w14:paraId="1699DCDD">
            <w:pPr>
              <w:jc w:val="left"/>
              <w:rPr>
                <w:rFonts w:ascii="宋体" w:hAnsi="宋体" w:cs="宋体"/>
                <w:color w:val="auto"/>
                <w:szCs w:val="21"/>
              </w:rPr>
            </w:pPr>
            <w:r>
              <w:rPr>
                <w:rFonts w:hint="eastAsia" w:ascii="宋体" w:hAnsi="宋体" w:cs="宋体"/>
                <w:color w:val="auto"/>
                <w:szCs w:val="21"/>
                <w:lang w:eastAsia="zh-CN"/>
              </w:rPr>
              <w:t>□</w:t>
            </w:r>
            <w:r>
              <w:rPr>
                <w:rFonts w:hint="eastAsia" w:ascii="宋体" w:hAnsi="宋体" w:cs="宋体"/>
                <w:color w:val="auto"/>
                <w:szCs w:val="21"/>
              </w:rPr>
              <w:t>技术改造</w:t>
            </w:r>
          </w:p>
        </w:tc>
        <w:tc>
          <w:tcPr>
            <w:tcW w:w="1675" w:type="dxa"/>
            <w:noWrap w:val="0"/>
            <w:vAlign w:val="center"/>
          </w:tcPr>
          <w:p w14:paraId="3998CB3E">
            <w:pPr>
              <w:adjustRightInd w:val="0"/>
              <w:snapToGrid w:val="0"/>
              <w:jc w:val="center"/>
              <w:rPr>
                <w:rFonts w:hint="eastAsia" w:ascii="宋体" w:hAnsi="宋体" w:cs="宋体"/>
                <w:color w:val="auto"/>
                <w:szCs w:val="21"/>
              </w:rPr>
            </w:pPr>
            <w:r>
              <w:rPr>
                <w:rFonts w:hint="eastAsia" w:ascii="宋体" w:hAnsi="宋体" w:cs="宋体"/>
                <w:color w:val="auto"/>
                <w:szCs w:val="21"/>
              </w:rPr>
              <w:t>建设项目</w:t>
            </w:r>
          </w:p>
          <w:p w14:paraId="120BBB1A">
            <w:pPr>
              <w:adjustRightInd w:val="0"/>
              <w:snapToGrid w:val="0"/>
              <w:jc w:val="center"/>
              <w:rPr>
                <w:rFonts w:ascii="宋体" w:hAnsi="宋体" w:cs="宋体"/>
                <w:color w:val="auto"/>
                <w:szCs w:val="21"/>
              </w:rPr>
            </w:pPr>
            <w:r>
              <w:rPr>
                <w:rFonts w:hint="eastAsia" w:ascii="宋体" w:hAnsi="宋体" w:cs="宋体"/>
                <w:color w:val="auto"/>
                <w:szCs w:val="21"/>
              </w:rPr>
              <w:t>申报情形</w:t>
            </w:r>
          </w:p>
        </w:tc>
        <w:tc>
          <w:tcPr>
            <w:tcW w:w="3353" w:type="dxa"/>
            <w:noWrap w:val="0"/>
            <w:vAlign w:val="center"/>
          </w:tcPr>
          <w:p w14:paraId="4D4496C1">
            <w:pPr>
              <w:jc w:val="left"/>
              <w:rPr>
                <w:rFonts w:ascii="宋体" w:hAnsi="宋体" w:cs="宋体"/>
                <w:color w:val="auto"/>
                <w:szCs w:val="21"/>
              </w:rPr>
            </w:pPr>
            <w:r>
              <w:rPr>
                <w:rFonts w:hint="eastAsia" w:ascii="宋体" w:hAnsi="宋体" w:cs="宋体"/>
                <w:color w:val="auto"/>
                <w:szCs w:val="21"/>
                <w:lang w:eastAsia="zh-CN"/>
              </w:rPr>
              <w:t>☑</w:t>
            </w:r>
            <w:r>
              <w:rPr>
                <w:rFonts w:hint="eastAsia" w:ascii="宋体" w:hAnsi="宋体" w:cs="宋体"/>
                <w:color w:val="auto"/>
                <w:szCs w:val="21"/>
              </w:rPr>
              <w:t>首次申报项目</w:t>
            </w:r>
            <w:r>
              <w:rPr>
                <w:rFonts w:ascii="宋体" w:hAnsi="宋体" w:cs="宋体"/>
                <w:color w:val="auto"/>
                <w:szCs w:val="21"/>
              </w:rPr>
              <w:t xml:space="preserve">             </w:t>
            </w:r>
          </w:p>
          <w:p w14:paraId="4D26380A">
            <w:pPr>
              <w:jc w:val="left"/>
              <w:rPr>
                <w:rFonts w:ascii="宋体" w:hAnsi="宋体" w:cs="宋体"/>
                <w:color w:val="auto"/>
                <w:szCs w:val="21"/>
              </w:rPr>
            </w:pPr>
            <w:r>
              <w:rPr>
                <w:rFonts w:hint="eastAsia" w:ascii="宋体" w:hAnsi="宋体" w:cs="宋体"/>
                <w:color w:val="auto"/>
                <w:szCs w:val="21"/>
              </w:rPr>
              <w:t>□不予批准后再次申报项目</w:t>
            </w:r>
          </w:p>
          <w:p w14:paraId="77B884A1">
            <w:pPr>
              <w:jc w:val="left"/>
              <w:rPr>
                <w:rFonts w:ascii="宋体" w:hAnsi="宋体" w:cs="宋体"/>
                <w:color w:val="auto"/>
                <w:szCs w:val="21"/>
              </w:rPr>
            </w:pPr>
            <w:r>
              <w:rPr>
                <w:rFonts w:hint="eastAsia" w:ascii="宋体" w:hAnsi="宋体" w:cs="宋体"/>
                <w:color w:val="auto"/>
                <w:szCs w:val="21"/>
                <w:lang w:eastAsia="zh-CN"/>
              </w:rPr>
              <w:t>□</w:t>
            </w:r>
            <w:r>
              <w:rPr>
                <w:rFonts w:hint="eastAsia" w:ascii="宋体" w:hAnsi="宋体" w:cs="宋体"/>
                <w:color w:val="auto"/>
                <w:szCs w:val="21"/>
              </w:rPr>
              <w:t>超五年重新审核项目</w:t>
            </w:r>
            <w:r>
              <w:rPr>
                <w:rFonts w:ascii="宋体" w:hAnsi="宋体" w:cs="宋体"/>
                <w:color w:val="auto"/>
                <w:szCs w:val="21"/>
              </w:rPr>
              <w:t xml:space="preserve">     </w:t>
            </w:r>
          </w:p>
          <w:p w14:paraId="2570584F">
            <w:pPr>
              <w:jc w:val="left"/>
              <w:rPr>
                <w:rFonts w:ascii="宋体" w:hAnsi="宋体" w:cs="宋体"/>
                <w:color w:val="auto"/>
                <w:szCs w:val="21"/>
              </w:rPr>
            </w:pPr>
            <w:r>
              <w:rPr>
                <w:rFonts w:hint="eastAsia" w:ascii="宋体" w:hAnsi="宋体" w:cs="宋体"/>
                <w:color w:val="auto"/>
                <w:szCs w:val="21"/>
              </w:rPr>
              <w:t>□重大变动重新报批项目</w:t>
            </w:r>
          </w:p>
        </w:tc>
      </w:tr>
      <w:tr w14:paraId="527229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692" w:type="dxa"/>
            <w:gridSpan w:val="2"/>
            <w:noWrap w:val="0"/>
            <w:tcMar>
              <w:top w:w="16" w:type="dxa"/>
              <w:left w:w="16" w:type="dxa"/>
              <w:right w:w="16" w:type="dxa"/>
            </w:tcMar>
            <w:vAlign w:val="center"/>
          </w:tcPr>
          <w:p w14:paraId="48D24667">
            <w:pPr>
              <w:adjustRightInd w:val="0"/>
              <w:snapToGrid w:val="0"/>
              <w:jc w:val="center"/>
              <w:rPr>
                <w:rFonts w:hint="eastAsia" w:ascii="宋体" w:hAnsi="宋体" w:cs="宋体"/>
                <w:color w:val="auto"/>
                <w:szCs w:val="21"/>
              </w:rPr>
            </w:pPr>
            <w:r>
              <w:rPr>
                <w:rFonts w:hint="eastAsia" w:ascii="宋体" w:hAnsi="宋体" w:cs="宋体"/>
                <w:color w:val="auto"/>
                <w:szCs w:val="21"/>
              </w:rPr>
              <w:t>项目审批（核准</w:t>
            </w:r>
            <w:r>
              <w:rPr>
                <w:rFonts w:ascii="宋体" w:hAnsi="宋体" w:cs="宋体"/>
                <w:color w:val="auto"/>
                <w:szCs w:val="21"/>
              </w:rPr>
              <w:t>/</w:t>
            </w:r>
          </w:p>
          <w:p w14:paraId="566DC696">
            <w:pPr>
              <w:adjustRightInd w:val="0"/>
              <w:snapToGrid w:val="0"/>
              <w:jc w:val="center"/>
              <w:rPr>
                <w:rFonts w:ascii="宋体" w:hAnsi="宋体" w:cs="宋体"/>
                <w:color w:val="auto"/>
                <w:szCs w:val="21"/>
              </w:rPr>
            </w:pPr>
            <w:r>
              <w:rPr>
                <w:rFonts w:hint="eastAsia" w:ascii="宋体" w:hAnsi="宋体" w:cs="宋体"/>
                <w:color w:val="auto"/>
                <w:szCs w:val="21"/>
              </w:rPr>
              <w:t>备案）部门（选填）</w:t>
            </w:r>
          </w:p>
        </w:tc>
        <w:tc>
          <w:tcPr>
            <w:tcW w:w="2150" w:type="dxa"/>
            <w:noWrap w:val="0"/>
            <w:vAlign w:val="center"/>
          </w:tcPr>
          <w:p w14:paraId="32BFC09C">
            <w:pPr>
              <w:keepNext w:val="0"/>
              <w:keepLines w:val="0"/>
              <w:widowControl/>
              <w:suppressLineNumbers w:val="0"/>
              <w:jc w:val="center"/>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安居区发展和改革局</w:t>
            </w:r>
          </w:p>
        </w:tc>
        <w:tc>
          <w:tcPr>
            <w:tcW w:w="1675" w:type="dxa"/>
            <w:noWrap w:val="0"/>
            <w:vAlign w:val="center"/>
          </w:tcPr>
          <w:p w14:paraId="3A31AE78">
            <w:pPr>
              <w:adjustRightInd w:val="0"/>
              <w:snapToGrid w:val="0"/>
              <w:jc w:val="center"/>
              <w:rPr>
                <w:rFonts w:hint="eastAsia" w:ascii="宋体" w:hAnsi="宋体" w:cs="宋体"/>
                <w:color w:val="auto"/>
                <w:szCs w:val="21"/>
              </w:rPr>
            </w:pPr>
            <w:r>
              <w:rPr>
                <w:rFonts w:hint="eastAsia" w:ascii="宋体" w:hAnsi="宋体" w:cs="宋体"/>
                <w:color w:val="auto"/>
                <w:szCs w:val="21"/>
              </w:rPr>
              <w:t>项目审批（核准</w:t>
            </w:r>
            <w:r>
              <w:rPr>
                <w:rFonts w:ascii="宋体" w:hAnsi="宋体" w:cs="宋体"/>
                <w:color w:val="auto"/>
                <w:szCs w:val="21"/>
              </w:rPr>
              <w:t>/</w:t>
            </w:r>
          </w:p>
          <w:p w14:paraId="14F78EAF">
            <w:pPr>
              <w:adjustRightInd w:val="0"/>
              <w:snapToGrid w:val="0"/>
              <w:jc w:val="center"/>
              <w:rPr>
                <w:rFonts w:hint="eastAsia" w:ascii="宋体" w:hAnsi="宋体" w:cs="宋体"/>
                <w:color w:val="auto"/>
                <w:szCs w:val="21"/>
              </w:rPr>
            </w:pPr>
            <w:r>
              <w:rPr>
                <w:rFonts w:hint="eastAsia" w:ascii="宋体" w:hAnsi="宋体" w:cs="宋体"/>
                <w:color w:val="auto"/>
                <w:szCs w:val="21"/>
              </w:rPr>
              <w:t>备案）文号（选填）</w:t>
            </w:r>
          </w:p>
        </w:tc>
        <w:tc>
          <w:tcPr>
            <w:tcW w:w="3353" w:type="dxa"/>
            <w:noWrap w:val="0"/>
            <w:vAlign w:val="center"/>
          </w:tcPr>
          <w:p w14:paraId="1A82F5A0">
            <w:pPr>
              <w:adjustRightInd w:val="0"/>
              <w:snapToGrid w:val="0"/>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川投资备【2410-510904-04-01-105379】FGQB-0451 号</w:t>
            </w:r>
          </w:p>
        </w:tc>
      </w:tr>
      <w:tr w14:paraId="73EB14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92" w:type="dxa"/>
            <w:gridSpan w:val="2"/>
            <w:noWrap w:val="0"/>
            <w:tcMar>
              <w:top w:w="16" w:type="dxa"/>
              <w:left w:w="16" w:type="dxa"/>
              <w:right w:w="16" w:type="dxa"/>
            </w:tcMar>
            <w:vAlign w:val="center"/>
          </w:tcPr>
          <w:p w14:paraId="19B16445">
            <w:pPr>
              <w:adjustRightInd w:val="0"/>
              <w:snapToGrid w:val="0"/>
              <w:jc w:val="center"/>
              <w:rPr>
                <w:rFonts w:ascii="宋体" w:hAnsi="宋体" w:cs="宋体"/>
                <w:color w:val="auto"/>
                <w:szCs w:val="21"/>
              </w:rPr>
            </w:pPr>
            <w:r>
              <w:rPr>
                <w:rFonts w:hint="eastAsia" w:ascii="宋体" w:hAnsi="宋体" w:cs="宋体"/>
                <w:color w:val="auto"/>
                <w:szCs w:val="21"/>
              </w:rPr>
              <w:t>总投资（万元）</w:t>
            </w:r>
          </w:p>
        </w:tc>
        <w:tc>
          <w:tcPr>
            <w:tcW w:w="2150" w:type="dxa"/>
            <w:noWrap w:val="0"/>
            <w:vAlign w:val="center"/>
          </w:tcPr>
          <w:p w14:paraId="23D63C6C">
            <w:pPr>
              <w:adjustRightInd w:val="0"/>
              <w:snapToGrid w:val="0"/>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33000</w:t>
            </w:r>
          </w:p>
        </w:tc>
        <w:tc>
          <w:tcPr>
            <w:tcW w:w="1675" w:type="dxa"/>
            <w:noWrap w:val="0"/>
            <w:tcMar>
              <w:top w:w="16" w:type="dxa"/>
              <w:left w:w="16" w:type="dxa"/>
              <w:right w:w="16" w:type="dxa"/>
            </w:tcMar>
            <w:vAlign w:val="center"/>
          </w:tcPr>
          <w:p w14:paraId="77DC18AC">
            <w:pPr>
              <w:adjustRightInd w:val="0"/>
              <w:snapToGrid w:val="0"/>
              <w:jc w:val="center"/>
              <w:rPr>
                <w:rFonts w:ascii="宋体" w:hAnsi="宋体" w:cs="宋体"/>
                <w:color w:val="auto"/>
                <w:szCs w:val="21"/>
              </w:rPr>
            </w:pPr>
            <w:r>
              <w:rPr>
                <w:rFonts w:hint="eastAsia" w:ascii="宋体" w:hAnsi="宋体" w:cs="宋体"/>
                <w:color w:val="auto"/>
                <w:szCs w:val="21"/>
              </w:rPr>
              <w:t>环保投资（万元）</w:t>
            </w:r>
          </w:p>
        </w:tc>
        <w:tc>
          <w:tcPr>
            <w:tcW w:w="3353" w:type="dxa"/>
            <w:noWrap w:val="0"/>
            <w:vAlign w:val="center"/>
          </w:tcPr>
          <w:p w14:paraId="5B9357A1">
            <w:pPr>
              <w:adjustRightInd w:val="0"/>
              <w:snapToGrid w:val="0"/>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32</w:t>
            </w:r>
          </w:p>
        </w:tc>
      </w:tr>
      <w:tr w14:paraId="2D70AA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92" w:type="dxa"/>
            <w:gridSpan w:val="2"/>
            <w:noWrap w:val="0"/>
            <w:tcMar>
              <w:top w:w="16" w:type="dxa"/>
              <w:left w:w="16" w:type="dxa"/>
              <w:right w:w="16" w:type="dxa"/>
            </w:tcMar>
            <w:vAlign w:val="center"/>
          </w:tcPr>
          <w:p w14:paraId="55A7DE82">
            <w:pPr>
              <w:adjustRightInd w:val="0"/>
              <w:snapToGrid w:val="0"/>
              <w:jc w:val="center"/>
              <w:rPr>
                <w:rFonts w:ascii="宋体" w:hAnsi="宋体" w:cs="宋体"/>
                <w:color w:val="auto"/>
                <w:szCs w:val="21"/>
              </w:rPr>
            </w:pPr>
            <w:r>
              <w:rPr>
                <w:rFonts w:hint="eastAsia" w:ascii="宋体" w:hAnsi="宋体" w:cs="宋体"/>
                <w:color w:val="auto"/>
                <w:szCs w:val="21"/>
              </w:rPr>
              <w:t>环保投资占比（</w:t>
            </w:r>
            <w:r>
              <w:rPr>
                <w:rFonts w:ascii="宋体" w:hAnsi="宋体" w:cs="宋体"/>
                <w:color w:val="auto"/>
                <w:szCs w:val="21"/>
              </w:rPr>
              <w:t>%</w:t>
            </w:r>
            <w:r>
              <w:rPr>
                <w:rFonts w:hint="eastAsia" w:ascii="宋体" w:hAnsi="宋体" w:cs="宋体"/>
                <w:color w:val="auto"/>
                <w:szCs w:val="21"/>
              </w:rPr>
              <w:t>）</w:t>
            </w:r>
          </w:p>
        </w:tc>
        <w:tc>
          <w:tcPr>
            <w:tcW w:w="2150" w:type="dxa"/>
            <w:noWrap w:val="0"/>
            <w:vAlign w:val="center"/>
          </w:tcPr>
          <w:p w14:paraId="1BF0A7B3">
            <w:pPr>
              <w:adjustRightInd w:val="0"/>
              <w:snapToGrid w:val="0"/>
              <w:jc w:val="center"/>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0.</w:t>
            </w:r>
            <w:r>
              <w:rPr>
                <w:rFonts w:hint="eastAsia" w:ascii="宋体" w:hAnsi="宋体" w:cs="宋体"/>
                <w:color w:val="auto"/>
                <w:szCs w:val="21"/>
                <w:lang w:val="en-US" w:eastAsia="zh-CN"/>
              </w:rPr>
              <w:t>1</w:t>
            </w:r>
          </w:p>
        </w:tc>
        <w:tc>
          <w:tcPr>
            <w:tcW w:w="1675" w:type="dxa"/>
            <w:noWrap w:val="0"/>
            <w:tcMar>
              <w:top w:w="16" w:type="dxa"/>
              <w:left w:w="16" w:type="dxa"/>
              <w:right w:w="16" w:type="dxa"/>
            </w:tcMar>
            <w:vAlign w:val="center"/>
          </w:tcPr>
          <w:p w14:paraId="5046A991">
            <w:pPr>
              <w:adjustRightInd w:val="0"/>
              <w:snapToGrid w:val="0"/>
              <w:jc w:val="center"/>
              <w:rPr>
                <w:rFonts w:ascii="宋体" w:hAnsi="宋体" w:cs="宋体"/>
                <w:color w:val="auto"/>
                <w:szCs w:val="21"/>
              </w:rPr>
            </w:pPr>
            <w:r>
              <w:rPr>
                <w:rFonts w:hint="eastAsia" w:ascii="宋体" w:hAnsi="宋体" w:cs="宋体"/>
                <w:color w:val="auto"/>
                <w:szCs w:val="21"/>
              </w:rPr>
              <w:t>施工工期</w:t>
            </w:r>
          </w:p>
        </w:tc>
        <w:tc>
          <w:tcPr>
            <w:tcW w:w="3353" w:type="dxa"/>
            <w:noWrap w:val="0"/>
            <w:vAlign w:val="center"/>
          </w:tcPr>
          <w:p w14:paraId="345A4594">
            <w:pPr>
              <w:adjustRightInd w:val="0"/>
              <w:snapToGrid w:val="0"/>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12个月</w:t>
            </w:r>
          </w:p>
        </w:tc>
      </w:tr>
      <w:tr w14:paraId="209584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92" w:type="dxa"/>
            <w:gridSpan w:val="2"/>
            <w:noWrap w:val="0"/>
            <w:tcMar>
              <w:top w:w="16" w:type="dxa"/>
              <w:left w:w="16" w:type="dxa"/>
              <w:right w:w="16" w:type="dxa"/>
            </w:tcMar>
            <w:vAlign w:val="center"/>
          </w:tcPr>
          <w:p w14:paraId="62832C8C">
            <w:pPr>
              <w:adjustRightInd w:val="0"/>
              <w:snapToGrid w:val="0"/>
              <w:jc w:val="center"/>
              <w:rPr>
                <w:rFonts w:hint="eastAsia" w:ascii="宋体" w:hAnsi="宋体" w:cs="宋体"/>
                <w:color w:val="auto"/>
                <w:szCs w:val="21"/>
              </w:rPr>
            </w:pPr>
            <w:r>
              <w:rPr>
                <w:rFonts w:hint="eastAsia" w:ascii="宋体" w:hAnsi="宋体" w:cs="宋体"/>
                <w:color w:val="auto"/>
                <w:szCs w:val="21"/>
              </w:rPr>
              <w:t>是否开工建设</w:t>
            </w:r>
          </w:p>
        </w:tc>
        <w:tc>
          <w:tcPr>
            <w:tcW w:w="2150" w:type="dxa"/>
            <w:noWrap w:val="0"/>
            <w:vAlign w:val="center"/>
          </w:tcPr>
          <w:p w14:paraId="007DB83D">
            <w:pPr>
              <w:adjustRightInd w:val="0"/>
              <w:snapToGrid w:val="0"/>
              <w:rPr>
                <w:rFonts w:ascii="宋体" w:hAnsi="宋体" w:cs="宋体"/>
                <w:color w:val="auto"/>
                <w:szCs w:val="21"/>
              </w:rPr>
            </w:pPr>
            <w:r>
              <w:rPr>
                <w:rFonts w:hint="eastAsia" w:ascii="宋体" w:hAnsi="宋体" w:cs="宋体"/>
                <w:color w:val="auto"/>
                <w:szCs w:val="21"/>
                <w:lang w:eastAsia="zh-CN"/>
              </w:rPr>
              <w:t>☑</w:t>
            </w:r>
            <w:r>
              <w:rPr>
                <w:rFonts w:hint="eastAsia" w:ascii="宋体" w:hAnsi="宋体" w:cs="宋体"/>
                <w:color w:val="auto"/>
                <w:szCs w:val="21"/>
              </w:rPr>
              <w:t>否</w:t>
            </w:r>
          </w:p>
          <w:p w14:paraId="36BE5A9D">
            <w:pPr>
              <w:adjustRightInd w:val="0"/>
              <w:snapToGrid w:val="0"/>
              <w:rPr>
                <w:rFonts w:ascii="宋体" w:hAnsi="宋体" w:cs="宋体"/>
                <w:color w:val="auto"/>
                <w:szCs w:val="21"/>
              </w:rPr>
            </w:pPr>
            <w:r>
              <w:rPr>
                <w:rFonts w:hint="eastAsia" w:ascii="宋体" w:hAnsi="宋体" w:cs="宋体"/>
                <w:color w:val="auto"/>
                <w:szCs w:val="21"/>
                <w:lang w:eastAsia="zh-CN"/>
              </w:rPr>
              <w:t>□</w:t>
            </w:r>
            <w:r>
              <w:rPr>
                <w:rFonts w:hint="eastAsia" w:ascii="宋体" w:hAnsi="宋体" w:cs="宋体"/>
                <w:color w:val="auto"/>
                <w:szCs w:val="21"/>
              </w:rPr>
              <w:t>是：</w:t>
            </w:r>
            <w:r>
              <w:rPr>
                <w:rFonts w:hint="eastAsia" w:ascii="宋体" w:hAnsi="宋体" w:cs="宋体"/>
                <w:color w:val="auto"/>
                <w:szCs w:val="21"/>
                <w:u w:val="single"/>
              </w:rPr>
              <w:t xml:space="preserve">             </w:t>
            </w:r>
          </w:p>
        </w:tc>
        <w:tc>
          <w:tcPr>
            <w:tcW w:w="1675" w:type="dxa"/>
            <w:noWrap w:val="0"/>
            <w:tcMar>
              <w:top w:w="16" w:type="dxa"/>
              <w:left w:w="16" w:type="dxa"/>
              <w:right w:w="16" w:type="dxa"/>
            </w:tcMar>
            <w:vAlign w:val="center"/>
          </w:tcPr>
          <w:p w14:paraId="5E06CEA3">
            <w:pPr>
              <w:adjustRightInd w:val="0"/>
              <w:snapToGrid w:val="0"/>
              <w:jc w:val="center"/>
              <w:rPr>
                <w:rFonts w:hint="eastAsia" w:ascii="宋体" w:hAnsi="宋体" w:cs="宋体"/>
                <w:color w:val="auto"/>
                <w:szCs w:val="21"/>
              </w:rPr>
            </w:pPr>
            <w:r>
              <w:rPr>
                <w:rFonts w:hint="eastAsia" w:ascii="宋体" w:hAnsi="宋体" w:cs="宋体"/>
                <w:color w:val="auto"/>
                <w:spacing w:val="-6"/>
                <w:szCs w:val="21"/>
              </w:rPr>
              <w:t>用地面积（</w:t>
            </w:r>
            <w:r>
              <w:rPr>
                <w:rFonts w:ascii="宋体" w:hAnsi="宋体" w:cs="宋体"/>
                <w:color w:val="auto"/>
                <w:spacing w:val="-6"/>
                <w:szCs w:val="21"/>
              </w:rPr>
              <w:t>m</w:t>
            </w:r>
            <w:r>
              <w:rPr>
                <w:rFonts w:ascii="宋体" w:hAnsi="宋体" w:cs="宋体"/>
                <w:color w:val="auto"/>
                <w:spacing w:val="-6"/>
                <w:szCs w:val="21"/>
                <w:vertAlign w:val="superscript"/>
              </w:rPr>
              <w:t>2</w:t>
            </w:r>
            <w:r>
              <w:rPr>
                <w:rFonts w:hint="eastAsia" w:ascii="宋体" w:hAnsi="宋体" w:cs="宋体"/>
                <w:color w:val="auto"/>
                <w:spacing w:val="-6"/>
                <w:szCs w:val="21"/>
              </w:rPr>
              <w:t>）</w:t>
            </w:r>
          </w:p>
        </w:tc>
        <w:tc>
          <w:tcPr>
            <w:tcW w:w="3353" w:type="dxa"/>
            <w:noWrap w:val="0"/>
            <w:vAlign w:val="center"/>
          </w:tcPr>
          <w:p w14:paraId="03D39A57">
            <w:pPr>
              <w:adjustRightInd w:val="0"/>
              <w:snapToGrid w:val="0"/>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33445.95</w:t>
            </w:r>
          </w:p>
        </w:tc>
      </w:tr>
      <w:tr w14:paraId="1A36AB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846" w:type="dxa"/>
            <w:noWrap w:val="0"/>
            <w:vAlign w:val="center"/>
          </w:tcPr>
          <w:p w14:paraId="016DF0F3">
            <w:pPr>
              <w:autoSpaceDE w:val="0"/>
              <w:autoSpaceDN w:val="0"/>
              <w:adjustRightInd w:val="0"/>
              <w:snapToGrid w:val="0"/>
              <w:jc w:val="center"/>
              <w:rPr>
                <w:rFonts w:ascii="宋体" w:hAnsi="宋体" w:cs="宋体"/>
                <w:color w:val="auto"/>
                <w:kern w:val="0"/>
                <w:szCs w:val="21"/>
              </w:rPr>
            </w:pPr>
            <w:r>
              <w:rPr>
                <w:rFonts w:hint="eastAsia" w:ascii="宋体" w:hAnsi="宋体" w:cs="宋体"/>
                <w:color w:val="auto"/>
                <w:kern w:val="0"/>
                <w:szCs w:val="21"/>
              </w:rPr>
              <w:t>专项评价设置情况</w:t>
            </w:r>
          </w:p>
        </w:tc>
        <w:tc>
          <w:tcPr>
            <w:tcW w:w="8024" w:type="dxa"/>
            <w:gridSpan w:val="4"/>
            <w:noWrap w:val="0"/>
            <w:vAlign w:val="center"/>
          </w:tcPr>
          <w:p w14:paraId="30598E8A">
            <w:pPr>
              <w:snapToGrid w:val="0"/>
              <w:spacing w:before="120" w:beforeLines="50"/>
              <w:jc w:val="center"/>
              <w:rPr>
                <w:b/>
                <w:color w:val="auto"/>
                <w:sz w:val="21"/>
                <w:szCs w:val="21"/>
              </w:rPr>
            </w:pPr>
            <w:r>
              <w:rPr>
                <w:b/>
                <w:color w:val="auto"/>
                <w:sz w:val="21"/>
                <w:szCs w:val="21"/>
              </w:rPr>
              <w:t>表</w:t>
            </w:r>
            <w:r>
              <w:rPr>
                <w:rFonts w:hint="eastAsia"/>
                <w:b/>
                <w:color w:val="auto"/>
                <w:sz w:val="21"/>
                <w:szCs w:val="21"/>
              </w:rPr>
              <w:t>1-</w:t>
            </w:r>
            <w:r>
              <w:rPr>
                <w:b/>
                <w:color w:val="auto"/>
                <w:sz w:val="21"/>
                <w:szCs w:val="21"/>
              </w:rPr>
              <w:t xml:space="preserve">1   </w:t>
            </w:r>
            <w:r>
              <w:rPr>
                <w:rFonts w:hint="eastAsia"/>
                <w:b/>
                <w:color w:val="auto"/>
                <w:sz w:val="21"/>
                <w:szCs w:val="21"/>
              </w:rPr>
              <w:t>项目专项设置情况判定</w:t>
            </w:r>
          </w:p>
          <w:tbl>
            <w:tblPr>
              <w:tblStyle w:val="30"/>
              <w:tblW w:w="4997"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997"/>
              <w:gridCol w:w="2991"/>
              <w:gridCol w:w="2708"/>
              <w:gridCol w:w="1087"/>
            </w:tblGrid>
            <w:tr w14:paraId="1CF5A6F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194" w:hRule="atLeast"/>
                <w:jc w:val="center"/>
              </w:trPr>
              <w:tc>
                <w:tcPr>
                  <w:tcW w:w="641" w:type="pct"/>
                  <w:tcBorders>
                    <w:top w:val="single" w:color="auto" w:sz="8" w:space="0"/>
                    <w:bottom w:val="single" w:color="auto" w:sz="6" w:space="0"/>
                  </w:tcBorders>
                  <w:shd w:val="clear" w:color="auto" w:fill="FFFFFF"/>
                  <w:noWrap w:val="0"/>
                  <w:tcMar>
                    <w:left w:w="0" w:type="dxa"/>
                    <w:right w:w="0" w:type="dxa"/>
                  </w:tcMar>
                  <w:vAlign w:val="center"/>
                </w:tcPr>
                <w:p w14:paraId="2F79CAF1">
                  <w:pPr>
                    <w:pStyle w:val="59"/>
                    <w:kinsoku w:val="0"/>
                    <w:overflowPunct w:val="0"/>
                    <w:snapToGrid w:val="0"/>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专项评价类型</w:t>
                  </w:r>
                </w:p>
              </w:tc>
              <w:tc>
                <w:tcPr>
                  <w:tcW w:w="1920" w:type="pct"/>
                  <w:tcBorders>
                    <w:top w:val="single" w:color="auto" w:sz="8" w:space="0"/>
                    <w:bottom w:val="single" w:color="auto" w:sz="6" w:space="0"/>
                  </w:tcBorders>
                  <w:shd w:val="clear" w:color="auto" w:fill="FFFFFF"/>
                  <w:noWrap w:val="0"/>
                  <w:tcMar>
                    <w:left w:w="0" w:type="dxa"/>
                    <w:right w:w="0" w:type="dxa"/>
                  </w:tcMar>
                  <w:vAlign w:val="center"/>
                </w:tcPr>
                <w:p w14:paraId="3F714C2D">
                  <w:pPr>
                    <w:pStyle w:val="59"/>
                    <w:kinsoku w:val="0"/>
                    <w:overflowPunct w:val="0"/>
                    <w:snapToGrid w:val="0"/>
                    <w:ind w:right="139"/>
                    <w:jc w:val="center"/>
                    <w:rPr>
                      <w:rFonts w:ascii="Times New Roman" w:hAnsi="Times New Roman" w:cs="Times New Roman"/>
                      <w:b/>
                      <w:bCs/>
                      <w:color w:val="auto"/>
                      <w:spacing w:val="-1"/>
                      <w:sz w:val="18"/>
                      <w:szCs w:val="18"/>
                    </w:rPr>
                  </w:pPr>
                  <w:r>
                    <w:rPr>
                      <w:rFonts w:ascii="Times New Roman" w:hAnsi="Times New Roman" w:cs="Times New Roman"/>
                      <w:b/>
                      <w:bCs/>
                      <w:color w:val="auto"/>
                      <w:spacing w:val="-1"/>
                      <w:sz w:val="18"/>
                      <w:szCs w:val="18"/>
                    </w:rPr>
                    <w:t>设置原则</w:t>
                  </w:r>
                </w:p>
              </w:tc>
              <w:tc>
                <w:tcPr>
                  <w:tcW w:w="1739" w:type="pct"/>
                  <w:tcBorders>
                    <w:top w:val="single" w:color="auto" w:sz="8" w:space="0"/>
                    <w:bottom w:val="single" w:color="auto" w:sz="6" w:space="0"/>
                  </w:tcBorders>
                  <w:shd w:val="clear" w:color="auto" w:fill="FFFFFF"/>
                  <w:noWrap w:val="0"/>
                  <w:tcMar>
                    <w:left w:w="0" w:type="dxa"/>
                    <w:right w:w="0" w:type="dxa"/>
                  </w:tcMar>
                  <w:vAlign w:val="center"/>
                </w:tcPr>
                <w:p w14:paraId="1B9D5B89">
                  <w:pPr>
                    <w:pStyle w:val="59"/>
                    <w:kinsoku w:val="0"/>
                    <w:overflowPunct w:val="0"/>
                    <w:snapToGrid w:val="0"/>
                    <w:jc w:val="center"/>
                    <w:rPr>
                      <w:rFonts w:hint="default" w:ascii="Times New Roman" w:hAnsi="Times New Roman" w:eastAsia="宋体" w:cs="Times New Roman"/>
                      <w:b/>
                      <w:bCs/>
                      <w:color w:val="auto"/>
                      <w:spacing w:val="-1"/>
                      <w:sz w:val="18"/>
                      <w:szCs w:val="18"/>
                      <w:lang w:val="en-US" w:eastAsia="zh-CN"/>
                    </w:rPr>
                  </w:pPr>
                  <w:r>
                    <w:rPr>
                      <w:rFonts w:hint="eastAsia" w:ascii="Times New Roman" w:hAnsi="Times New Roman" w:cs="Times New Roman"/>
                      <w:b/>
                      <w:bCs/>
                      <w:color w:val="auto"/>
                      <w:spacing w:val="-1"/>
                      <w:sz w:val="18"/>
                      <w:szCs w:val="18"/>
                      <w:lang w:val="en-US" w:eastAsia="zh-CN"/>
                    </w:rPr>
                    <w:t>本项目情况</w:t>
                  </w:r>
                </w:p>
              </w:tc>
              <w:tc>
                <w:tcPr>
                  <w:tcW w:w="698" w:type="pct"/>
                  <w:tcBorders>
                    <w:top w:val="single" w:color="auto" w:sz="8" w:space="0"/>
                    <w:bottom w:val="single" w:color="auto" w:sz="6" w:space="0"/>
                  </w:tcBorders>
                  <w:shd w:val="clear" w:color="auto" w:fill="FFFFFF"/>
                  <w:noWrap w:val="0"/>
                  <w:tcMar>
                    <w:left w:w="0" w:type="dxa"/>
                    <w:right w:w="0" w:type="dxa"/>
                  </w:tcMar>
                  <w:vAlign w:val="center"/>
                </w:tcPr>
                <w:p w14:paraId="2634772B">
                  <w:pPr>
                    <w:pStyle w:val="59"/>
                    <w:kinsoku w:val="0"/>
                    <w:overflowPunct w:val="0"/>
                    <w:snapToGrid w:val="0"/>
                    <w:jc w:val="center"/>
                    <w:rPr>
                      <w:rFonts w:ascii="Times New Roman" w:hAnsi="Times New Roman" w:cs="Times New Roman"/>
                      <w:b/>
                      <w:bCs/>
                      <w:color w:val="auto"/>
                      <w:spacing w:val="-1"/>
                      <w:sz w:val="18"/>
                      <w:szCs w:val="18"/>
                    </w:rPr>
                  </w:pPr>
                  <w:r>
                    <w:rPr>
                      <w:rFonts w:hint="eastAsia" w:ascii="Times New Roman" w:hAnsi="Times New Roman" w:eastAsia="宋体" w:cs="Times New Roman"/>
                      <w:b/>
                      <w:bCs/>
                      <w:color w:val="auto"/>
                      <w:sz w:val="18"/>
                      <w:szCs w:val="18"/>
                      <w:vertAlign w:val="baseline"/>
                      <w:lang w:val="en-US" w:eastAsia="zh-CN"/>
                    </w:rPr>
                    <w:t>是否设置专项评价</w:t>
                  </w:r>
                </w:p>
              </w:tc>
            </w:tr>
            <w:tr w14:paraId="7BEC40C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641" w:type="pct"/>
                  <w:tcBorders>
                    <w:top w:val="single" w:color="auto" w:sz="6" w:space="0"/>
                    <w:bottom w:val="single" w:color="auto" w:sz="6" w:space="0"/>
                  </w:tcBorders>
                  <w:noWrap w:val="0"/>
                  <w:tcMar>
                    <w:left w:w="0" w:type="dxa"/>
                    <w:right w:w="0" w:type="dxa"/>
                  </w:tcMar>
                  <w:vAlign w:val="center"/>
                </w:tcPr>
                <w:p w14:paraId="7DD8A904">
                  <w:pPr>
                    <w:widowControl/>
                    <w:jc w:val="center"/>
                    <w:rPr>
                      <w:rFonts w:ascii="宋体" w:hAnsi="宋体" w:cs="宋体"/>
                      <w:color w:val="auto"/>
                      <w:kern w:val="0"/>
                      <w:sz w:val="18"/>
                      <w:szCs w:val="18"/>
                    </w:rPr>
                  </w:pPr>
                  <w:r>
                    <w:rPr>
                      <w:rFonts w:ascii="宋体" w:hAnsi="宋体" w:cs="宋体"/>
                      <w:color w:val="auto"/>
                      <w:kern w:val="0"/>
                      <w:sz w:val="18"/>
                      <w:szCs w:val="18"/>
                    </w:rPr>
                    <w:t>大气</w:t>
                  </w:r>
                </w:p>
              </w:tc>
              <w:tc>
                <w:tcPr>
                  <w:tcW w:w="1920" w:type="pct"/>
                  <w:tcBorders>
                    <w:top w:val="single" w:color="auto" w:sz="6" w:space="0"/>
                    <w:bottom w:val="single" w:color="auto" w:sz="6" w:space="0"/>
                  </w:tcBorders>
                  <w:noWrap w:val="0"/>
                  <w:tcMar>
                    <w:left w:w="0" w:type="dxa"/>
                    <w:right w:w="0" w:type="dxa"/>
                  </w:tcMar>
                  <w:vAlign w:val="center"/>
                </w:tcPr>
                <w:p w14:paraId="0067F64E">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排放废气含有毒有害污染物</w:t>
                  </w:r>
                  <w:r>
                    <w:rPr>
                      <w:rFonts w:ascii="宋体" w:hAnsi="宋体" w:cs="宋体"/>
                      <w:color w:val="auto"/>
                      <w:kern w:val="0"/>
                      <w:sz w:val="18"/>
                      <w:szCs w:val="18"/>
                    </w:rPr>
                    <w:t>二噁英</w:t>
                  </w:r>
                  <w:r>
                    <w:rPr>
                      <w:rFonts w:hint="eastAsia" w:ascii="宋体" w:hAnsi="宋体" w:cs="宋体"/>
                      <w:color w:val="auto"/>
                      <w:kern w:val="0"/>
                      <w:sz w:val="18"/>
                      <w:szCs w:val="18"/>
                    </w:rPr>
                    <w:t>、BaP、氰化物、氯气且厂界外5</w:t>
                  </w:r>
                  <w:r>
                    <w:rPr>
                      <w:rFonts w:ascii="宋体" w:hAnsi="宋体" w:cs="宋体"/>
                      <w:color w:val="auto"/>
                      <w:kern w:val="0"/>
                      <w:sz w:val="18"/>
                      <w:szCs w:val="18"/>
                    </w:rPr>
                    <w:t>00米范围内有环境空气保护目标</w:t>
                  </w:r>
                  <w:r>
                    <w:rPr>
                      <w:rFonts w:hint="eastAsia" w:ascii="宋体" w:hAnsi="宋体" w:cs="宋体"/>
                      <w:color w:val="auto"/>
                      <w:kern w:val="0"/>
                      <w:sz w:val="18"/>
                      <w:szCs w:val="18"/>
                    </w:rPr>
                    <w:t>中的建设项目</w:t>
                  </w:r>
                </w:p>
              </w:tc>
              <w:tc>
                <w:tcPr>
                  <w:tcW w:w="1739" w:type="pct"/>
                  <w:tcBorders>
                    <w:top w:val="single" w:color="auto" w:sz="6" w:space="0"/>
                    <w:bottom w:val="single" w:color="auto" w:sz="6" w:space="0"/>
                  </w:tcBorders>
                  <w:noWrap w:val="0"/>
                  <w:tcMar>
                    <w:left w:w="0" w:type="dxa"/>
                    <w:right w:w="0" w:type="dxa"/>
                  </w:tcMar>
                  <w:vAlign w:val="center"/>
                </w:tcPr>
                <w:p w14:paraId="0E9D3321">
                  <w:pPr>
                    <w:widowControl/>
                    <w:jc w:val="center"/>
                    <w:rPr>
                      <w:rFonts w:hint="eastAsia" w:ascii="宋体" w:hAnsi="宋体" w:cs="宋体"/>
                      <w:color w:val="auto"/>
                      <w:kern w:val="0"/>
                      <w:sz w:val="18"/>
                      <w:szCs w:val="18"/>
                    </w:rPr>
                  </w:pPr>
                  <w:r>
                    <w:rPr>
                      <w:rFonts w:hint="eastAsia" w:ascii="Times New Roman" w:hAnsi="Times New Roman" w:eastAsia="宋体" w:cs="Times New Roman"/>
                      <w:b w:val="0"/>
                      <w:bCs w:val="0"/>
                      <w:color w:val="auto"/>
                      <w:sz w:val="18"/>
                      <w:szCs w:val="18"/>
                      <w:vertAlign w:val="baseline"/>
                      <w:lang w:val="en-US" w:eastAsia="zh-CN"/>
                    </w:rPr>
                    <w:t>本项目</w:t>
                  </w:r>
                  <w:r>
                    <w:rPr>
                      <w:rFonts w:hint="eastAsia" w:cs="Times New Roman"/>
                      <w:b w:val="0"/>
                      <w:bCs w:val="0"/>
                      <w:color w:val="auto"/>
                      <w:sz w:val="18"/>
                      <w:szCs w:val="18"/>
                      <w:vertAlign w:val="baseline"/>
                      <w:lang w:val="en-US" w:eastAsia="zh-CN"/>
                    </w:rPr>
                    <w:t>无</w:t>
                  </w:r>
                  <w:r>
                    <w:rPr>
                      <w:rFonts w:hint="eastAsia" w:ascii="Times New Roman" w:hAnsi="Times New Roman" w:eastAsia="宋体" w:cs="Times New Roman"/>
                      <w:b w:val="0"/>
                      <w:bCs w:val="0"/>
                      <w:color w:val="auto"/>
                      <w:sz w:val="18"/>
                      <w:szCs w:val="18"/>
                      <w:vertAlign w:val="baseline"/>
                      <w:lang w:val="en-US" w:eastAsia="zh-CN"/>
                    </w:rPr>
                    <w:t>废气排放，不涉及有毒有害污染物、二噁英、苯并芘、氰化物、氯气</w:t>
                  </w:r>
                </w:p>
              </w:tc>
              <w:tc>
                <w:tcPr>
                  <w:tcW w:w="698" w:type="pct"/>
                  <w:tcBorders>
                    <w:top w:val="single" w:color="auto" w:sz="6" w:space="0"/>
                    <w:bottom w:val="single" w:color="auto" w:sz="6" w:space="0"/>
                  </w:tcBorders>
                  <w:noWrap w:val="0"/>
                  <w:tcMar>
                    <w:left w:w="0" w:type="dxa"/>
                    <w:right w:w="0" w:type="dxa"/>
                  </w:tcMar>
                  <w:vAlign w:val="center"/>
                </w:tcPr>
                <w:p w14:paraId="354971EB">
                  <w:pPr>
                    <w:widowControl/>
                    <w:jc w:val="center"/>
                    <w:rPr>
                      <w:rFonts w:hint="eastAsia"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否</w:t>
                  </w:r>
                </w:p>
              </w:tc>
            </w:tr>
            <w:tr w14:paraId="0746606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641" w:type="pct"/>
                  <w:tcBorders>
                    <w:top w:val="single" w:color="auto" w:sz="6" w:space="0"/>
                    <w:bottom w:val="single" w:color="auto" w:sz="6" w:space="0"/>
                  </w:tcBorders>
                  <w:noWrap w:val="0"/>
                  <w:tcMar>
                    <w:left w:w="0" w:type="dxa"/>
                    <w:right w:w="0" w:type="dxa"/>
                  </w:tcMar>
                  <w:vAlign w:val="center"/>
                </w:tcPr>
                <w:p w14:paraId="2EFD4D65">
                  <w:pPr>
                    <w:widowControl/>
                    <w:jc w:val="center"/>
                    <w:rPr>
                      <w:rFonts w:ascii="宋体" w:hAnsi="宋体" w:cs="宋体"/>
                      <w:color w:val="auto"/>
                      <w:kern w:val="0"/>
                      <w:sz w:val="18"/>
                      <w:szCs w:val="18"/>
                    </w:rPr>
                  </w:pPr>
                  <w:r>
                    <w:rPr>
                      <w:rFonts w:ascii="宋体" w:hAnsi="宋体" w:cs="宋体"/>
                      <w:color w:val="auto"/>
                      <w:kern w:val="0"/>
                      <w:sz w:val="18"/>
                      <w:szCs w:val="18"/>
                    </w:rPr>
                    <w:t>地表水</w:t>
                  </w:r>
                </w:p>
              </w:tc>
              <w:tc>
                <w:tcPr>
                  <w:tcW w:w="1920" w:type="pct"/>
                  <w:tcBorders>
                    <w:top w:val="single" w:color="auto" w:sz="6" w:space="0"/>
                    <w:bottom w:val="single" w:color="auto" w:sz="6" w:space="0"/>
                  </w:tcBorders>
                  <w:noWrap w:val="0"/>
                  <w:tcMar>
                    <w:left w:w="0" w:type="dxa"/>
                    <w:right w:w="0" w:type="dxa"/>
                  </w:tcMar>
                  <w:vAlign w:val="center"/>
                </w:tcPr>
                <w:p w14:paraId="5935DB28">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新增工业废水直排建设项目（槽罐车外送污水处理厂的除外）；新增废水直排的污水集中处理厂</w:t>
                  </w:r>
                </w:p>
              </w:tc>
              <w:tc>
                <w:tcPr>
                  <w:tcW w:w="1739" w:type="pct"/>
                  <w:tcBorders>
                    <w:top w:val="single" w:color="auto" w:sz="6" w:space="0"/>
                    <w:bottom w:val="single" w:color="auto" w:sz="6" w:space="0"/>
                  </w:tcBorders>
                  <w:noWrap w:val="0"/>
                  <w:tcMar>
                    <w:left w:w="0" w:type="dxa"/>
                    <w:right w:w="0" w:type="dxa"/>
                  </w:tcMar>
                  <w:vAlign w:val="center"/>
                </w:tcPr>
                <w:p w14:paraId="72FDADBD">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项目</w:t>
                  </w:r>
                  <w:r>
                    <w:rPr>
                      <w:rFonts w:hint="eastAsia" w:ascii="宋体" w:hAnsi="宋体" w:cs="宋体"/>
                      <w:color w:val="auto"/>
                      <w:kern w:val="0"/>
                      <w:sz w:val="18"/>
                      <w:szCs w:val="18"/>
                      <w:lang w:val="en-US" w:eastAsia="zh-CN"/>
                    </w:rPr>
                    <w:t>外排</w:t>
                  </w:r>
                  <w:r>
                    <w:rPr>
                      <w:rFonts w:hint="eastAsia" w:ascii="宋体" w:hAnsi="宋体" w:cs="宋体"/>
                      <w:color w:val="auto"/>
                      <w:kern w:val="0"/>
                      <w:sz w:val="18"/>
                      <w:szCs w:val="18"/>
                    </w:rPr>
                    <w:t>废水</w:t>
                  </w:r>
                  <w:r>
                    <w:rPr>
                      <w:rFonts w:hint="eastAsia" w:ascii="宋体" w:hAnsi="宋体" w:cs="宋体"/>
                      <w:color w:val="auto"/>
                      <w:kern w:val="0"/>
                      <w:sz w:val="18"/>
                      <w:szCs w:val="18"/>
                      <w:lang w:val="en-US" w:eastAsia="zh-CN"/>
                    </w:rPr>
                    <w:t>处理后经污水管网进入龙眼井污水处理厂处理，为间接排放</w:t>
                  </w:r>
                </w:p>
              </w:tc>
              <w:tc>
                <w:tcPr>
                  <w:tcW w:w="698" w:type="pct"/>
                  <w:tcBorders>
                    <w:top w:val="single" w:color="auto" w:sz="6" w:space="0"/>
                    <w:bottom w:val="single" w:color="auto" w:sz="6" w:space="0"/>
                  </w:tcBorders>
                  <w:noWrap w:val="0"/>
                  <w:tcMar>
                    <w:left w:w="0" w:type="dxa"/>
                    <w:right w:w="0" w:type="dxa"/>
                  </w:tcMar>
                  <w:vAlign w:val="center"/>
                </w:tcPr>
                <w:p w14:paraId="29C16411">
                  <w:pPr>
                    <w:widowControl/>
                    <w:jc w:val="center"/>
                    <w:rPr>
                      <w:rFonts w:hint="eastAsia" w:ascii="宋体" w:hAnsi="宋体" w:cs="宋体"/>
                      <w:color w:val="auto"/>
                      <w:kern w:val="0"/>
                      <w:sz w:val="18"/>
                      <w:szCs w:val="18"/>
                    </w:rPr>
                  </w:pPr>
                  <w:r>
                    <w:rPr>
                      <w:rFonts w:hint="eastAsia" w:ascii="宋体" w:hAnsi="宋体" w:cs="宋体"/>
                      <w:color w:val="auto"/>
                      <w:kern w:val="0"/>
                      <w:sz w:val="18"/>
                      <w:szCs w:val="18"/>
                      <w:lang w:val="en-US" w:eastAsia="zh-CN"/>
                    </w:rPr>
                    <w:t>否</w:t>
                  </w:r>
                </w:p>
              </w:tc>
            </w:tr>
            <w:tr w14:paraId="5885D77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641" w:type="pct"/>
                  <w:tcBorders>
                    <w:top w:val="single" w:color="auto" w:sz="6" w:space="0"/>
                    <w:bottom w:val="single" w:color="auto" w:sz="6" w:space="0"/>
                  </w:tcBorders>
                  <w:noWrap w:val="0"/>
                  <w:tcMar>
                    <w:left w:w="0" w:type="dxa"/>
                    <w:right w:w="0" w:type="dxa"/>
                  </w:tcMar>
                  <w:vAlign w:val="center"/>
                </w:tcPr>
                <w:p w14:paraId="7E9E2D8D">
                  <w:pPr>
                    <w:widowControl/>
                    <w:jc w:val="center"/>
                    <w:rPr>
                      <w:rFonts w:ascii="宋体" w:hAnsi="宋体" w:cs="宋体"/>
                      <w:color w:val="auto"/>
                      <w:kern w:val="0"/>
                      <w:sz w:val="18"/>
                      <w:szCs w:val="18"/>
                    </w:rPr>
                  </w:pPr>
                  <w:r>
                    <w:rPr>
                      <w:rFonts w:ascii="宋体" w:hAnsi="宋体" w:cs="宋体"/>
                      <w:color w:val="auto"/>
                      <w:kern w:val="0"/>
                      <w:sz w:val="18"/>
                      <w:szCs w:val="18"/>
                    </w:rPr>
                    <w:t>环境风险</w:t>
                  </w:r>
                </w:p>
              </w:tc>
              <w:tc>
                <w:tcPr>
                  <w:tcW w:w="1920" w:type="pct"/>
                  <w:tcBorders>
                    <w:top w:val="single" w:color="auto" w:sz="6" w:space="0"/>
                    <w:bottom w:val="single" w:color="auto" w:sz="6" w:space="0"/>
                  </w:tcBorders>
                  <w:noWrap w:val="0"/>
                  <w:tcMar>
                    <w:left w:w="0" w:type="dxa"/>
                    <w:right w:w="0" w:type="dxa"/>
                  </w:tcMar>
                  <w:vAlign w:val="center"/>
                </w:tcPr>
                <w:p w14:paraId="0B5B48BF">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有毒有害和易燃易爆危险物质存储量超过临界量的建设项目</w:t>
                  </w:r>
                </w:p>
              </w:tc>
              <w:tc>
                <w:tcPr>
                  <w:tcW w:w="1739" w:type="pct"/>
                  <w:tcBorders>
                    <w:top w:val="single" w:color="auto" w:sz="6" w:space="0"/>
                    <w:bottom w:val="single" w:color="auto" w:sz="6" w:space="0"/>
                  </w:tcBorders>
                  <w:noWrap w:val="0"/>
                  <w:tcMar>
                    <w:left w:w="0" w:type="dxa"/>
                    <w:right w:w="0" w:type="dxa"/>
                  </w:tcMar>
                  <w:vAlign w:val="center"/>
                </w:tcPr>
                <w:p w14:paraId="2C413E78">
                  <w:pPr>
                    <w:widowControl/>
                    <w:jc w:val="center"/>
                    <w:rPr>
                      <w:rFonts w:hint="eastAsia" w:ascii="宋体" w:hAnsi="宋体" w:eastAsia="宋体" w:cs="宋体"/>
                      <w:color w:val="auto"/>
                      <w:kern w:val="0"/>
                      <w:sz w:val="18"/>
                      <w:szCs w:val="18"/>
                      <w:lang w:eastAsia="zh-CN"/>
                    </w:rPr>
                  </w:pPr>
                  <w:r>
                    <w:rPr>
                      <w:rFonts w:hint="eastAsia" w:ascii="宋体" w:hAnsi="宋体" w:cs="宋体"/>
                      <w:color w:val="auto"/>
                      <w:kern w:val="0"/>
                      <w:sz w:val="18"/>
                      <w:szCs w:val="18"/>
                      <w:lang w:val="en-US" w:eastAsia="zh-CN"/>
                    </w:rPr>
                    <w:t>项目</w:t>
                  </w:r>
                  <w:r>
                    <w:rPr>
                      <w:rFonts w:hint="eastAsia" w:ascii="Times New Roman" w:hAnsi="Times New Roman" w:eastAsia="宋体" w:cs="Times New Roman"/>
                      <w:b w:val="0"/>
                      <w:bCs w:val="0"/>
                      <w:color w:val="auto"/>
                      <w:sz w:val="18"/>
                      <w:szCs w:val="18"/>
                      <w:vertAlign w:val="baseline"/>
                      <w:lang w:val="en-US" w:eastAsia="zh-CN"/>
                    </w:rPr>
                    <w:t>使用能源为电能</w:t>
                  </w:r>
                  <w:r>
                    <w:rPr>
                      <w:rFonts w:hint="eastAsia" w:ascii="宋体" w:hAnsi="宋体" w:cs="宋体"/>
                      <w:color w:val="auto"/>
                      <w:kern w:val="0"/>
                      <w:sz w:val="18"/>
                      <w:szCs w:val="18"/>
                      <w:lang w:eastAsia="zh-CN"/>
                    </w:rPr>
                    <w:t>，</w:t>
                  </w:r>
                  <w:r>
                    <w:rPr>
                      <w:rFonts w:hint="eastAsia" w:ascii="宋体" w:hAnsi="宋体" w:cs="宋体"/>
                      <w:color w:val="auto"/>
                      <w:kern w:val="0"/>
                      <w:sz w:val="18"/>
                      <w:szCs w:val="18"/>
                      <w:lang w:val="en-US" w:eastAsia="zh-CN"/>
                    </w:rPr>
                    <w:t>不涉及</w:t>
                  </w:r>
                  <w:r>
                    <w:rPr>
                      <w:rFonts w:hint="eastAsia" w:ascii="宋体" w:hAnsi="宋体" w:cs="宋体"/>
                      <w:color w:val="auto"/>
                      <w:kern w:val="0"/>
                      <w:sz w:val="18"/>
                      <w:szCs w:val="18"/>
                    </w:rPr>
                    <w:t>有毒有害和易燃易爆危险物质</w:t>
                  </w:r>
                </w:p>
              </w:tc>
              <w:tc>
                <w:tcPr>
                  <w:tcW w:w="698" w:type="pct"/>
                  <w:tcBorders>
                    <w:top w:val="single" w:color="auto" w:sz="6" w:space="0"/>
                    <w:bottom w:val="single" w:color="auto" w:sz="6" w:space="0"/>
                  </w:tcBorders>
                  <w:noWrap w:val="0"/>
                  <w:tcMar>
                    <w:left w:w="0" w:type="dxa"/>
                    <w:right w:w="0" w:type="dxa"/>
                  </w:tcMar>
                  <w:vAlign w:val="center"/>
                </w:tcPr>
                <w:p w14:paraId="74F46F3A">
                  <w:pPr>
                    <w:widowControl/>
                    <w:jc w:val="center"/>
                    <w:rPr>
                      <w:rFonts w:hint="default" w:ascii="宋体" w:hAnsi="宋体" w:cs="宋体"/>
                      <w:color w:val="auto"/>
                      <w:kern w:val="0"/>
                      <w:sz w:val="18"/>
                      <w:szCs w:val="18"/>
                      <w:lang w:val="en-US" w:eastAsia="zh-CN"/>
                    </w:rPr>
                  </w:pPr>
                  <w:r>
                    <w:rPr>
                      <w:rFonts w:hint="eastAsia" w:ascii="宋体" w:hAnsi="宋体" w:cs="宋体"/>
                      <w:color w:val="auto"/>
                      <w:kern w:val="0"/>
                      <w:sz w:val="18"/>
                      <w:szCs w:val="18"/>
                      <w:lang w:val="en-US" w:eastAsia="zh-CN"/>
                    </w:rPr>
                    <w:t>否</w:t>
                  </w:r>
                </w:p>
              </w:tc>
            </w:tr>
            <w:tr w14:paraId="648A276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641" w:type="pct"/>
                  <w:tcBorders>
                    <w:top w:val="single" w:color="auto" w:sz="6" w:space="0"/>
                    <w:bottom w:val="single" w:color="auto" w:sz="6" w:space="0"/>
                  </w:tcBorders>
                  <w:noWrap w:val="0"/>
                  <w:tcMar>
                    <w:left w:w="0" w:type="dxa"/>
                    <w:right w:w="0" w:type="dxa"/>
                  </w:tcMar>
                  <w:vAlign w:val="center"/>
                </w:tcPr>
                <w:p w14:paraId="138516B0">
                  <w:pPr>
                    <w:widowControl/>
                    <w:jc w:val="center"/>
                    <w:rPr>
                      <w:rFonts w:ascii="宋体" w:hAnsi="宋体" w:cs="宋体"/>
                      <w:color w:val="auto"/>
                      <w:kern w:val="0"/>
                      <w:sz w:val="18"/>
                      <w:szCs w:val="18"/>
                    </w:rPr>
                  </w:pPr>
                  <w:r>
                    <w:rPr>
                      <w:rFonts w:ascii="宋体" w:hAnsi="宋体" w:cs="宋体"/>
                      <w:color w:val="auto"/>
                      <w:kern w:val="0"/>
                      <w:sz w:val="18"/>
                      <w:szCs w:val="18"/>
                    </w:rPr>
                    <w:t>生态</w:t>
                  </w:r>
                </w:p>
              </w:tc>
              <w:tc>
                <w:tcPr>
                  <w:tcW w:w="1920" w:type="pct"/>
                  <w:tcBorders>
                    <w:top w:val="single" w:color="auto" w:sz="6" w:space="0"/>
                    <w:bottom w:val="single" w:color="auto" w:sz="6" w:space="0"/>
                  </w:tcBorders>
                  <w:noWrap w:val="0"/>
                  <w:tcMar>
                    <w:left w:w="0" w:type="dxa"/>
                    <w:right w:w="0" w:type="dxa"/>
                  </w:tcMar>
                  <w:vAlign w:val="center"/>
                </w:tcPr>
                <w:p w14:paraId="549AB49C">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取水口下游5</w:t>
                  </w:r>
                  <w:r>
                    <w:rPr>
                      <w:rFonts w:ascii="宋体" w:hAnsi="宋体" w:cs="宋体"/>
                      <w:color w:val="auto"/>
                      <w:kern w:val="0"/>
                      <w:sz w:val="18"/>
                      <w:szCs w:val="18"/>
                    </w:rPr>
                    <w:t>00m范围内有重要水生生物的自然产卵场</w:t>
                  </w:r>
                  <w:r>
                    <w:rPr>
                      <w:rFonts w:hint="eastAsia" w:ascii="宋体" w:hAnsi="宋体" w:cs="宋体"/>
                      <w:color w:val="auto"/>
                      <w:kern w:val="0"/>
                      <w:sz w:val="18"/>
                      <w:szCs w:val="18"/>
                    </w:rPr>
                    <w:t>、</w:t>
                  </w:r>
                  <w:r>
                    <w:rPr>
                      <w:rFonts w:ascii="宋体" w:hAnsi="宋体" w:cs="宋体"/>
                      <w:color w:val="auto"/>
                      <w:kern w:val="0"/>
                      <w:sz w:val="18"/>
                      <w:szCs w:val="18"/>
                    </w:rPr>
                    <w:t>索饵场</w:t>
                  </w:r>
                  <w:r>
                    <w:rPr>
                      <w:rFonts w:hint="eastAsia" w:ascii="宋体" w:hAnsi="宋体" w:cs="宋体"/>
                      <w:color w:val="auto"/>
                      <w:kern w:val="0"/>
                      <w:sz w:val="18"/>
                      <w:szCs w:val="18"/>
                    </w:rPr>
                    <w:t>、</w:t>
                  </w:r>
                  <w:r>
                    <w:rPr>
                      <w:rFonts w:ascii="宋体" w:hAnsi="宋体" w:cs="宋体"/>
                      <w:color w:val="auto"/>
                      <w:kern w:val="0"/>
                      <w:sz w:val="18"/>
                      <w:szCs w:val="18"/>
                    </w:rPr>
                    <w:t>越冬场和洄游通道的新增河道取水的污染类项目</w:t>
                  </w:r>
                </w:p>
              </w:tc>
              <w:tc>
                <w:tcPr>
                  <w:tcW w:w="1739" w:type="pct"/>
                  <w:tcBorders>
                    <w:top w:val="single" w:color="auto" w:sz="6" w:space="0"/>
                    <w:bottom w:val="single" w:color="auto" w:sz="6" w:space="0"/>
                  </w:tcBorders>
                  <w:noWrap w:val="0"/>
                  <w:tcMar>
                    <w:left w:w="0" w:type="dxa"/>
                    <w:right w:w="0" w:type="dxa"/>
                  </w:tcMar>
                  <w:vAlign w:val="center"/>
                </w:tcPr>
                <w:p w14:paraId="56351AF6">
                  <w:pPr>
                    <w:widowControl/>
                    <w:jc w:val="center"/>
                    <w:rPr>
                      <w:rFonts w:hint="eastAsia" w:ascii="宋体" w:hAnsi="宋体" w:eastAsia="宋体" w:cs="宋体"/>
                      <w:color w:val="auto"/>
                      <w:kern w:val="0"/>
                      <w:sz w:val="18"/>
                      <w:szCs w:val="18"/>
                      <w:lang w:eastAsia="zh-CN"/>
                    </w:rPr>
                  </w:pPr>
                  <w:r>
                    <w:rPr>
                      <w:rFonts w:ascii="宋体" w:hAnsi="宋体" w:cs="宋体"/>
                      <w:color w:val="auto"/>
                      <w:kern w:val="0"/>
                      <w:sz w:val="18"/>
                      <w:szCs w:val="18"/>
                    </w:rPr>
                    <w:t>用水由市政给水管网供水</w:t>
                  </w:r>
                  <w:r>
                    <w:rPr>
                      <w:rFonts w:hint="eastAsia" w:ascii="宋体" w:hAnsi="宋体" w:cs="宋体"/>
                      <w:color w:val="auto"/>
                      <w:kern w:val="0"/>
                      <w:sz w:val="18"/>
                      <w:szCs w:val="18"/>
                    </w:rPr>
                    <w:t>，</w:t>
                  </w:r>
                  <w:r>
                    <w:rPr>
                      <w:rFonts w:ascii="宋体" w:hAnsi="宋体" w:cs="宋体"/>
                      <w:color w:val="auto"/>
                      <w:kern w:val="0"/>
                      <w:sz w:val="18"/>
                      <w:szCs w:val="18"/>
                    </w:rPr>
                    <w:t>不涉及河道取水</w:t>
                  </w:r>
                </w:p>
              </w:tc>
              <w:tc>
                <w:tcPr>
                  <w:tcW w:w="698" w:type="pct"/>
                  <w:tcBorders>
                    <w:top w:val="single" w:color="auto" w:sz="6" w:space="0"/>
                    <w:bottom w:val="single" w:color="auto" w:sz="6" w:space="0"/>
                  </w:tcBorders>
                  <w:noWrap w:val="0"/>
                  <w:tcMar>
                    <w:left w:w="0" w:type="dxa"/>
                    <w:right w:w="0" w:type="dxa"/>
                  </w:tcMar>
                  <w:vAlign w:val="center"/>
                </w:tcPr>
                <w:p w14:paraId="08BECC84">
                  <w:pPr>
                    <w:widowControl/>
                    <w:jc w:val="center"/>
                    <w:rPr>
                      <w:rFonts w:hint="eastAsia"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否</w:t>
                  </w:r>
                </w:p>
              </w:tc>
            </w:tr>
            <w:tr w14:paraId="1D75BFD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641" w:type="pct"/>
                  <w:tcBorders>
                    <w:top w:val="single" w:color="auto" w:sz="6" w:space="0"/>
                  </w:tcBorders>
                  <w:noWrap w:val="0"/>
                  <w:tcMar>
                    <w:left w:w="0" w:type="dxa"/>
                    <w:right w:w="0" w:type="dxa"/>
                  </w:tcMar>
                  <w:vAlign w:val="center"/>
                </w:tcPr>
                <w:p w14:paraId="073A24C9">
                  <w:pPr>
                    <w:widowControl/>
                    <w:jc w:val="center"/>
                    <w:rPr>
                      <w:rFonts w:hint="eastAsia" w:ascii="宋体" w:hAnsi="宋体" w:cs="宋体"/>
                      <w:color w:val="auto"/>
                      <w:kern w:val="0"/>
                      <w:sz w:val="18"/>
                      <w:szCs w:val="18"/>
                    </w:rPr>
                  </w:pPr>
                  <w:r>
                    <w:rPr>
                      <w:rFonts w:ascii="宋体" w:hAnsi="宋体" w:cs="宋体"/>
                      <w:color w:val="auto"/>
                      <w:kern w:val="0"/>
                      <w:sz w:val="18"/>
                      <w:szCs w:val="18"/>
                    </w:rPr>
                    <w:t>海洋</w:t>
                  </w:r>
                </w:p>
              </w:tc>
              <w:tc>
                <w:tcPr>
                  <w:tcW w:w="1920" w:type="pct"/>
                  <w:tcBorders>
                    <w:top w:val="single" w:color="auto" w:sz="6" w:space="0"/>
                  </w:tcBorders>
                  <w:noWrap w:val="0"/>
                  <w:tcMar>
                    <w:left w:w="0" w:type="dxa"/>
                    <w:right w:w="0" w:type="dxa"/>
                  </w:tcMar>
                  <w:vAlign w:val="center"/>
                </w:tcPr>
                <w:p w14:paraId="74927517">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直接向海排放污染物的海洋工程建设项目</w:t>
                  </w:r>
                </w:p>
              </w:tc>
              <w:tc>
                <w:tcPr>
                  <w:tcW w:w="1739" w:type="pct"/>
                  <w:tcBorders>
                    <w:top w:val="single" w:color="auto" w:sz="6" w:space="0"/>
                  </w:tcBorders>
                  <w:noWrap w:val="0"/>
                  <w:tcMar>
                    <w:left w:w="0" w:type="dxa"/>
                    <w:right w:w="0" w:type="dxa"/>
                  </w:tcMar>
                  <w:vAlign w:val="center"/>
                </w:tcPr>
                <w:p w14:paraId="54172441">
                  <w:pPr>
                    <w:widowControl/>
                    <w:jc w:val="center"/>
                    <w:rPr>
                      <w:rFonts w:hint="eastAsia" w:ascii="宋体" w:hAnsi="宋体" w:eastAsia="宋体" w:cs="宋体"/>
                      <w:color w:val="auto"/>
                      <w:kern w:val="0"/>
                      <w:sz w:val="18"/>
                      <w:szCs w:val="18"/>
                      <w:lang w:eastAsia="zh-CN"/>
                    </w:rPr>
                  </w:pPr>
                  <w:r>
                    <w:rPr>
                      <w:rFonts w:ascii="宋体" w:hAnsi="宋体" w:cs="宋体"/>
                      <w:color w:val="auto"/>
                      <w:kern w:val="0"/>
                      <w:sz w:val="18"/>
                      <w:szCs w:val="18"/>
                    </w:rPr>
                    <w:t>不涉及</w:t>
                  </w:r>
                  <w:r>
                    <w:rPr>
                      <w:rFonts w:hint="eastAsia" w:ascii="宋体" w:hAnsi="宋体" w:cs="宋体"/>
                      <w:color w:val="auto"/>
                      <w:kern w:val="0"/>
                      <w:sz w:val="18"/>
                      <w:szCs w:val="18"/>
                    </w:rPr>
                    <w:t>海洋工程建设项目</w:t>
                  </w:r>
                </w:p>
              </w:tc>
              <w:tc>
                <w:tcPr>
                  <w:tcW w:w="698" w:type="pct"/>
                  <w:tcBorders>
                    <w:top w:val="single" w:color="auto" w:sz="6" w:space="0"/>
                  </w:tcBorders>
                  <w:noWrap w:val="0"/>
                  <w:tcMar>
                    <w:left w:w="0" w:type="dxa"/>
                    <w:right w:w="0" w:type="dxa"/>
                  </w:tcMar>
                  <w:vAlign w:val="center"/>
                </w:tcPr>
                <w:p w14:paraId="517F6E81">
                  <w:pPr>
                    <w:widowControl/>
                    <w:jc w:val="center"/>
                    <w:rPr>
                      <w:rFonts w:ascii="宋体" w:hAnsi="宋体" w:cs="宋体"/>
                      <w:color w:val="auto"/>
                      <w:kern w:val="0"/>
                      <w:sz w:val="18"/>
                      <w:szCs w:val="18"/>
                    </w:rPr>
                  </w:pPr>
                  <w:r>
                    <w:rPr>
                      <w:rFonts w:hint="eastAsia" w:ascii="宋体" w:hAnsi="宋体" w:cs="宋体"/>
                      <w:color w:val="auto"/>
                      <w:kern w:val="0"/>
                      <w:sz w:val="18"/>
                      <w:szCs w:val="18"/>
                      <w:lang w:val="en-US" w:eastAsia="zh-CN"/>
                    </w:rPr>
                    <w:t>否</w:t>
                  </w:r>
                </w:p>
              </w:tc>
            </w:tr>
          </w:tbl>
          <w:p w14:paraId="4766ECFC">
            <w:pPr>
              <w:autoSpaceDE w:val="0"/>
              <w:autoSpaceDN w:val="0"/>
              <w:adjustRightInd w:val="0"/>
              <w:snapToGrid w:val="0"/>
              <w:jc w:val="center"/>
              <w:rPr>
                <w:rFonts w:hint="default" w:ascii="宋体" w:hAnsi="宋体" w:eastAsia="宋体" w:cs="宋体"/>
                <w:color w:val="auto"/>
                <w:kern w:val="0"/>
                <w:szCs w:val="21"/>
                <w:lang w:val="en-US" w:eastAsia="zh-CN"/>
              </w:rPr>
            </w:pPr>
          </w:p>
        </w:tc>
      </w:tr>
      <w:tr w14:paraId="1A5B54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846" w:type="dxa"/>
            <w:noWrap w:val="0"/>
            <w:vAlign w:val="center"/>
          </w:tcPr>
          <w:p w14:paraId="12A62016">
            <w:pPr>
              <w:autoSpaceDE w:val="0"/>
              <w:autoSpaceDN w:val="0"/>
              <w:adjustRightInd w:val="0"/>
              <w:snapToGrid w:val="0"/>
              <w:jc w:val="center"/>
              <w:rPr>
                <w:rFonts w:hint="eastAsia" w:ascii="宋体" w:hAnsi="宋体" w:cs="宋体"/>
                <w:color w:val="auto"/>
                <w:kern w:val="0"/>
                <w:szCs w:val="21"/>
              </w:rPr>
            </w:pPr>
            <w:r>
              <w:rPr>
                <w:rFonts w:hint="eastAsia" w:ascii="宋体" w:hAnsi="宋体" w:cs="宋体"/>
                <w:color w:val="auto"/>
                <w:szCs w:val="21"/>
              </w:rPr>
              <w:t>规划情况</w:t>
            </w:r>
          </w:p>
        </w:tc>
        <w:tc>
          <w:tcPr>
            <w:tcW w:w="8024" w:type="dxa"/>
            <w:gridSpan w:val="4"/>
            <w:noWrap w:val="0"/>
            <w:vAlign w:val="center"/>
          </w:tcPr>
          <w:p w14:paraId="2C42D22D">
            <w:pPr>
              <w:autoSpaceDE w:val="0"/>
              <w:autoSpaceDN w:val="0"/>
              <w:adjustRightInd w:val="0"/>
              <w:snapToGrid w:val="0"/>
              <w:jc w:val="center"/>
              <w:rPr>
                <w:rFonts w:hint="default" w:ascii="宋体" w:hAnsi="宋体" w:eastAsia="宋体" w:cs="宋体"/>
                <w:color w:val="auto"/>
                <w:kern w:val="0"/>
                <w:szCs w:val="21"/>
                <w:lang w:val="en-US" w:eastAsia="zh-CN"/>
              </w:rPr>
            </w:pPr>
            <w:r>
              <w:rPr>
                <w:rFonts w:hint="eastAsia" w:ascii="宋体" w:hAnsi="宋体" w:eastAsia="宋体" w:cs="宋体"/>
                <w:color w:val="auto"/>
                <w:kern w:val="0"/>
                <w:szCs w:val="21"/>
                <w:lang w:val="en-US" w:eastAsia="zh-CN"/>
              </w:rPr>
              <w:t>无</w:t>
            </w:r>
          </w:p>
        </w:tc>
      </w:tr>
      <w:tr w14:paraId="46AD60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846" w:type="dxa"/>
            <w:noWrap w:val="0"/>
            <w:vAlign w:val="center"/>
          </w:tcPr>
          <w:p w14:paraId="0C18B7F2">
            <w:pPr>
              <w:adjustRightInd w:val="0"/>
              <w:snapToGrid w:val="0"/>
              <w:jc w:val="center"/>
              <w:rPr>
                <w:rFonts w:ascii="宋体" w:hAnsi="宋体" w:cs="宋体"/>
                <w:color w:val="auto"/>
                <w:szCs w:val="21"/>
              </w:rPr>
            </w:pPr>
            <w:r>
              <w:rPr>
                <w:rFonts w:hint="eastAsia" w:ascii="宋体" w:hAnsi="宋体" w:cs="宋体"/>
                <w:color w:val="auto"/>
                <w:szCs w:val="21"/>
              </w:rPr>
              <w:t>规划环境影响</w:t>
            </w:r>
          </w:p>
          <w:p w14:paraId="21BB67E4">
            <w:pPr>
              <w:adjustRightInd w:val="0"/>
              <w:snapToGrid w:val="0"/>
              <w:jc w:val="center"/>
              <w:rPr>
                <w:rFonts w:hint="eastAsia" w:ascii="宋体" w:hAnsi="宋体" w:cs="宋体"/>
                <w:color w:val="auto"/>
                <w:kern w:val="0"/>
                <w:szCs w:val="21"/>
              </w:rPr>
            </w:pPr>
            <w:r>
              <w:rPr>
                <w:rFonts w:hint="eastAsia" w:ascii="宋体" w:hAnsi="宋体" w:cs="宋体"/>
                <w:color w:val="auto"/>
                <w:szCs w:val="21"/>
              </w:rPr>
              <w:t>评价情况</w:t>
            </w:r>
          </w:p>
        </w:tc>
        <w:tc>
          <w:tcPr>
            <w:tcW w:w="8024" w:type="dxa"/>
            <w:gridSpan w:val="4"/>
            <w:noWrap w:val="0"/>
            <w:vAlign w:val="center"/>
          </w:tcPr>
          <w:p w14:paraId="6CFC1032">
            <w:pPr>
              <w:autoSpaceDE w:val="0"/>
              <w:autoSpaceDN w:val="0"/>
              <w:adjustRightInd w:val="0"/>
              <w:snapToGrid w:val="0"/>
              <w:jc w:val="left"/>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规划环境影响评价文件名称：</w:t>
            </w:r>
            <w:r>
              <w:rPr>
                <w:rFonts w:hint="default" w:ascii="Times New Roman" w:hAnsi="Times New Roman" w:eastAsia="宋体" w:cs="Times New Roman"/>
                <w:color w:val="auto"/>
                <w:kern w:val="0"/>
                <w:sz w:val="21"/>
                <w:szCs w:val="21"/>
                <w:lang w:val="en-US" w:eastAsia="zh-CN"/>
              </w:rPr>
              <w:t>《遂宁市安居区工业集中发展区（含经开区）规划</w:t>
            </w:r>
            <w:r>
              <w:rPr>
                <w:rFonts w:hint="eastAsia" w:cs="Times New Roman"/>
                <w:color w:val="auto"/>
                <w:kern w:val="0"/>
                <w:sz w:val="21"/>
                <w:szCs w:val="21"/>
                <w:lang w:val="en-US" w:eastAsia="zh-CN"/>
              </w:rPr>
              <w:t>环境影响报告书</w:t>
            </w:r>
            <w:r>
              <w:rPr>
                <w:rFonts w:hint="default" w:ascii="Times New Roman" w:hAnsi="Times New Roman" w:eastAsia="宋体" w:cs="Times New Roman"/>
                <w:color w:val="auto"/>
                <w:kern w:val="0"/>
                <w:sz w:val="21"/>
                <w:szCs w:val="21"/>
                <w:lang w:val="en-US" w:eastAsia="zh-CN"/>
              </w:rPr>
              <w:t>》</w:t>
            </w:r>
            <w:r>
              <w:rPr>
                <w:rFonts w:hint="eastAsia" w:cs="Times New Roman"/>
                <w:color w:val="auto"/>
                <w:kern w:val="0"/>
                <w:sz w:val="21"/>
                <w:szCs w:val="21"/>
                <w:lang w:val="en-US" w:eastAsia="zh-CN"/>
              </w:rPr>
              <w:t>；</w:t>
            </w:r>
          </w:p>
          <w:p w14:paraId="786F4301">
            <w:pPr>
              <w:autoSpaceDE w:val="0"/>
              <w:autoSpaceDN w:val="0"/>
              <w:adjustRightInd w:val="0"/>
              <w:snapToGrid w:val="0"/>
              <w:jc w:val="left"/>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召集审查机关：</w:t>
            </w:r>
            <w:r>
              <w:rPr>
                <w:rFonts w:hint="eastAsia" w:cs="Times New Roman"/>
                <w:color w:val="auto"/>
                <w:kern w:val="0"/>
                <w:sz w:val="21"/>
                <w:szCs w:val="21"/>
                <w:lang w:val="en-US" w:eastAsia="zh-CN"/>
              </w:rPr>
              <w:t>四川省生态环境厅；</w:t>
            </w:r>
          </w:p>
          <w:p w14:paraId="786DA86E">
            <w:pPr>
              <w:autoSpaceDE w:val="0"/>
              <w:autoSpaceDN w:val="0"/>
              <w:adjustRightInd w:val="0"/>
              <w:snapToGrid w:val="0"/>
              <w:jc w:val="left"/>
              <w:rPr>
                <w:rFonts w:hint="default" w:ascii="宋体" w:hAnsi="宋体" w:eastAsia="宋体" w:cs="宋体"/>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审查文件名称及文号：</w:t>
            </w:r>
            <w:r>
              <w:rPr>
                <w:rFonts w:hint="eastAsia" w:cs="Times New Roman"/>
                <w:color w:val="auto"/>
                <w:kern w:val="0"/>
                <w:sz w:val="21"/>
                <w:szCs w:val="21"/>
                <w:lang w:val="en-US" w:eastAsia="zh-CN"/>
              </w:rPr>
              <w:t>《四川省生态环境厅关于印发</w:t>
            </w:r>
            <w:r>
              <w:rPr>
                <w:rFonts w:hint="default" w:ascii="Times New Roman" w:hAnsi="Times New Roman" w:eastAsia="宋体" w:cs="Times New Roman"/>
                <w:color w:val="auto"/>
                <w:kern w:val="0"/>
                <w:sz w:val="21"/>
                <w:szCs w:val="21"/>
                <w:lang w:val="en-US" w:eastAsia="zh-CN"/>
              </w:rPr>
              <w:t>遂宁市安居区工业集中发展区（含经开区）规划</w:t>
            </w:r>
            <w:r>
              <w:rPr>
                <w:rFonts w:hint="eastAsia" w:cs="Times New Roman"/>
                <w:color w:val="auto"/>
                <w:kern w:val="0"/>
                <w:sz w:val="21"/>
                <w:szCs w:val="21"/>
                <w:lang w:val="en-US" w:eastAsia="zh-CN"/>
              </w:rPr>
              <w:t>环境影响报告书审查意见的函》</w:t>
            </w:r>
            <w:r>
              <w:rPr>
                <w:rFonts w:hint="default" w:ascii="Times New Roman" w:hAnsi="Times New Roman" w:eastAsia="宋体" w:cs="Times New Roman"/>
                <w:color w:val="auto"/>
                <w:kern w:val="0"/>
                <w:sz w:val="21"/>
                <w:szCs w:val="21"/>
                <w:lang w:val="en-US" w:eastAsia="zh-CN"/>
              </w:rPr>
              <w:t>（</w:t>
            </w:r>
            <w:r>
              <w:rPr>
                <w:rFonts w:hint="eastAsia" w:cs="Times New Roman"/>
                <w:color w:val="auto"/>
                <w:kern w:val="0"/>
                <w:sz w:val="21"/>
                <w:szCs w:val="21"/>
                <w:lang w:val="en-US" w:eastAsia="zh-CN"/>
              </w:rPr>
              <w:t>川环建函〔2020〕39</w:t>
            </w:r>
            <w:r>
              <w:rPr>
                <w:rFonts w:hint="default" w:ascii="Times New Roman" w:hAnsi="Times New Roman" w:eastAsia="宋体" w:cs="Times New Roman"/>
                <w:color w:val="auto"/>
                <w:kern w:val="0"/>
                <w:sz w:val="21"/>
                <w:szCs w:val="21"/>
                <w:lang w:val="en-US" w:eastAsia="zh-CN"/>
              </w:rPr>
              <w:t>号）</w:t>
            </w:r>
          </w:p>
        </w:tc>
      </w:tr>
      <w:tr w14:paraId="636B2A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846" w:type="dxa"/>
            <w:noWrap w:val="0"/>
            <w:vAlign w:val="center"/>
          </w:tcPr>
          <w:p w14:paraId="5BE53260">
            <w:pPr>
              <w:autoSpaceDE w:val="0"/>
              <w:autoSpaceDN w:val="0"/>
              <w:adjustRightInd w:val="0"/>
              <w:snapToGrid w:val="0"/>
              <w:jc w:val="center"/>
              <w:rPr>
                <w:rFonts w:ascii="宋体" w:hAnsi="宋体" w:cs="宋体"/>
                <w:color w:val="auto"/>
                <w:kern w:val="0"/>
                <w:szCs w:val="21"/>
              </w:rPr>
            </w:pPr>
            <w:r>
              <w:rPr>
                <w:rFonts w:hint="eastAsia" w:ascii="宋体" w:hAnsi="宋体" w:cs="宋体"/>
                <w:color w:val="auto"/>
                <w:kern w:val="0"/>
                <w:szCs w:val="21"/>
              </w:rPr>
              <w:t>规划及规划环境影响评价符合性分析</w:t>
            </w:r>
          </w:p>
        </w:tc>
        <w:tc>
          <w:tcPr>
            <w:tcW w:w="8024" w:type="dxa"/>
            <w:gridSpan w:val="4"/>
            <w:noWrap w:val="0"/>
            <w:vAlign w:val="center"/>
          </w:tcPr>
          <w:p w14:paraId="00F31EA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cs="Times New Roman"/>
                <w:b/>
                <w:bCs w:val="0"/>
                <w:color w:val="auto"/>
                <w:kern w:val="0"/>
                <w:sz w:val="21"/>
                <w:szCs w:val="21"/>
                <w:lang w:eastAsia="zh-CN"/>
              </w:rPr>
            </w:pPr>
            <w:r>
              <w:rPr>
                <w:rFonts w:hint="default" w:ascii="Times New Roman" w:hAnsi="Times New Roman" w:eastAsia="宋体" w:cs="Times New Roman"/>
                <w:b/>
                <w:bCs w:val="0"/>
                <w:color w:val="auto"/>
                <w:kern w:val="0"/>
                <w:sz w:val="21"/>
                <w:szCs w:val="21"/>
              </w:rPr>
              <w:t>与《遂宁市安居区工业集中发展区（含经开区）规划》的符合性</w:t>
            </w:r>
          </w:p>
          <w:p w14:paraId="4FC5F06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both"/>
              <w:textAlignment w:val="auto"/>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遂宁市安居区工业集中发展区（以下简称“工业集中区”）成立于2007年，包括遂宁市安居区化工工业园（以下简称“化工园”）和遂宁市安居区东部新城工业区（以下简称“新城工业区”）；其中化工园规划面积为5.75平方公里，重点发展天然气化工、盐化工及各类精细化工下游产业，其规划环境影响报告书于2008年10月通过原四川省环境保护局组织的审查（川环建函〔2008〕941号）；新城工业区规划面积为13.33 平方公里，主要发展机械电子、纺织及食品产业，其规划环境影响报告书于2012年4月通过原四川省环境保护厅组织的审查（川环建函〔2012〕79号）。</w:t>
            </w:r>
          </w:p>
          <w:p w14:paraId="223A888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both"/>
              <w:textAlignment w:val="auto"/>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2019年，遂宁市安居区人民政府对工业集中区进行调整，并组织相关单位编制了《遂宁市安居区工业集中发展区控制性详细规划》，根据川环建函【2020】（39 号）《四川省生态环境厅关于</w:t>
            </w:r>
            <w:r>
              <w:rPr>
                <w:rFonts w:hint="eastAsia" w:ascii="Times New Roman" w:hAnsi="Times New Roman" w:eastAsia="宋体" w:cs="Times New Roman"/>
                <w:b w:val="0"/>
                <w:bCs/>
                <w:color w:val="auto"/>
                <w:kern w:val="0"/>
                <w:sz w:val="21"/>
                <w:szCs w:val="21"/>
                <w:lang w:eastAsia="zh-CN"/>
              </w:rPr>
              <w:t>〈</w:t>
            </w:r>
            <w:r>
              <w:rPr>
                <w:rFonts w:hint="default" w:ascii="Times New Roman" w:hAnsi="Times New Roman" w:eastAsia="宋体" w:cs="Times New Roman"/>
                <w:b w:val="0"/>
                <w:bCs/>
                <w:color w:val="auto"/>
                <w:kern w:val="0"/>
                <w:sz w:val="21"/>
                <w:szCs w:val="21"/>
              </w:rPr>
              <w:t>遂宁市安居区工业集中发展区（含经开区）规划环境影响报告书</w:t>
            </w:r>
            <w:r>
              <w:rPr>
                <w:rFonts w:hint="eastAsia" w:ascii="Times New Roman" w:hAnsi="Times New Roman" w:eastAsia="宋体" w:cs="Times New Roman"/>
                <w:b w:val="0"/>
                <w:bCs/>
                <w:color w:val="auto"/>
                <w:kern w:val="0"/>
                <w:sz w:val="21"/>
                <w:szCs w:val="21"/>
                <w:lang w:eastAsia="zh-CN"/>
              </w:rPr>
              <w:t>〉</w:t>
            </w:r>
            <w:r>
              <w:rPr>
                <w:rFonts w:hint="default" w:ascii="Times New Roman" w:hAnsi="Times New Roman" w:eastAsia="宋体" w:cs="Times New Roman"/>
                <w:b w:val="0"/>
                <w:bCs/>
                <w:color w:val="auto"/>
                <w:kern w:val="0"/>
                <w:sz w:val="21"/>
                <w:szCs w:val="21"/>
              </w:rPr>
              <w:t>审查意见的函》（见附件）：规划面积22.76平方公里（包括四川遂宁安居经济开发区规划范围，该经开区于2019年1月由四川省人民政府以川府函〔2019〕20号文批准设立为省级开发区，核准面积为8.086平方公里），四至范围为西靠中心城区，东至遂内高速，北接国道318，南临琼江，重点发展</w:t>
            </w:r>
            <w:r>
              <w:rPr>
                <w:rFonts w:hint="default" w:ascii="Times New Roman" w:hAnsi="Times New Roman" w:eastAsia="宋体" w:cs="Times New Roman"/>
                <w:b/>
                <w:bCs w:val="0"/>
                <w:color w:val="auto"/>
                <w:kern w:val="0"/>
                <w:sz w:val="21"/>
                <w:szCs w:val="21"/>
              </w:rPr>
              <w:t>机械装备制造</w:t>
            </w:r>
            <w:r>
              <w:rPr>
                <w:rFonts w:hint="default" w:ascii="Times New Roman" w:hAnsi="Times New Roman" w:eastAsia="宋体" w:cs="Times New Roman"/>
                <w:b w:val="0"/>
                <w:bCs/>
                <w:color w:val="auto"/>
                <w:kern w:val="0"/>
                <w:sz w:val="21"/>
                <w:szCs w:val="21"/>
              </w:rPr>
              <w:t>、精细化工产业，辅助发展食品加工、新材料产业。</w:t>
            </w:r>
          </w:p>
          <w:p w14:paraId="0F13996C">
            <w:pPr>
              <w:snapToGrid w:val="0"/>
              <w:spacing w:before="120" w:beforeLines="50"/>
              <w:jc w:val="center"/>
              <w:rPr>
                <w:rFonts w:hint="default"/>
                <w:b/>
                <w:color w:val="auto"/>
                <w:sz w:val="21"/>
                <w:szCs w:val="21"/>
              </w:rPr>
            </w:pPr>
            <w:r>
              <w:rPr>
                <w:rFonts w:hint="default"/>
                <w:b/>
                <w:color w:val="auto"/>
                <w:sz w:val="21"/>
                <w:szCs w:val="21"/>
              </w:rPr>
              <w:t>表1-</w:t>
            </w:r>
            <w:r>
              <w:rPr>
                <w:rFonts w:hint="eastAsia"/>
                <w:b/>
                <w:color w:val="auto"/>
                <w:sz w:val="21"/>
                <w:szCs w:val="21"/>
                <w:lang w:val="en-US" w:eastAsia="zh-CN"/>
              </w:rPr>
              <w:t>2</w:t>
            </w:r>
            <w:r>
              <w:rPr>
                <w:rFonts w:hint="default"/>
                <w:b/>
                <w:color w:val="auto"/>
                <w:sz w:val="21"/>
                <w:szCs w:val="21"/>
              </w:rPr>
              <w:t xml:space="preserve">  安居区工业集中发展区（含经开区）规划情况</w:t>
            </w:r>
            <w:r>
              <w:rPr>
                <w:rFonts w:hint="eastAsia"/>
                <w:b/>
                <w:color w:val="auto"/>
                <w:sz w:val="21"/>
                <w:szCs w:val="21"/>
                <w:lang w:eastAsia="zh-CN"/>
              </w:rPr>
              <w:t>及本项目符合性</w:t>
            </w:r>
            <w:r>
              <w:rPr>
                <w:rFonts w:hint="default"/>
                <w:b/>
                <w:color w:val="auto"/>
                <w:sz w:val="21"/>
                <w:szCs w:val="21"/>
              </w:rPr>
              <w:t>一览表</w:t>
            </w:r>
          </w:p>
          <w:tbl>
            <w:tblPr>
              <w:tblStyle w:val="30"/>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03"/>
              <w:gridCol w:w="680"/>
              <w:gridCol w:w="4080"/>
              <w:gridCol w:w="1331"/>
              <w:gridCol w:w="914"/>
            </w:tblGrid>
            <w:tr w14:paraId="7970600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noWrap w:val="0"/>
                  <w:vAlign w:val="center"/>
                </w:tcPr>
                <w:p w14:paraId="2A51BDB1">
                  <w:pPr>
                    <w:spacing w:line="240"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分类</w:t>
                  </w:r>
                </w:p>
              </w:tc>
              <w:tc>
                <w:tcPr>
                  <w:tcW w:w="4838" w:type="dxa"/>
                  <w:gridSpan w:val="2"/>
                  <w:noWrap w:val="0"/>
                  <w:vAlign w:val="center"/>
                </w:tcPr>
                <w:p w14:paraId="631EFFC4">
                  <w:pPr>
                    <w:spacing w:line="240"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规划内容</w:t>
                  </w:r>
                </w:p>
              </w:tc>
              <w:tc>
                <w:tcPr>
                  <w:tcW w:w="1337" w:type="dxa"/>
                  <w:noWrap w:val="0"/>
                  <w:vAlign w:val="center"/>
                </w:tcPr>
                <w:p w14:paraId="0E50F5B2">
                  <w:pPr>
                    <w:spacing w:line="240"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本项目</w:t>
                  </w:r>
                </w:p>
              </w:tc>
              <w:tc>
                <w:tcPr>
                  <w:tcW w:w="906" w:type="dxa"/>
                  <w:noWrap w:val="0"/>
                  <w:vAlign w:val="center"/>
                </w:tcPr>
                <w:p w14:paraId="28346EEF">
                  <w:pPr>
                    <w:spacing w:line="240"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符合性分析</w:t>
                  </w:r>
                </w:p>
              </w:tc>
            </w:tr>
            <w:tr w14:paraId="7F55325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noWrap w:val="0"/>
                  <w:vAlign w:val="center"/>
                </w:tcPr>
                <w:p w14:paraId="0679A86B">
                  <w:pPr>
                    <w:spacing w:line="240"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规划范围</w:t>
                  </w:r>
                </w:p>
              </w:tc>
              <w:tc>
                <w:tcPr>
                  <w:tcW w:w="4838" w:type="dxa"/>
                  <w:gridSpan w:val="2"/>
                  <w:noWrap w:val="0"/>
                  <w:vAlign w:val="center"/>
                </w:tcPr>
                <w:p w14:paraId="7AB4EDD6">
                  <w:pPr>
                    <w:spacing w:line="240" w:lineRule="auto"/>
                    <w:jc w:val="left"/>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西靠中心城区，东至遂内高速，北接国道 318，南临琼江，面积约</w:t>
                  </w:r>
                  <w:r>
                    <w:rPr>
                      <w:rFonts w:hint="eastAsia" w:eastAsia="宋体" w:cs="Times New Roman"/>
                      <w:bCs/>
                      <w:color w:val="auto"/>
                      <w:sz w:val="18"/>
                      <w:szCs w:val="18"/>
                      <w:lang w:val="en-US" w:eastAsia="zh-CN"/>
                    </w:rPr>
                    <w:t>22.76</w:t>
                  </w:r>
                  <w:r>
                    <w:rPr>
                      <w:rFonts w:hint="default" w:ascii="Times New Roman" w:hAnsi="Times New Roman" w:eastAsia="宋体" w:cs="Times New Roman"/>
                      <w:bCs/>
                      <w:color w:val="auto"/>
                      <w:sz w:val="18"/>
                      <w:szCs w:val="18"/>
                    </w:rPr>
                    <w:t>平方公里。</w:t>
                  </w:r>
                </w:p>
              </w:tc>
              <w:tc>
                <w:tcPr>
                  <w:tcW w:w="1337" w:type="dxa"/>
                  <w:vMerge w:val="restart"/>
                  <w:noWrap w:val="0"/>
                  <w:vAlign w:val="center"/>
                </w:tcPr>
                <w:p w14:paraId="4D8E4CBA">
                  <w:pPr>
                    <w:spacing w:line="240" w:lineRule="auto"/>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eastAsia="zh-CN"/>
                    </w:rPr>
                    <w:t>本项目为</w:t>
                  </w:r>
                  <w:r>
                    <w:rPr>
                      <w:rFonts w:hint="eastAsia" w:ascii="Times New Roman" w:hAnsi="Times New Roman" w:eastAsia="宋体" w:cs="Times New Roman"/>
                      <w:bCs/>
                      <w:color w:val="auto"/>
                      <w:sz w:val="18"/>
                      <w:szCs w:val="18"/>
                      <w:lang w:val="en-US" w:eastAsia="zh-CN"/>
                    </w:rPr>
                    <w:t>电动摩托车整车制造项目</w:t>
                  </w:r>
                  <w:r>
                    <w:rPr>
                      <w:rFonts w:hint="default" w:ascii="Times New Roman" w:hAnsi="Times New Roman" w:eastAsia="宋体" w:cs="Times New Roman"/>
                      <w:bCs/>
                      <w:color w:val="auto"/>
                      <w:sz w:val="18"/>
                      <w:szCs w:val="18"/>
                    </w:rPr>
                    <w:t>，</w:t>
                  </w:r>
                  <w:r>
                    <w:rPr>
                      <w:rFonts w:hint="default" w:ascii="Times New Roman" w:hAnsi="Times New Roman" w:eastAsia="宋体" w:cs="Times New Roman"/>
                      <w:bCs/>
                      <w:color w:val="auto"/>
                      <w:sz w:val="18"/>
                      <w:szCs w:val="18"/>
                      <w:lang w:val="en-US" w:eastAsia="zh-CN"/>
                    </w:rPr>
                    <w:t>不属于园区禁止引入的产业</w:t>
                  </w:r>
                  <w:r>
                    <w:rPr>
                      <w:rFonts w:hint="eastAsia" w:cs="Times New Roman"/>
                      <w:bCs/>
                      <w:color w:val="auto"/>
                      <w:sz w:val="18"/>
                      <w:szCs w:val="18"/>
                      <w:lang w:val="en-US" w:eastAsia="zh-CN"/>
                    </w:rPr>
                    <w:t>或项目</w:t>
                  </w:r>
                  <w:r>
                    <w:rPr>
                      <w:rFonts w:hint="default" w:ascii="Times New Roman" w:hAnsi="Times New Roman" w:eastAsia="宋体" w:cs="Times New Roman"/>
                      <w:bCs/>
                      <w:color w:val="auto"/>
                      <w:sz w:val="18"/>
                      <w:szCs w:val="18"/>
                      <w:lang w:val="en-US" w:eastAsia="zh-CN"/>
                    </w:rPr>
                    <w:t>，</w:t>
                  </w:r>
                  <w:r>
                    <w:rPr>
                      <w:rFonts w:hint="eastAsia" w:cs="Times New Roman"/>
                      <w:bCs/>
                      <w:color w:val="auto"/>
                      <w:sz w:val="18"/>
                      <w:szCs w:val="18"/>
                      <w:lang w:val="en-US" w:eastAsia="zh-CN"/>
                    </w:rPr>
                    <w:t>不属于“两高”项目，</w:t>
                  </w:r>
                  <w:r>
                    <w:rPr>
                      <w:rFonts w:hint="eastAsia" w:ascii="Times New Roman" w:hAnsi="Times New Roman" w:eastAsia="宋体" w:cs="Times New Roman"/>
                      <w:bCs/>
                      <w:color w:val="auto"/>
                      <w:sz w:val="18"/>
                      <w:szCs w:val="18"/>
                      <w:lang w:val="en-US" w:eastAsia="zh-CN"/>
                    </w:rPr>
                    <w:t>属于园区重点发展产业，</w:t>
                  </w:r>
                  <w:r>
                    <w:rPr>
                      <w:rFonts w:hint="eastAsia" w:ascii="宋体" w:hAnsi="宋体" w:eastAsia="宋体" w:cs="宋体"/>
                      <w:b w:val="0"/>
                      <w:bCs w:val="0"/>
                      <w:color w:val="auto"/>
                      <w:spacing w:val="0"/>
                      <w:sz w:val="18"/>
                      <w:szCs w:val="18"/>
                      <w:lang w:val="en-US" w:eastAsia="zh-CN"/>
                    </w:rPr>
                    <w:t>符合遂宁市安居区工业集中发展区总体规划</w:t>
                  </w:r>
                  <w:r>
                    <w:rPr>
                      <w:rFonts w:hint="default" w:ascii="Times New Roman" w:hAnsi="Times New Roman" w:eastAsia="宋体" w:cs="Times New Roman"/>
                      <w:bCs/>
                      <w:color w:val="auto"/>
                      <w:sz w:val="18"/>
                      <w:szCs w:val="18"/>
                      <w:lang w:val="en-US" w:eastAsia="zh-CN"/>
                    </w:rPr>
                    <w:t>，</w:t>
                  </w:r>
                  <w:r>
                    <w:rPr>
                      <w:rFonts w:hint="eastAsia" w:ascii="Times New Roman" w:hAnsi="Times New Roman" w:eastAsia="宋体" w:cs="Times New Roman"/>
                      <w:bCs/>
                      <w:color w:val="auto"/>
                      <w:sz w:val="18"/>
                      <w:szCs w:val="18"/>
                      <w:lang w:val="en-US" w:eastAsia="zh-CN"/>
                    </w:rPr>
                    <w:t>且项目生产过程使用电能等较为清洁的能源，</w:t>
                  </w:r>
                  <w:r>
                    <w:rPr>
                      <w:rFonts w:hint="eastAsia" w:eastAsia="宋体" w:cs="Times New Roman"/>
                      <w:bCs/>
                      <w:color w:val="auto"/>
                      <w:sz w:val="18"/>
                      <w:szCs w:val="18"/>
                      <w:lang w:val="en-US" w:eastAsia="zh-CN"/>
                    </w:rPr>
                    <w:t>不会影响规划区的规划实施，</w:t>
                  </w:r>
                  <w:r>
                    <w:rPr>
                      <w:rFonts w:hint="eastAsia" w:eastAsia="宋体" w:cs="Times New Roman"/>
                      <w:b/>
                      <w:bCs w:val="0"/>
                      <w:color w:val="auto"/>
                      <w:sz w:val="18"/>
                      <w:szCs w:val="18"/>
                      <w:lang w:val="en-US" w:eastAsia="zh-CN"/>
                    </w:rPr>
                    <w:t>故项目为园区鼓励引入企业</w:t>
                  </w:r>
                </w:p>
              </w:tc>
              <w:tc>
                <w:tcPr>
                  <w:tcW w:w="906" w:type="dxa"/>
                  <w:vMerge w:val="restart"/>
                  <w:noWrap w:val="0"/>
                  <w:vAlign w:val="center"/>
                </w:tcPr>
                <w:p w14:paraId="6EE58AD5">
                  <w:pPr>
                    <w:spacing w:line="240"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与周围环境相容，符合园区规划</w:t>
                  </w:r>
                </w:p>
              </w:tc>
            </w:tr>
            <w:tr w14:paraId="09F37FA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noWrap w:val="0"/>
                  <w:vAlign w:val="center"/>
                </w:tcPr>
                <w:p w14:paraId="41D06962">
                  <w:pPr>
                    <w:spacing w:line="240"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产业定位</w:t>
                  </w:r>
                </w:p>
              </w:tc>
              <w:tc>
                <w:tcPr>
                  <w:tcW w:w="4838" w:type="dxa"/>
                  <w:gridSpan w:val="2"/>
                  <w:noWrap w:val="0"/>
                  <w:vAlign w:val="center"/>
                </w:tcPr>
                <w:p w14:paraId="73D93879">
                  <w:pPr>
                    <w:spacing w:line="240" w:lineRule="auto"/>
                    <w:jc w:val="left"/>
                    <w:rPr>
                      <w:rFonts w:hint="eastAsia" w:ascii="Times New Roman" w:hAnsi="Times New Roman" w:eastAsia="宋体" w:cs="Times New Roman"/>
                      <w:bCs/>
                      <w:color w:val="auto"/>
                      <w:sz w:val="18"/>
                      <w:szCs w:val="18"/>
                      <w:lang w:eastAsia="zh-CN"/>
                    </w:rPr>
                  </w:pPr>
                  <w:r>
                    <w:rPr>
                      <w:rFonts w:hint="default" w:ascii="Times New Roman" w:hAnsi="Times New Roman" w:eastAsia="宋体" w:cs="Times New Roman"/>
                      <w:bCs/>
                      <w:color w:val="auto"/>
                      <w:sz w:val="18"/>
                      <w:szCs w:val="18"/>
                    </w:rPr>
                    <w:t>重点发展</w:t>
                  </w:r>
                  <w:r>
                    <w:rPr>
                      <w:rFonts w:hint="default" w:ascii="Times New Roman" w:hAnsi="Times New Roman" w:eastAsia="宋体" w:cs="Times New Roman"/>
                      <w:b/>
                      <w:bCs w:val="0"/>
                      <w:color w:val="auto"/>
                      <w:sz w:val="18"/>
                      <w:szCs w:val="18"/>
                    </w:rPr>
                    <w:t>机械装备制造</w:t>
                  </w:r>
                  <w:r>
                    <w:rPr>
                      <w:rFonts w:hint="default" w:ascii="Times New Roman" w:hAnsi="Times New Roman" w:eastAsia="宋体" w:cs="Times New Roman"/>
                      <w:bCs/>
                      <w:color w:val="auto"/>
                      <w:sz w:val="18"/>
                      <w:szCs w:val="18"/>
                    </w:rPr>
                    <w:t>、精细化工产业，</w:t>
                  </w:r>
                  <w:r>
                    <w:rPr>
                      <w:rFonts w:hint="default" w:ascii="Times New Roman" w:hAnsi="Times New Roman" w:eastAsia="宋体" w:cs="Times New Roman"/>
                      <w:b w:val="0"/>
                      <w:bCs/>
                      <w:color w:val="auto"/>
                      <w:sz w:val="18"/>
                      <w:szCs w:val="18"/>
                    </w:rPr>
                    <w:t>辅助发展食品加</w:t>
                  </w:r>
                  <w:r>
                    <w:rPr>
                      <w:rFonts w:hint="default" w:ascii="Times New Roman" w:hAnsi="Times New Roman" w:eastAsia="宋体" w:cs="Times New Roman"/>
                      <w:b/>
                      <w:bCs w:val="0"/>
                      <w:color w:val="auto"/>
                      <w:sz w:val="18"/>
                      <w:szCs w:val="18"/>
                    </w:rPr>
                    <w:t>工</w:t>
                  </w:r>
                  <w:r>
                    <w:rPr>
                      <w:rFonts w:hint="default" w:ascii="Times New Roman" w:hAnsi="Times New Roman" w:eastAsia="宋体" w:cs="Times New Roman"/>
                      <w:bCs/>
                      <w:color w:val="auto"/>
                      <w:sz w:val="18"/>
                      <w:szCs w:val="18"/>
                    </w:rPr>
                    <w:t>、新材料产业</w:t>
                  </w:r>
                  <w:r>
                    <w:rPr>
                      <w:rFonts w:hint="eastAsia" w:eastAsia="宋体" w:cs="Times New Roman"/>
                      <w:bCs/>
                      <w:color w:val="auto"/>
                      <w:sz w:val="18"/>
                      <w:szCs w:val="18"/>
                      <w:lang w:eastAsia="zh-CN"/>
                    </w:rPr>
                    <w:t>。</w:t>
                  </w:r>
                </w:p>
              </w:tc>
              <w:tc>
                <w:tcPr>
                  <w:tcW w:w="1337" w:type="dxa"/>
                  <w:vMerge w:val="continue"/>
                  <w:noWrap w:val="0"/>
                  <w:vAlign w:val="center"/>
                </w:tcPr>
                <w:p w14:paraId="2D102B8B">
                  <w:pPr>
                    <w:spacing w:line="240" w:lineRule="auto"/>
                    <w:jc w:val="center"/>
                    <w:rPr>
                      <w:rFonts w:hint="default" w:ascii="Times New Roman" w:hAnsi="Times New Roman" w:eastAsia="宋体" w:cs="Times New Roman"/>
                      <w:bCs/>
                      <w:color w:val="auto"/>
                      <w:sz w:val="18"/>
                      <w:szCs w:val="18"/>
                    </w:rPr>
                  </w:pPr>
                </w:p>
              </w:tc>
              <w:tc>
                <w:tcPr>
                  <w:tcW w:w="906" w:type="dxa"/>
                  <w:vMerge w:val="continue"/>
                  <w:noWrap w:val="0"/>
                  <w:vAlign w:val="center"/>
                </w:tcPr>
                <w:p w14:paraId="2C19B3E4">
                  <w:pPr>
                    <w:spacing w:line="240" w:lineRule="auto"/>
                    <w:jc w:val="center"/>
                    <w:rPr>
                      <w:rFonts w:hint="default" w:ascii="Times New Roman" w:hAnsi="Times New Roman" w:eastAsia="宋体" w:cs="Times New Roman"/>
                      <w:bCs/>
                      <w:color w:val="auto"/>
                      <w:sz w:val="18"/>
                      <w:szCs w:val="18"/>
                    </w:rPr>
                  </w:pPr>
                </w:p>
              </w:tc>
            </w:tr>
            <w:tr w14:paraId="66BC5A6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vMerge w:val="restart"/>
                  <w:noWrap w:val="0"/>
                  <w:vAlign w:val="center"/>
                </w:tcPr>
                <w:p w14:paraId="4FF3A72B">
                  <w:pPr>
                    <w:spacing w:line="240"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鼓励、禁止和允许入园行业名录</w:t>
                  </w:r>
                </w:p>
              </w:tc>
              <w:tc>
                <w:tcPr>
                  <w:tcW w:w="663" w:type="dxa"/>
                  <w:noWrap w:val="0"/>
                  <w:vAlign w:val="center"/>
                </w:tcPr>
                <w:p w14:paraId="522763D3">
                  <w:pPr>
                    <w:spacing w:line="240"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鼓励类</w:t>
                  </w:r>
                </w:p>
              </w:tc>
              <w:tc>
                <w:tcPr>
                  <w:tcW w:w="4175" w:type="dxa"/>
                  <w:noWrap w:val="0"/>
                  <w:vAlign w:val="center"/>
                </w:tcPr>
                <w:p w14:paraId="78352EE3">
                  <w:pPr>
                    <w:spacing w:line="240" w:lineRule="auto"/>
                    <w:jc w:val="left"/>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1、以园区确定的主导产业及其配套产业等符合产业政策和规划的行业；</w:t>
                  </w:r>
                </w:p>
                <w:p w14:paraId="3BF9702E">
                  <w:pPr>
                    <w:spacing w:line="240" w:lineRule="auto"/>
                    <w:jc w:val="left"/>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2、用水、节水、排水设计等清洁生产标准达到或优于国家先进水平的项目；</w:t>
                  </w:r>
                </w:p>
                <w:p w14:paraId="38CF682E">
                  <w:pPr>
                    <w:spacing w:line="240" w:lineRule="auto"/>
                    <w:jc w:val="left"/>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3、优先引入低污染、低能耗、高效益，遵循清洁生产及循环经济的项目。</w:t>
                  </w:r>
                </w:p>
              </w:tc>
              <w:tc>
                <w:tcPr>
                  <w:tcW w:w="1337" w:type="dxa"/>
                  <w:vMerge w:val="continue"/>
                  <w:noWrap w:val="0"/>
                  <w:vAlign w:val="center"/>
                </w:tcPr>
                <w:p w14:paraId="2582AF6C">
                  <w:pPr>
                    <w:spacing w:line="240" w:lineRule="auto"/>
                    <w:jc w:val="center"/>
                    <w:rPr>
                      <w:rFonts w:hint="default" w:ascii="Times New Roman" w:hAnsi="Times New Roman" w:eastAsia="宋体" w:cs="Times New Roman"/>
                      <w:bCs/>
                      <w:color w:val="auto"/>
                      <w:sz w:val="18"/>
                      <w:szCs w:val="18"/>
                    </w:rPr>
                  </w:pPr>
                </w:p>
              </w:tc>
              <w:tc>
                <w:tcPr>
                  <w:tcW w:w="906" w:type="dxa"/>
                  <w:vMerge w:val="continue"/>
                  <w:noWrap w:val="0"/>
                  <w:vAlign w:val="center"/>
                </w:tcPr>
                <w:p w14:paraId="0D38B358">
                  <w:pPr>
                    <w:spacing w:line="240" w:lineRule="auto"/>
                    <w:jc w:val="center"/>
                    <w:rPr>
                      <w:rFonts w:hint="default" w:ascii="Times New Roman" w:hAnsi="Times New Roman" w:eastAsia="宋体" w:cs="Times New Roman"/>
                      <w:bCs/>
                      <w:color w:val="auto"/>
                      <w:sz w:val="18"/>
                      <w:szCs w:val="18"/>
                    </w:rPr>
                  </w:pPr>
                </w:p>
              </w:tc>
            </w:tr>
            <w:tr w14:paraId="2BE15EE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792" w:type="dxa"/>
                  <w:vMerge w:val="continue"/>
                  <w:noWrap w:val="0"/>
                  <w:vAlign w:val="center"/>
                </w:tcPr>
                <w:p w14:paraId="3E6A8C2F">
                  <w:pPr>
                    <w:spacing w:line="240" w:lineRule="auto"/>
                    <w:jc w:val="center"/>
                    <w:rPr>
                      <w:rFonts w:hint="default" w:ascii="Times New Roman" w:hAnsi="Times New Roman" w:eastAsia="宋体" w:cs="Times New Roman"/>
                      <w:bCs/>
                      <w:color w:val="auto"/>
                      <w:sz w:val="18"/>
                      <w:szCs w:val="18"/>
                    </w:rPr>
                  </w:pPr>
                </w:p>
              </w:tc>
              <w:tc>
                <w:tcPr>
                  <w:tcW w:w="663" w:type="dxa"/>
                  <w:noWrap w:val="0"/>
                  <w:vAlign w:val="center"/>
                </w:tcPr>
                <w:p w14:paraId="20163B9F">
                  <w:pPr>
                    <w:spacing w:line="240"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禁止类</w:t>
                  </w:r>
                </w:p>
              </w:tc>
              <w:tc>
                <w:tcPr>
                  <w:tcW w:w="4175" w:type="dxa"/>
                  <w:noWrap w:val="0"/>
                  <w:vAlign w:val="center"/>
                </w:tcPr>
                <w:p w14:paraId="17FA2C28">
                  <w:pPr>
                    <w:spacing w:line="240" w:lineRule="auto"/>
                    <w:jc w:val="left"/>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（一）禁止引入不符合国家法律法规、行业准入条件的项目，列入国家产能过剩的项目，列入产业结构指导目录禁止类的项目。</w:t>
                  </w:r>
                </w:p>
                <w:p w14:paraId="3C47CC4B">
                  <w:pPr>
                    <w:spacing w:line="240" w:lineRule="auto"/>
                    <w:jc w:val="left"/>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（二）禁止引入不符合国家及省、市重金属污染防治规划要求的项目，不符合国家或地方大气、水、土壤等污染防治要求的项目。</w:t>
                  </w:r>
                </w:p>
                <w:p w14:paraId="3F3B5F54">
                  <w:pPr>
                    <w:spacing w:line="240" w:lineRule="auto"/>
                    <w:jc w:val="left"/>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（三）禁止引入清洁生产水平不能达到行业清洁生产标准二级标准要求或低于全国同类企业平均清洁生产水平的项目。</w:t>
                  </w:r>
                </w:p>
                <w:p w14:paraId="47B58A62">
                  <w:pPr>
                    <w:spacing w:line="240" w:lineRule="auto"/>
                    <w:jc w:val="left"/>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（四）严控主导产业以外的列入《环境保护综合名录》“高污染”产品名录的项目。</w:t>
                  </w:r>
                </w:p>
                <w:p w14:paraId="4B308A12">
                  <w:pPr>
                    <w:spacing w:line="240" w:lineRule="auto"/>
                    <w:jc w:val="left"/>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（五）</w:t>
                  </w:r>
                  <w:r>
                    <w:rPr>
                      <w:rFonts w:hint="default" w:ascii="Times New Roman" w:hAnsi="Times New Roman" w:eastAsia="宋体" w:cs="Times New Roman"/>
                      <w:bCs/>
                      <w:color w:val="auto"/>
                      <w:sz w:val="18"/>
                      <w:szCs w:val="18"/>
                      <w:u w:val="none"/>
                    </w:rPr>
                    <w:t>禁止引入屠宰，白酒、酒精制造，味精、柠檬酸等排水量大的食品加工项目。</w:t>
                  </w:r>
                </w:p>
                <w:p w14:paraId="5AE3EED6">
                  <w:pPr>
                    <w:spacing w:line="240" w:lineRule="auto"/>
                    <w:jc w:val="left"/>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（六）禁止水污染物以总磷为主的肥料和日用化学产品制造，农药制造，炸药、火工及火焰产品制造。</w:t>
                  </w:r>
                </w:p>
                <w:p w14:paraId="3E650BE9">
                  <w:pPr>
                    <w:spacing w:line="240" w:lineRule="auto"/>
                    <w:jc w:val="left"/>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（七）禁止新建铅蓄电池制造项目，禁止专业电镀。</w:t>
                  </w:r>
                </w:p>
              </w:tc>
              <w:tc>
                <w:tcPr>
                  <w:tcW w:w="1337" w:type="dxa"/>
                  <w:vMerge w:val="continue"/>
                  <w:noWrap w:val="0"/>
                  <w:vAlign w:val="center"/>
                </w:tcPr>
                <w:p w14:paraId="4A880BB9">
                  <w:pPr>
                    <w:spacing w:line="240" w:lineRule="auto"/>
                    <w:jc w:val="center"/>
                    <w:rPr>
                      <w:rFonts w:hint="default" w:ascii="Times New Roman" w:hAnsi="Times New Roman" w:eastAsia="宋体" w:cs="Times New Roman"/>
                      <w:bCs/>
                      <w:color w:val="auto"/>
                      <w:sz w:val="18"/>
                      <w:szCs w:val="18"/>
                    </w:rPr>
                  </w:pPr>
                </w:p>
              </w:tc>
              <w:tc>
                <w:tcPr>
                  <w:tcW w:w="906" w:type="dxa"/>
                  <w:vMerge w:val="continue"/>
                  <w:noWrap w:val="0"/>
                  <w:vAlign w:val="center"/>
                </w:tcPr>
                <w:p w14:paraId="0376BBB6">
                  <w:pPr>
                    <w:spacing w:line="240" w:lineRule="auto"/>
                    <w:jc w:val="center"/>
                    <w:rPr>
                      <w:rFonts w:hint="default" w:ascii="Times New Roman" w:hAnsi="Times New Roman" w:eastAsia="宋体" w:cs="Times New Roman"/>
                      <w:bCs/>
                      <w:color w:val="auto"/>
                      <w:sz w:val="18"/>
                      <w:szCs w:val="18"/>
                    </w:rPr>
                  </w:pPr>
                </w:p>
              </w:tc>
            </w:tr>
            <w:tr w14:paraId="3CF6427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vMerge w:val="continue"/>
                  <w:noWrap w:val="0"/>
                  <w:vAlign w:val="center"/>
                </w:tcPr>
                <w:p w14:paraId="69822513">
                  <w:pPr>
                    <w:spacing w:line="240" w:lineRule="auto"/>
                    <w:jc w:val="center"/>
                    <w:rPr>
                      <w:rFonts w:hint="default" w:ascii="Times New Roman" w:hAnsi="Times New Roman" w:eastAsia="宋体" w:cs="Times New Roman"/>
                      <w:bCs/>
                      <w:color w:val="auto"/>
                      <w:sz w:val="18"/>
                      <w:szCs w:val="18"/>
                    </w:rPr>
                  </w:pPr>
                </w:p>
              </w:tc>
              <w:tc>
                <w:tcPr>
                  <w:tcW w:w="663" w:type="dxa"/>
                  <w:noWrap w:val="0"/>
                  <w:vAlign w:val="center"/>
                </w:tcPr>
                <w:p w14:paraId="7AF103DC">
                  <w:pPr>
                    <w:spacing w:line="240"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允许类</w:t>
                  </w:r>
                </w:p>
              </w:tc>
              <w:tc>
                <w:tcPr>
                  <w:tcW w:w="4175" w:type="dxa"/>
                  <w:noWrap w:val="0"/>
                  <w:vAlign w:val="center"/>
                </w:tcPr>
                <w:p w14:paraId="22FA2574">
                  <w:pPr>
                    <w:spacing w:line="240" w:lineRule="auto"/>
                    <w:jc w:val="left"/>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原则上未被列入上述鼓励类、负面清单的属允许发展类，但在具体实施过程中切不可盲目引进项目，应注意按如下原则要求：</w:t>
                  </w:r>
                </w:p>
                <w:p w14:paraId="283E156A">
                  <w:pPr>
                    <w:spacing w:line="240" w:lineRule="auto"/>
                    <w:jc w:val="left"/>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对于不属于规划区规划主导产业和重点发展方向的建设项目，若与规划区产业定位有互补作用，或属于规划区重要项目的下游企业，或属于高品质、高附加值、低污染的企业，或有利于规划区实现循环经济理念和可持续发展，这一类企业若在建设项目环评中经论证分析与规划区规划无明显冲突，不会影响规划区规划实施的，建议允许此类建设项目入驻。</w:t>
                  </w:r>
                </w:p>
              </w:tc>
              <w:tc>
                <w:tcPr>
                  <w:tcW w:w="1337" w:type="dxa"/>
                  <w:vMerge w:val="continue"/>
                  <w:noWrap w:val="0"/>
                  <w:vAlign w:val="center"/>
                </w:tcPr>
                <w:p w14:paraId="1E624988">
                  <w:pPr>
                    <w:spacing w:line="240" w:lineRule="auto"/>
                    <w:jc w:val="center"/>
                    <w:rPr>
                      <w:rFonts w:hint="default" w:ascii="Times New Roman" w:hAnsi="Times New Roman" w:eastAsia="宋体" w:cs="Times New Roman"/>
                      <w:bCs/>
                      <w:color w:val="auto"/>
                      <w:sz w:val="18"/>
                      <w:szCs w:val="18"/>
                    </w:rPr>
                  </w:pPr>
                </w:p>
              </w:tc>
              <w:tc>
                <w:tcPr>
                  <w:tcW w:w="906" w:type="dxa"/>
                  <w:vMerge w:val="continue"/>
                  <w:noWrap w:val="0"/>
                  <w:vAlign w:val="center"/>
                </w:tcPr>
                <w:p w14:paraId="6FA13E3B">
                  <w:pPr>
                    <w:spacing w:line="240" w:lineRule="auto"/>
                    <w:jc w:val="center"/>
                    <w:rPr>
                      <w:rFonts w:hint="default" w:ascii="Times New Roman" w:hAnsi="Times New Roman" w:eastAsia="宋体" w:cs="Times New Roman"/>
                      <w:bCs/>
                      <w:color w:val="auto"/>
                      <w:sz w:val="18"/>
                      <w:szCs w:val="18"/>
                    </w:rPr>
                  </w:pPr>
                </w:p>
              </w:tc>
            </w:tr>
          </w:tbl>
          <w:p w14:paraId="1565D0F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both"/>
              <w:textAlignment w:val="auto"/>
              <w:rPr>
                <w:rFonts w:hint="eastAsia" w:cs="Times New Roman"/>
                <w:b w:val="0"/>
                <w:bCs/>
                <w:color w:val="auto"/>
                <w:kern w:val="0"/>
                <w:sz w:val="21"/>
                <w:szCs w:val="21"/>
                <w:lang w:eastAsia="zh-CN"/>
              </w:rPr>
            </w:pPr>
            <w:r>
              <w:rPr>
                <w:rFonts w:hint="eastAsia" w:cs="Times New Roman"/>
                <w:b w:val="0"/>
                <w:bCs/>
                <w:color w:val="auto"/>
                <w:kern w:val="0"/>
                <w:sz w:val="21"/>
                <w:szCs w:val="21"/>
                <w:lang w:eastAsia="zh-CN"/>
              </w:rPr>
              <w:t>本项目为</w:t>
            </w:r>
            <w:r>
              <w:rPr>
                <w:rFonts w:hint="eastAsia" w:cs="Times New Roman"/>
                <w:b w:val="0"/>
                <w:bCs/>
                <w:color w:val="auto"/>
                <w:kern w:val="0"/>
                <w:sz w:val="21"/>
                <w:szCs w:val="21"/>
                <w:lang w:val="en-US" w:eastAsia="zh-CN"/>
              </w:rPr>
              <w:t>电动摩托车整车制造项目</w:t>
            </w:r>
            <w:r>
              <w:rPr>
                <w:rFonts w:hint="eastAsia" w:cs="Times New Roman"/>
                <w:b w:val="0"/>
                <w:bCs/>
                <w:color w:val="auto"/>
                <w:kern w:val="0"/>
                <w:sz w:val="21"/>
                <w:szCs w:val="21"/>
                <w:lang w:eastAsia="zh-CN"/>
              </w:rPr>
              <w:t>（</w:t>
            </w:r>
            <w:r>
              <w:rPr>
                <w:rFonts w:hint="eastAsia" w:cs="Times New Roman"/>
                <w:b w:val="0"/>
                <w:bCs/>
                <w:color w:val="auto"/>
                <w:kern w:val="0"/>
                <w:sz w:val="21"/>
                <w:szCs w:val="21"/>
                <w:lang w:val="en-US" w:eastAsia="zh-CN"/>
              </w:rPr>
              <w:t>C3751</w:t>
            </w:r>
            <w:r>
              <w:rPr>
                <w:rFonts w:hint="eastAsia" w:cs="Times New Roman"/>
                <w:b w:val="0"/>
                <w:bCs/>
                <w:color w:val="auto"/>
                <w:kern w:val="0"/>
                <w:sz w:val="21"/>
                <w:szCs w:val="21"/>
                <w:lang w:eastAsia="zh-CN"/>
              </w:rPr>
              <w:t>），不属于园区禁止引入的产业，</w:t>
            </w:r>
            <w:r>
              <w:rPr>
                <w:rFonts w:hint="eastAsia" w:ascii="Times New Roman" w:hAnsi="Times New Roman" w:eastAsia="宋体" w:cs="Times New Roman"/>
                <w:bCs/>
                <w:color w:val="auto"/>
                <w:sz w:val="21"/>
                <w:szCs w:val="21"/>
                <w:lang w:val="en-US" w:eastAsia="zh-CN"/>
              </w:rPr>
              <w:t>属于园区重点发展产业，且项目生产过程使用电能等较为清洁的能源，</w:t>
            </w:r>
            <w:r>
              <w:rPr>
                <w:rFonts w:hint="eastAsia" w:eastAsia="宋体" w:cs="Times New Roman"/>
                <w:bCs/>
                <w:color w:val="auto"/>
                <w:sz w:val="21"/>
                <w:szCs w:val="21"/>
                <w:lang w:val="en-US" w:eastAsia="zh-CN"/>
              </w:rPr>
              <w:t>不会影响规划区的规划实施，</w:t>
            </w:r>
            <w:r>
              <w:rPr>
                <w:rFonts w:hint="eastAsia" w:eastAsia="宋体" w:cs="Times New Roman"/>
                <w:b/>
                <w:bCs w:val="0"/>
                <w:color w:val="auto"/>
                <w:sz w:val="21"/>
                <w:szCs w:val="21"/>
                <w:lang w:val="en-US" w:eastAsia="zh-CN"/>
              </w:rPr>
              <w:t>故项目为园区鼓励引入企业</w:t>
            </w:r>
            <w:r>
              <w:rPr>
                <w:rFonts w:hint="eastAsia" w:cs="Times New Roman"/>
                <w:b w:val="0"/>
                <w:bCs/>
                <w:color w:val="auto"/>
                <w:kern w:val="0"/>
                <w:sz w:val="21"/>
                <w:szCs w:val="21"/>
                <w:lang w:eastAsia="zh-CN"/>
              </w:rPr>
              <w:t>，</w:t>
            </w:r>
            <w:r>
              <w:rPr>
                <w:rFonts w:hint="eastAsia" w:ascii="宋体" w:hAnsi="宋体" w:eastAsia="宋体" w:cs="宋体"/>
                <w:b w:val="0"/>
                <w:bCs w:val="0"/>
                <w:color w:val="auto"/>
                <w:spacing w:val="0"/>
                <w:sz w:val="21"/>
                <w:szCs w:val="21"/>
                <w:lang w:val="en-US" w:eastAsia="zh-CN"/>
              </w:rPr>
              <w:t>符合遂宁市安居区工业集中发展区总体规划</w:t>
            </w:r>
            <w:r>
              <w:rPr>
                <w:rFonts w:hint="eastAsia" w:cs="Times New Roman"/>
                <w:b w:val="0"/>
                <w:bCs/>
                <w:color w:val="auto"/>
                <w:kern w:val="0"/>
                <w:sz w:val="21"/>
                <w:szCs w:val="21"/>
                <w:lang w:eastAsia="zh-CN"/>
              </w:rPr>
              <w:t>。</w:t>
            </w:r>
          </w:p>
          <w:p w14:paraId="472E9B4E">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outlineLvl w:val="9"/>
              <w:rPr>
                <w:rFonts w:hint="default" w:ascii="宋体" w:hAnsi="宋体" w:eastAsia="宋体" w:cs="宋体"/>
                <w:b w:val="0"/>
                <w:bCs w:val="0"/>
                <w:color w:val="auto"/>
                <w:sz w:val="21"/>
                <w:szCs w:val="21"/>
                <w:lang w:val="en-US" w:eastAsia="zh-CN"/>
              </w:rPr>
            </w:pPr>
            <w:r>
              <w:rPr>
                <w:rFonts w:hint="default" w:ascii="Times New Roman" w:hAnsi="Times New Roman" w:eastAsia="宋体" w:cs="Times New Roman"/>
                <w:b w:val="0"/>
                <w:bCs/>
                <w:color w:val="auto"/>
                <w:kern w:val="0"/>
                <w:sz w:val="21"/>
                <w:szCs w:val="21"/>
              </w:rPr>
              <w:t>综上，项目建设符合遂宁市安居区工业集中发展区（含经开区）规划环境影响报告书和</w:t>
            </w:r>
            <w:r>
              <w:rPr>
                <w:rFonts w:hint="eastAsia" w:cs="Times New Roman"/>
                <w:b w:val="0"/>
                <w:bCs/>
                <w:color w:val="auto"/>
                <w:kern w:val="0"/>
                <w:sz w:val="21"/>
                <w:szCs w:val="21"/>
                <w:lang w:eastAsia="zh-CN"/>
              </w:rPr>
              <w:t>规划环境影响报告</w:t>
            </w:r>
            <w:r>
              <w:rPr>
                <w:rFonts w:hint="default" w:ascii="Times New Roman" w:hAnsi="Times New Roman" w:eastAsia="宋体" w:cs="Times New Roman"/>
                <w:b w:val="0"/>
                <w:bCs/>
                <w:color w:val="auto"/>
                <w:kern w:val="0"/>
                <w:sz w:val="21"/>
                <w:szCs w:val="21"/>
              </w:rPr>
              <w:t>审查意见</w:t>
            </w:r>
            <w:r>
              <w:rPr>
                <w:rFonts w:hint="eastAsia" w:ascii="宋体" w:hAnsi="宋体" w:eastAsia="宋体" w:cs="宋体"/>
                <w:b w:val="0"/>
                <w:bCs w:val="0"/>
                <w:color w:val="auto"/>
                <w:sz w:val="21"/>
                <w:szCs w:val="21"/>
                <w:lang w:val="en-US" w:eastAsia="zh-CN"/>
              </w:rPr>
              <w:t>。</w:t>
            </w:r>
          </w:p>
          <w:p w14:paraId="4AB2F418">
            <w:pPr>
              <w:pStyle w:val="29"/>
              <w:rPr>
                <w:rFonts w:hint="eastAsia"/>
                <w:color w:val="auto"/>
                <w:sz w:val="21"/>
                <w:szCs w:val="21"/>
                <w:lang w:val="en-US" w:eastAsia="zh-CN"/>
              </w:rPr>
            </w:pPr>
          </w:p>
        </w:tc>
      </w:tr>
      <w:tr w14:paraId="0FFF8A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846" w:type="dxa"/>
            <w:noWrap w:val="0"/>
            <w:vAlign w:val="center"/>
          </w:tcPr>
          <w:p w14:paraId="7435640C">
            <w:pPr>
              <w:autoSpaceDE w:val="0"/>
              <w:autoSpaceDN w:val="0"/>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其他符合性分析</w:t>
            </w:r>
          </w:p>
        </w:tc>
        <w:tc>
          <w:tcPr>
            <w:tcW w:w="8024" w:type="dxa"/>
            <w:gridSpan w:val="4"/>
            <w:noWrap w:val="0"/>
            <w:vAlign w:val="center"/>
          </w:tcPr>
          <w:p w14:paraId="5D7CA176">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outlineLvl w:val="9"/>
              <w:rPr>
                <w:rFonts w:hint="default"/>
                <w:b/>
                <w:bCs/>
                <w:color w:val="auto"/>
                <w:lang w:val="en-US" w:eastAsia="zh-CN"/>
              </w:rPr>
            </w:pPr>
            <w:r>
              <w:rPr>
                <w:rFonts w:hint="eastAsia"/>
                <w:b/>
                <w:bCs/>
                <w:color w:val="auto"/>
                <w:lang w:val="en-US" w:eastAsia="zh-CN"/>
              </w:rPr>
              <w:t>1、产业政策符合性分析</w:t>
            </w:r>
          </w:p>
          <w:p w14:paraId="2F852D1F">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outlineLvl w:val="9"/>
              <w:rPr>
                <w:rFonts w:hint="eastAsia" w:ascii="华文宋体" w:hAnsi="华文宋体" w:eastAsia="华文宋体" w:cs="华文宋体"/>
                <w:color w:val="auto"/>
                <w:kern w:val="0"/>
                <w:sz w:val="21"/>
                <w:szCs w:val="21"/>
                <w:lang w:val="en-US" w:eastAsia="zh-CN" w:bidi="ar"/>
              </w:rPr>
            </w:pPr>
            <w:r>
              <w:rPr>
                <w:rFonts w:hint="eastAsia"/>
                <w:color w:val="auto"/>
              </w:rPr>
              <w:t>本项目为</w:t>
            </w:r>
            <w:r>
              <w:rPr>
                <w:rFonts w:hint="eastAsia" w:cs="Times New Roman"/>
                <w:b w:val="0"/>
                <w:bCs/>
                <w:color w:val="auto"/>
                <w:kern w:val="0"/>
                <w:sz w:val="21"/>
                <w:szCs w:val="21"/>
                <w:lang w:val="en-US" w:eastAsia="zh-CN"/>
              </w:rPr>
              <w:t>电动摩托车整车制造项目</w:t>
            </w:r>
            <w:r>
              <w:rPr>
                <w:rFonts w:hint="eastAsia"/>
                <w:color w:val="auto"/>
              </w:rPr>
              <w:t>，</w:t>
            </w:r>
            <w:r>
              <w:rPr>
                <w:rFonts w:hint="eastAsia" w:ascii="华文宋体" w:hAnsi="华文宋体" w:eastAsia="华文宋体" w:cs="华文宋体"/>
                <w:color w:val="auto"/>
                <w:kern w:val="0"/>
                <w:sz w:val="21"/>
                <w:szCs w:val="21"/>
                <w:lang w:val="en-US" w:eastAsia="zh-CN" w:bidi="ar"/>
              </w:rPr>
              <w:t>该项目不属于《产业结构调整指导目录（2024年本）》中的鼓励类、限制类和淘汰类项目，本项目属于允许类。</w:t>
            </w:r>
          </w:p>
          <w:p w14:paraId="33E9E347">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outlineLvl w:val="9"/>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此外，对照《产业结构调整指导目录（20</w:t>
            </w:r>
            <w:r>
              <w:rPr>
                <w:rFonts w:hint="eastAsia" w:ascii="Times New Roman" w:hAnsi="Times New Roman" w:eastAsia="宋体" w:cs="Times New Roman"/>
                <w:color w:val="auto"/>
                <w:lang w:val="en-US" w:eastAsia="zh-CN"/>
              </w:rPr>
              <w:t>24</w:t>
            </w:r>
            <w:r>
              <w:rPr>
                <w:rFonts w:hint="default" w:ascii="Times New Roman" w:hAnsi="Times New Roman" w:eastAsia="宋体" w:cs="Times New Roman"/>
                <w:color w:val="auto"/>
                <w:lang w:val="en-US" w:eastAsia="zh-CN"/>
              </w:rPr>
              <w:t>年本）》，项目所用的设备均不在国家禁止使用的落后、淘汰生产设备</w:t>
            </w:r>
            <w:r>
              <w:rPr>
                <w:rFonts w:hint="eastAsia" w:cs="Times New Roman"/>
                <w:color w:val="auto"/>
                <w:lang w:val="en-US" w:eastAsia="zh-CN"/>
              </w:rPr>
              <w:t>和</w:t>
            </w:r>
            <w:r>
              <w:rPr>
                <w:rFonts w:hint="default" w:ascii="Times New Roman" w:hAnsi="Times New Roman" w:eastAsia="宋体" w:cs="Times New Roman"/>
                <w:color w:val="auto"/>
                <w:lang w:val="en-US" w:eastAsia="zh-CN"/>
              </w:rPr>
              <w:t>淘汰产品之列，因此本项目符合国家现行相关产业政策。</w:t>
            </w:r>
          </w:p>
          <w:p w14:paraId="27DC8E63">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outlineLvl w:val="9"/>
              <w:rPr>
                <w:rFonts w:hint="eastAsia" w:ascii="Times New Roman" w:hAnsi="Times New Roman" w:eastAsia="宋体" w:cs="Times New Roman"/>
                <w:color w:val="auto"/>
              </w:rPr>
            </w:pPr>
            <w:r>
              <w:rPr>
                <w:rFonts w:hint="eastAsia" w:ascii="Times New Roman" w:hAnsi="Times New Roman" w:eastAsia="宋体" w:cs="Times New Roman"/>
                <w:color w:val="auto"/>
              </w:rPr>
              <w:t>同时，本项目取得了遂宁</w:t>
            </w:r>
            <w:r>
              <w:rPr>
                <w:rFonts w:hint="eastAsia" w:ascii="Times New Roman" w:hAnsi="Times New Roman" w:eastAsia="宋体" w:cs="Times New Roman"/>
                <w:color w:val="auto"/>
                <w:lang w:val="en-US" w:eastAsia="zh-CN"/>
              </w:rPr>
              <w:t>市安居区经济和信息化局</w:t>
            </w:r>
            <w:r>
              <w:rPr>
                <w:rFonts w:hint="eastAsia" w:ascii="Times New Roman" w:hAnsi="Times New Roman" w:eastAsia="宋体" w:cs="Times New Roman"/>
                <w:color w:val="auto"/>
              </w:rPr>
              <w:t>出具关于本项目</w:t>
            </w:r>
            <w:r>
              <w:rPr>
                <w:rFonts w:hint="eastAsia" w:ascii="Times New Roman" w:hAnsi="Times New Roman" w:eastAsia="宋体" w:cs="Times New Roman"/>
                <w:color w:val="auto"/>
                <w:lang w:val="en-US" w:eastAsia="zh-CN"/>
              </w:rPr>
              <w:t>备案表（川投资备【</w:t>
            </w:r>
            <w:r>
              <w:rPr>
                <w:rFonts w:hint="eastAsia" w:cs="Times New Roman"/>
                <w:color w:val="auto"/>
                <w:lang w:val="en-US" w:eastAsia="zh-CN"/>
              </w:rPr>
              <w:t>2410-510904-04-01-105379</w:t>
            </w:r>
            <w:r>
              <w:rPr>
                <w:rFonts w:hint="eastAsia" w:ascii="Times New Roman" w:hAnsi="Times New Roman" w:eastAsia="宋体" w:cs="Times New Roman"/>
                <w:color w:val="auto"/>
                <w:lang w:val="en-US" w:eastAsia="zh-CN"/>
              </w:rPr>
              <w:t>】JXQB-0006 号）</w:t>
            </w:r>
            <w:r>
              <w:rPr>
                <w:rFonts w:hint="eastAsia" w:ascii="Times New Roman" w:hAnsi="Times New Roman" w:eastAsia="宋体" w:cs="Times New Roman"/>
                <w:color w:val="auto"/>
              </w:rPr>
              <w:t>（见附件</w:t>
            </w:r>
            <w:r>
              <w:rPr>
                <w:rFonts w:hint="eastAsia" w:cs="Times New Roman"/>
                <w:color w:val="auto"/>
                <w:lang w:val="en-US" w:eastAsia="zh-CN"/>
              </w:rPr>
              <w:t>2</w:t>
            </w:r>
            <w:r>
              <w:rPr>
                <w:rFonts w:hint="eastAsia" w:ascii="Times New Roman" w:hAnsi="Times New Roman" w:eastAsia="宋体" w:cs="Times New Roman"/>
                <w:color w:val="auto"/>
              </w:rPr>
              <w:t>）。</w:t>
            </w:r>
          </w:p>
          <w:p w14:paraId="0784CDB9">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outlineLvl w:val="9"/>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rPr>
              <w:t>综上，本项目符合国家现行产业政策的要求。</w:t>
            </w:r>
          </w:p>
          <w:p w14:paraId="7FE5380C">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outlineLvl w:val="9"/>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2、与审批承诺制符合性</w:t>
            </w:r>
          </w:p>
          <w:p w14:paraId="0D730647">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outlineLvl w:val="9"/>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根据遂宁市生态环境局关于《关于实施建设项目环评审批告知承诺制提升营商环境的通知》（遂环函〔2024〕210号），实行审批承诺制的项目实施范围共涉及《建设项目环境影响评价分类管理名录》（部令第16号）中17大类44小类行业。</w:t>
            </w:r>
          </w:p>
          <w:p w14:paraId="573A6892">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outlineLvl w:val="9"/>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本项目与审批承诺制实施范围符合性如下表：</w:t>
            </w:r>
          </w:p>
          <w:p w14:paraId="7AF4B192">
            <w:pPr>
              <w:snapToGrid w:val="0"/>
              <w:spacing w:before="120" w:beforeLines="50"/>
              <w:jc w:val="center"/>
              <w:rPr>
                <w:rFonts w:hint="eastAsia"/>
                <w:b/>
                <w:color w:val="auto"/>
                <w:sz w:val="21"/>
                <w:szCs w:val="21"/>
                <w:lang w:val="en-US" w:eastAsia="zh-CN"/>
              </w:rPr>
            </w:pPr>
            <w:r>
              <w:rPr>
                <w:rFonts w:hint="eastAsia"/>
                <w:b/>
                <w:color w:val="auto"/>
                <w:sz w:val="21"/>
                <w:szCs w:val="21"/>
                <w:lang w:val="en-US" w:eastAsia="zh-CN"/>
              </w:rPr>
              <w:t>表1-3 审批承诺制实施范围与本项目符合性</w:t>
            </w:r>
          </w:p>
          <w:tbl>
            <w:tblPr>
              <w:tblStyle w:val="30"/>
              <w:tblW w:w="4999" w:type="pct"/>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017"/>
              <w:gridCol w:w="4680"/>
              <w:gridCol w:w="1079"/>
            </w:tblGrid>
            <w:tr w14:paraId="030C5B6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75" w:hRule="atLeast"/>
                <w:jc w:val="center"/>
              </w:trPr>
              <w:tc>
                <w:tcPr>
                  <w:tcW w:w="1297" w:type="pct"/>
                  <w:tcBorders>
                    <w:left w:val="nil"/>
                    <w:bottom w:val="single" w:color="000000" w:sz="4" w:space="0"/>
                    <w:right w:val="single" w:color="000000" w:sz="4" w:space="0"/>
                  </w:tcBorders>
                  <w:noWrap w:val="0"/>
                  <w:vAlign w:val="center"/>
                </w:tcPr>
                <w:p w14:paraId="2E5A65A7">
                  <w:pPr>
                    <w:autoSpaceDE w:val="0"/>
                    <w:autoSpaceDN w:val="0"/>
                    <w:adjustRightInd w:val="0"/>
                    <w:snapToGrid w:val="0"/>
                    <w:jc w:val="center"/>
                    <w:rPr>
                      <w:rFonts w:hint="eastAsia"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实施范围</w:t>
                  </w:r>
                </w:p>
              </w:tc>
              <w:tc>
                <w:tcPr>
                  <w:tcW w:w="3008" w:type="pct"/>
                  <w:tcBorders>
                    <w:left w:val="single" w:color="000000" w:sz="4" w:space="0"/>
                    <w:bottom w:val="single" w:color="000000" w:sz="4" w:space="0"/>
                    <w:right w:val="single" w:color="000000" w:sz="4" w:space="0"/>
                  </w:tcBorders>
                  <w:noWrap w:val="0"/>
                  <w:vAlign w:val="center"/>
                </w:tcPr>
                <w:p w14:paraId="387485F0">
                  <w:pPr>
                    <w:autoSpaceDE w:val="0"/>
                    <w:autoSpaceDN w:val="0"/>
                    <w:adjustRightInd w:val="0"/>
                    <w:snapToGrid w:val="0"/>
                    <w:jc w:val="center"/>
                    <w:rPr>
                      <w:rFonts w:hint="eastAsia"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本项目</w:t>
                  </w:r>
                </w:p>
              </w:tc>
              <w:tc>
                <w:tcPr>
                  <w:tcW w:w="694" w:type="pct"/>
                  <w:tcBorders>
                    <w:left w:val="single" w:color="000000" w:sz="4" w:space="0"/>
                    <w:bottom w:val="single" w:color="000000" w:sz="4" w:space="0"/>
                    <w:right w:val="nil"/>
                  </w:tcBorders>
                  <w:noWrap w:val="0"/>
                  <w:vAlign w:val="center"/>
                </w:tcPr>
                <w:p w14:paraId="7F9C5E8C">
                  <w:pPr>
                    <w:autoSpaceDE w:val="0"/>
                    <w:autoSpaceDN w:val="0"/>
                    <w:adjustRightInd w:val="0"/>
                    <w:snapToGrid w:val="0"/>
                    <w:jc w:val="center"/>
                    <w:rPr>
                      <w:rFonts w:hint="eastAsia"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符合性</w:t>
                  </w:r>
                </w:p>
              </w:tc>
            </w:tr>
            <w:tr w14:paraId="0F49E2E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06" w:hRule="atLeast"/>
                <w:jc w:val="center"/>
              </w:trPr>
              <w:tc>
                <w:tcPr>
                  <w:tcW w:w="1297" w:type="pct"/>
                  <w:tcBorders>
                    <w:top w:val="single" w:color="000000" w:sz="4" w:space="0"/>
                    <w:left w:val="nil"/>
                    <w:right w:val="single" w:color="000000" w:sz="4" w:space="0"/>
                  </w:tcBorders>
                  <w:noWrap w:val="0"/>
                  <w:vAlign w:val="center"/>
                </w:tcPr>
                <w:p w14:paraId="1264471F">
                  <w:pPr>
                    <w:autoSpaceDE w:val="0"/>
                    <w:autoSpaceDN w:val="0"/>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三十四、铁路、船舶、航空航天和其他运输设备制造业  75、摩托车制造（报告书、报告表）</w:t>
                  </w:r>
                </w:p>
              </w:tc>
              <w:tc>
                <w:tcPr>
                  <w:tcW w:w="3008" w:type="pct"/>
                  <w:tcBorders>
                    <w:top w:val="single" w:color="000000" w:sz="4" w:space="0"/>
                    <w:left w:val="single" w:color="000000" w:sz="4" w:space="0"/>
                    <w:right w:val="single" w:color="000000" w:sz="4" w:space="0"/>
                  </w:tcBorders>
                  <w:noWrap w:val="0"/>
                  <w:vAlign w:val="center"/>
                </w:tcPr>
                <w:p w14:paraId="3E18C88D">
                  <w:pPr>
                    <w:autoSpaceDE w:val="0"/>
                    <w:autoSpaceDN w:val="0"/>
                    <w:adjustRightInd w:val="0"/>
                    <w:snapToGrid w:val="0"/>
                    <w:jc w:val="center"/>
                    <w:rPr>
                      <w:rFonts w:hint="eastAsia"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本项目属于《建设项目环境影响评价分类管理名录》（2021版）“三十四、铁路、船舶、航空航天和其他运输设备制造业：75、摩托车制造；摩托车整车制造中仅组装的”，编制报告表。</w:t>
                  </w:r>
                </w:p>
              </w:tc>
              <w:tc>
                <w:tcPr>
                  <w:tcW w:w="694" w:type="pct"/>
                  <w:tcBorders>
                    <w:top w:val="single" w:color="000000" w:sz="4" w:space="0"/>
                    <w:left w:val="single" w:color="000000" w:sz="4" w:space="0"/>
                    <w:right w:val="nil"/>
                  </w:tcBorders>
                  <w:noWrap w:val="0"/>
                  <w:vAlign w:val="center"/>
                </w:tcPr>
                <w:p w14:paraId="00BCE73C">
                  <w:pPr>
                    <w:autoSpaceDE w:val="0"/>
                    <w:autoSpaceDN w:val="0"/>
                    <w:adjustRightInd w:val="0"/>
                    <w:snapToGrid w:val="0"/>
                    <w:jc w:val="center"/>
                    <w:rPr>
                      <w:rFonts w:hint="eastAsia"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符合</w:t>
                  </w:r>
                </w:p>
              </w:tc>
            </w:tr>
          </w:tbl>
          <w:p w14:paraId="38B2836B">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outlineLvl w:val="9"/>
              <w:rPr>
                <w:rFonts w:hint="eastAsia" w:ascii="Times New Roman" w:hAnsi="Times New Roman" w:eastAsia="宋体" w:cs="Times New Roman"/>
                <w:color w:val="auto"/>
                <w:lang w:val="en-US" w:eastAsia="zh-CN"/>
              </w:rPr>
            </w:pPr>
          </w:p>
          <w:p w14:paraId="2F6F7949">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outlineLvl w:val="9"/>
              <w:rPr>
                <w:rFonts w:hint="default" w:cs="Times New Roman"/>
                <w:b/>
                <w:bCs/>
                <w:color w:val="auto"/>
                <w:lang w:val="en-US" w:eastAsia="zh-CN"/>
              </w:rPr>
            </w:pPr>
            <w:r>
              <w:rPr>
                <w:rFonts w:hint="eastAsia" w:ascii="Times New Roman" w:hAnsi="Times New Roman" w:eastAsia="宋体" w:cs="Times New Roman"/>
                <w:color w:val="auto"/>
                <w:lang w:val="en-US" w:eastAsia="zh-CN"/>
              </w:rPr>
              <w:t>综上分析，本项目满足《关于实施建设项目环评审批告知承诺制提升营商环境的通知》（遂环函〔2020〕73号）的规定，本项目可实施审批承诺制。</w:t>
            </w:r>
          </w:p>
          <w:p w14:paraId="648C0169">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outlineLvl w:val="9"/>
              <w:rPr>
                <w:rFonts w:hint="eastAsia" w:ascii="宋体" w:hAnsi="宋体" w:eastAsia="宋体" w:cs="宋体"/>
                <w:b/>
                <w:bCs/>
                <w:color w:val="auto"/>
                <w:sz w:val="21"/>
                <w:szCs w:val="21"/>
                <w:lang w:val="en-US" w:eastAsia="zh-CN"/>
              </w:rPr>
            </w:pPr>
            <w:r>
              <w:rPr>
                <w:rFonts w:hint="eastAsia" w:cs="Times New Roman"/>
                <w:b/>
                <w:bCs/>
                <w:color w:val="auto"/>
                <w:lang w:val="en-US" w:eastAsia="zh-CN"/>
              </w:rPr>
              <w:t>3</w:t>
            </w:r>
            <w:r>
              <w:rPr>
                <w:rFonts w:hint="eastAsia" w:ascii="Times New Roman" w:hAnsi="Times New Roman" w:eastAsia="宋体" w:cs="Times New Roman"/>
                <w:b/>
                <w:bCs/>
                <w:color w:val="auto"/>
                <w:lang w:val="en-US" w:eastAsia="zh-CN"/>
              </w:rPr>
              <w:t>、</w:t>
            </w:r>
            <w:r>
              <w:rPr>
                <w:rFonts w:hint="eastAsia" w:ascii="宋体" w:hAnsi="宋体" w:eastAsia="宋体" w:cs="宋体"/>
                <w:b/>
                <w:bCs/>
                <w:color w:val="auto"/>
                <w:sz w:val="21"/>
                <w:szCs w:val="21"/>
                <w:lang w:val="en-US" w:eastAsia="zh-CN"/>
              </w:rPr>
              <w:t>与用地规划符合性分析</w:t>
            </w:r>
          </w:p>
          <w:p w14:paraId="3484D4CB">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outlineLvl w:val="9"/>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本项目位于遂宁市安居区工业集中发展区</w:t>
            </w:r>
            <w:r>
              <w:rPr>
                <w:rFonts w:hint="eastAsia" w:cs="Times New Roman"/>
                <w:color w:val="auto"/>
                <w:lang w:val="en-US" w:eastAsia="zh-CN"/>
              </w:rPr>
              <w:t>潮新路北侧，胡琴路西侧</w:t>
            </w:r>
            <w:r>
              <w:rPr>
                <w:rFonts w:hint="eastAsia" w:ascii="Times New Roman" w:hAnsi="Times New Roman" w:eastAsia="宋体" w:cs="Times New Roman"/>
                <w:color w:val="auto"/>
                <w:lang w:val="en-US" w:eastAsia="zh-CN"/>
              </w:rPr>
              <w:t>，根据遂宁市安居区自然资源和规划局出具的</w:t>
            </w:r>
            <w:r>
              <w:rPr>
                <w:rFonts w:hint="eastAsia" w:cs="Times New Roman"/>
                <w:color w:val="auto"/>
                <w:lang w:val="en-US" w:eastAsia="zh-CN"/>
              </w:rPr>
              <w:t>红线图、不动产证（川（2025）安居区不动产权第00030106号）以及</w:t>
            </w:r>
            <w:r>
              <w:rPr>
                <w:rFonts w:hint="eastAsia" w:ascii="Times New Roman" w:hAnsi="Times New Roman" w:eastAsia="宋体" w:cs="Times New Roman"/>
                <w:color w:val="auto"/>
                <w:lang w:val="en-US" w:eastAsia="zh-CN"/>
              </w:rPr>
              <w:t>遂宁市安居区工业集中发展区控制性详细规划（2017-2030）土地利用规划图，项目占地类型为工业用地，本项目作为</w:t>
            </w:r>
            <w:r>
              <w:rPr>
                <w:rFonts w:hint="eastAsia" w:cs="Times New Roman"/>
                <w:b w:val="0"/>
                <w:bCs/>
                <w:color w:val="auto"/>
                <w:kern w:val="0"/>
                <w:sz w:val="21"/>
                <w:szCs w:val="21"/>
                <w:lang w:val="en-US" w:eastAsia="zh-CN"/>
              </w:rPr>
              <w:t>电动摩托车整车制造项目</w:t>
            </w:r>
            <w:r>
              <w:rPr>
                <w:rFonts w:hint="eastAsia" w:ascii="Times New Roman" w:hAnsi="Times New Roman" w:eastAsia="宋体" w:cs="Times New Roman"/>
                <w:color w:val="auto"/>
                <w:lang w:val="en-US" w:eastAsia="zh-CN"/>
              </w:rPr>
              <w:t>，选址于此与规划用地相符项目的建设符合安居区土地利用规划。</w:t>
            </w:r>
          </w:p>
          <w:p w14:paraId="310CF3B5">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outlineLvl w:val="9"/>
              <w:rPr>
                <w:rFonts w:hint="eastAsia" w:ascii="Times New Roman" w:hAnsi="Times New Roman" w:cs="Times New Roman"/>
                <w:b/>
                <w:bCs w:val="0"/>
                <w:color w:val="auto"/>
                <w:kern w:val="0"/>
                <w:sz w:val="21"/>
                <w:szCs w:val="21"/>
                <w:lang w:val="en-US" w:eastAsia="zh-CN"/>
              </w:rPr>
            </w:pPr>
            <w:r>
              <w:rPr>
                <w:rFonts w:hint="eastAsia" w:ascii="Times New Roman" w:hAnsi="Times New Roman" w:eastAsia="宋体" w:cs="Times New Roman"/>
                <w:color w:val="auto"/>
                <w:lang w:val="en-US" w:eastAsia="zh-CN"/>
              </w:rPr>
              <w:t>综上，本项目的建设与城市总体规划、土地利用规划等均相符。</w:t>
            </w:r>
          </w:p>
          <w:p w14:paraId="02FCF7B2">
            <w:pPr>
              <w:pStyle w:val="78"/>
              <w:ind w:left="0" w:leftChars="0" w:firstLine="0" w:firstLineChars="0"/>
              <w:rPr>
                <w:rFonts w:hint="default" w:ascii="Times New Roman" w:hAnsi="Times New Roman" w:eastAsia="宋体" w:cs="Times New Roman"/>
                <w:b/>
                <w:bCs/>
                <w:color w:val="auto"/>
                <w:kern w:val="0"/>
                <w:sz w:val="21"/>
                <w:szCs w:val="21"/>
              </w:rPr>
            </w:pPr>
            <w:r>
              <w:rPr>
                <w:rFonts w:hint="eastAsia" w:ascii="Times New Roman" w:hAnsi="Times New Roman" w:cs="Times New Roman"/>
                <w:b/>
                <w:bCs w:val="0"/>
                <w:color w:val="auto"/>
                <w:kern w:val="0"/>
                <w:sz w:val="21"/>
                <w:szCs w:val="21"/>
                <w:lang w:val="en-US" w:eastAsia="zh-CN"/>
              </w:rPr>
              <w:t>4</w:t>
            </w:r>
            <w:r>
              <w:rPr>
                <w:rFonts w:hint="default" w:ascii="Times New Roman" w:hAnsi="Times New Roman" w:eastAsia="宋体" w:cs="Times New Roman"/>
                <w:b/>
                <w:bCs w:val="0"/>
                <w:color w:val="auto"/>
                <w:kern w:val="0"/>
                <w:sz w:val="21"/>
                <w:szCs w:val="21"/>
              </w:rPr>
              <w:t>、与水污染防治相关规划相符性分析</w:t>
            </w:r>
            <w:r>
              <w:rPr>
                <w:rFonts w:hint="default" w:ascii="Times New Roman" w:hAnsi="Times New Roman" w:eastAsia="宋体" w:cs="Times New Roman"/>
                <w:b/>
                <w:bCs/>
                <w:color w:val="auto"/>
                <w:kern w:val="0"/>
                <w:sz w:val="21"/>
                <w:szCs w:val="21"/>
              </w:rPr>
              <w:t>表</w:t>
            </w:r>
          </w:p>
          <w:p w14:paraId="02422A9B">
            <w:pPr>
              <w:snapToGrid w:val="0"/>
              <w:spacing w:before="120" w:beforeLines="50"/>
              <w:jc w:val="center"/>
              <w:rPr>
                <w:rFonts w:hint="default"/>
                <w:b/>
                <w:color w:val="auto"/>
                <w:sz w:val="21"/>
                <w:szCs w:val="21"/>
                <w:lang w:val="en-US" w:eastAsia="zh-CN"/>
              </w:rPr>
            </w:pPr>
            <w:r>
              <w:rPr>
                <w:rFonts w:hint="default"/>
                <w:b/>
                <w:color w:val="auto"/>
                <w:sz w:val="21"/>
                <w:szCs w:val="21"/>
                <w:lang w:val="en-US" w:eastAsia="zh-CN"/>
              </w:rPr>
              <w:t>1-</w:t>
            </w:r>
            <w:r>
              <w:rPr>
                <w:rFonts w:hint="eastAsia"/>
                <w:b/>
                <w:color w:val="auto"/>
                <w:sz w:val="21"/>
                <w:szCs w:val="21"/>
                <w:lang w:val="en-US" w:eastAsia="zh-CN"/>
              </w:rPr>
              <w:t>4</w:t>
            </w:r>
            <w:r>
              <w:rPr>
                <w:rFonts w:hint="default"/>
                <w:b/>
                <w:color w:val="auto"/>
                <w:sz w:val="21"/>
                <w:szCs w:val="21"/>
                <w:lang w:val="en-US" w:eastAsia="zh-CN"/>
              </w:rPr>
              <w:t xml:space="preserve">  本项目与水污染防治相关规划的符合性对照表</w:t>
            </w:r>
          </w:p>
          <w:tbl>
            <w:tblPr>
              <w:tblStyle w:val="30"/>
              <w:tblW w:w="5000" w:type="pct"/>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945"/>
              <w:gridCol w:w="3453"/>
              <w:gridCol w:w="2797"/>
              <w:gridCol w:w="583"/>
            </w:tblGrid>
            <w:tr w14:paraId="4DDDD8B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0" w:hRule="atLeast"/>
                <w:jc w:val="center"/>
              </w:trPr>
              <w:tc>
                <w:tcPr>
                  <w:tcW w:w="848" w:type="dxa"/>
                  <w:tcBorders>
                    <w:left w:val="nil"/>
                    <w:bottom w:val="single" w:color="000000" w:sz="4" w:space="0"/>
                    <w:right w:val="single" w:color="000000" w:sz="6" w:space="0"/>
                  </w:tcBorders>
                  <w:noWrap w:val="0"/>
                  <w:vAlign w:val="center"/>
                </w:tcPr>
                <w:p w14:paraId="57BBD6ED">
                  <w:pPr>
                    <w:autoSpaceDE w:val="0"/>
                    <w:autoSpaceDN w:val="0"/>
                    <w:adjustRightInd w:val="0"/>
                    <w:snapToGrid w:val="0"/>
                    <w:jc w:val="center"/>
                    <w:rPr>
                      <w:rFonts w:hint="default" w:ascii="Times New Roman" w:hAnsi="Times New Roman" w:eastAsia="宋体" w:cs="Times New Roman"/>
                      <w:color w:val="auto"/>
                      <w:kern w:val="0"/>
                      <w:sz w:val="18"/>
                      <w:szCs w:val="18"/>
                      <w:lang w:val="en-US" w:eastAsia="zh-TW"/>
                    </w:rPr>
                  </w:pPr>
                  <w:r>
                    <w:rPr>
                      <w:rFonts w:hint="default" w:ascii="Times New Roman" w:hAnsi="Times New Roman" w:eastAsia="宋体" w:cs="Times New Roman"/>
                      <w:color w:val="auto"/>
                      <w:kern w:val="0"/>
                      <w:sz w:val="18"/>
                      <w:szCs w:val="18"/>
                      <w:lang w:val="en-US" w:eastAsia="zh-TW"/>
                    </w:rPr>
                    <w:t>名称</w:t>
                  </w:r>
                </w:p>
              </w:tc>
              <w:tc>
                <w:tcPr>
                  <w:tcW w:w="3100" w:type="dxa"/>
                  <w:tcBorders>
                    <w:left w:val="single" w:color="000000" w:sz="6" w:space="0"/>
                    <w:bottom w:val="single" w:color="000000" w:sz="4" w:space="0"/>
                    <w:right w:val="single" w:color="000000" w:sz="4" w:space="0"/>
                  </w:tcBorders>
                  <w:noWrap w:val="0"/>
                  <w:vAlign w:val="center"/>
                </w:tcPr>
                <w:p w14:paraId="480511DC">
                  <w:pPr>
                    <w:autoSpaceDE w:val="0"/>
                    <w:autoSpaceDN w:val="0"/>
                    <w:adjustRightInd w:val="0"/>
                    <w:snapToGrid w:val="0"/>
                    <w:jc w:val="center"/>
                    <w:rPr>
                      <w:rFonts w:hint="default" w:ascii="Times New Roman" w:hAnsi="Times New Roman" w:eastAsia="宋体" w:cs="Times New Roman"/>
                      <w:color w:val="auto"/>
                      <w:kern w:val="0"/>
                      <w:sz w:val="18"/>
                      <w:szCs w:val="18"/>
                      <w:lang w:val="en-US" w:eastAsia="zh-TW"/>
                    </w:rPr>
                  </w:pPr>
                  <w:r>
                    <w:rPr>
                      <w:rFonts w:hint="default" w:ascii="Times New Roman" w:hAnsi="Times New Roman" w:eastAsia="宋体" w:cs="Times New Roman"/>
                      <w:color w:val="auto"/>
                      <w:kern w:val="0"/>
                      <w:sz w:val="18"/>
                      <w:szCs w:val="18"/>
                      <w:lang w:val="en-US" w:eastAsia="zh-TW"/>
                    </w:rPr>
                    <w:t>规范要求</w:t>
                  </w:r>
                </w:p>
              </w:tc>
              <w:tc>
                <w:tcPr>
                  <w:tcW w:w="2511" w:type="dxa"/>
                  <w:tcBorders>
                    <w:left w:val="single" w:color="000000" w:sz="4" w:space="0"/>
                    <w:bottom w:val="single" w:color="000000" w:sz="4" w:space="0"/>
                    <w:right w:val="single" w:color="000000" w:sz="4" w:space="0"/>
                  </w:tcBorders>
                  <w:noWrap w:val="0"/>
                  <w:vAlign w:val="center"/>
                </w:tcPr>
                <w:p w14:paraId="3FC6DEB3">
                  <w:pPr>
                    <w:autoSpaceDE w:val="0"/>
                    <w:autoSpaceDN w:val="0"/>
                    <w:adjustRightInd w:val="0"/>
                    <w:snapToGrid w:val="0"/>
                    <w:jc w:val="center"/>
                    <w:rPr>
                      <w:rFonts w:hint="default" w:ascii="Times New Roman" w:hAnsi="Times New Roman" w:eastAsia="宋体" w:cs="Times New Roman"/>
                      <w:color w:val="auto"/>
                      <w:kern w:val="0"/>
                      <w:sz w:val="18"/>
                      <w:szCs w:val="18"/>
                      <w:lang w:val="en-US" w:eastAsia="zh-TW"/>
                    </w:rPr>
                  </w:pPr>
                  <w:r>
                    <w:rPr>
                      <w:rFonts w:hint="default" w:ascii="Times New Roman" w:hAnsi="Times New Roman" w:eastAsia="宋体" w:cs="Times New Roman"/>
                      <w:color w:val="auto"/>
                      <w:kern w:val="0"/>
                      <w:sz w:val="18"/>
                      <w:szCs w:val="18"/>
                      <w:lang w:val="en-US" w:eastAsia="zh-TW"/>
                    </w:rPr>
                    <w:t>核对本项目具体情况</w:t>
                  </w:r>
                </w:p>
              </w:tc>
              <w:tc>
                <w:tcPr>
                  <w:tcW w:w="524" w:type="dxa"/>
                  <w:tcBorders>
                    <w:left w:val="single" w:color="000000" w:sz="4" w:space="0"/>
                    <w:bottom w:val="single" w:color="000000" w:sz="4" w:space="0"/>
                    <w:right w:val="nil"/>
                  </w:tcBorders>
                  <w:noWrap w:val="0"/>
                  <w:vAlign w:val="center"/>
                </w:tcPr>
                <w:p w14:paraId="3DD36FC6">
                  <w:pPr>
                    <w:autoSpaceDE w:val="0"/>
                    <w:autoSpaceDN w:val="0"/>
                    <w:adjustRightInd w:val="0"/>
                    <w:snapToGrid w:val="0"/>
                    <w:jc w:val="center"/>
                    <w:rPr>
                      <w:rFonts w:hint="default" w:ascii="Times New Roman" w:hAnsi="Times New Roman" w:eastAsia="宋体" w:cs="Times New Roman"/>
                      <w:color w:val="auto"/>
                      <w:kern w:val="0"/>
                      <w:sz w:val="18"/>
                      <w:szCs w:val="18"/>
                      <w:lang w:val="en-US" w:eastAsia="zh-TW"/>
                    </w:rPr>
                  </w:pPr>
                  <w:r>
                    <w:rPr>
                      <w:rFonts w:hint="default" w:ascii="Times New Roman" w:hAnsi="Times New Roman" w:eastAsia="宋体" w:cs="Times New Roman"/>
                      <w:color w:val="auto"/>
                      <w:kern w:val="0"/>
                      <w:sz w:val="18"/>
                      <w:szCs w:val="18"/>
                      <w:lang w:val="en-US" w:eastAsia="zh-TW"/>
                    </w:rPr>
                    <w:t>备注</w:t>
                  </w:r>
                </w:p>
              </w:tc>
            </w:tr>
            <w:tr w14:paraId="6588768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0" w:hRule="atLeast"/>
                <w:jc w:val="center"/>
              </w:trPr>
              <w:tc>
                <w:tcPr>
                  <w:tcW w:w="848" w:type="dxa"/>
                  <w:tcBorders>
                    <w:top w:val="single" w:color="000000" w:sz="4" w:space="0"/>
                    <w:left w:val="nil"/>
                    <w:bottom w:val="single" w:color="000000" w:sz="4" w:space="0"/>
                    <w:right w:val="single" w:color="000000" w:sz="6" w:space="0"/>
                  </w:tcBorders>
                  <w:noWrap w:val="0"/>
                  <w:vAlign w:val="center"/>
                </w:tcPr>
                <w:p w14:paraId="68109DB4">
                  <w:pPr>
                    <w:autoSpaceDE w:val="0"/>
                    <w:autoSpaceDN w:val="0"/>
                    <w:adjustRightInd w:val="0"/>
                    <w:snapToGrid w:val="0"/>
                    <w:jc w:val="center"/>
                    <w:rPr>
                      <w:rFonts w:hint="default" w:ascii="Times New Roman" w:hAnsi="Times New Roman" w:eastAsia="宋体" w:cs="Times New Roman"/>
                      <w:color w:val="auto"/>
                      <w:kern w:val="0"/>
                      <w:sz w:val="18"/>
                      <w:szCs w:val="18"/>
                      <w:lang w:val="en-US" w:eastAsia="zh-TW"/>
                    </w:rPr>
                  </w:pPr>
                  <w:r>
                    <w:rPr>
                      <w:rFonts w:hint="default" w:ascii="Times New Roman" w:hAnsi="Times New Roman" w:eastAsia="宋体" w:cs="Times New Roman"/>
                      <w:color w:val="auto"/>
                      <w:kern w:val="0"/>
                      <w:sz w:val="18"/>
                      <w:szCs w:val="18"/>
                      <w:lang w:val="en-US" w:eastAsia="zh-TW"/>
                    </w:rPr>
                    <w:t>水污染防治行动计划</w:t>
                  </w:r>
                </w:p>
              </w:tc>
              <w:tc>
                <w:tcPr>
                  <w:tcW w:w="3100" w:type="dxa"/>
                  <w:tcBorders>
                    <w:top w:val="single" w:color="000000" w:sz="4" w:space="0"/>
                    <w:left w:val="single" w:color="000000" w:sz="6" w:space="0"/>
                    <w:bottom w:val="single" w:color="000000" w:sz="4" w:space="0"/>
                    <w:right w:val="single" w:color="000000" w:sz="4" w:space="0"/>
                  </w:tcBorders>
                  <w:noWrap w:val="0"/>
                  <w:vAlign w:val="center"/>
                </w:tcPr>
                <w:p w14:paraId="0950D0B3">
                  <w:pPr>
                    <w:autoSpaceDE w:val="0"/>
                    <w:autoSpaceDN w:val="0"/>
                    <w:adjustRightInd w:val="0"/>
                    <w:snapToGrid w:val="0"/>
                    <w:jc w:val="center"/>
                    <w:rPr>
                      <w:rFonts w:hint="default" w:ascii="Times New Roman" w:hAnsi="Times New Roman" w:eastAsia="宋体" w:cs="Times New Roman"/>
                      <w:color w:val="auto"/>
                      <w:kern w:val="0"/>
                      <w:sz w:val="18"/>
                      <w:szCs w:val="18"/>
                      <w:lang w:val="en-US" w:eastAsia="zh-TW"/>
                    </w:rPr>
                  </w:pPr>
                  <w:r>
                    <w:rPr>
                      <w:rFonts w:hint="default" w:ascii="Times New Roman" w:hAnsi="Times New Roman" w:eastAsia="宋体" w:cs="Times New Roman"/>
                      <w:color w:val="auto"/>
                      <w:kern w:val="0"/>
                      <w:sz w:val="18"/>
                      <w:szCs w:val="18"/>
                      <w:lang w:val="en-US" w:eastAsia="zh-TW"/>
                    </w:rPr>
                    <w:t>集聚区内工业废水必须经预处理达到集中处理要求，方可进入污水集中处理设施。新建、升级工业集聚区应同步规划、建设污水、垃圾集中处理等污染治理设施。</w:t>
                  </w:r>
                </w:p>
              </w:tc>
              <w:tc>
                <w:tcPr>
                  <w:tcW w:w="2511" w:type="dxa"/>
                  <w:vMerge w:val="restart"/>
                  <w:tcBorders>
                    <w:top w:val="single" w:color="000000" w:sz="4" w:space="0"/>
                    <w:left w:val="single" w:color="000000" w:sz="4" w:space="0"/>
                    <w:bottom w:val="single" w:color="000000" w:sz="4" w:space="0"/>
                    <w:right w:val="single" w:color="000000" w:sz="4" w:space="0"/>
                  </w:tcBorders>
                  <w:noWrap w:val="0"/>
                  <w:vAlign w:val="center"/>
                </w:tcPr>
                <w:p w14:paraId="62736A31">
                  <w:pPr>
                    <w:autoSpaceDE w:val="0"/>
                    <w:autoSpaceDN w:val="0"/>
                    <w:adjustRightInd w:val="0"/>
                    <w:snapToGrid w:val="0"/>
                    <w:jc w:val="center"/>
                    <w:rPr>
                      <w:rFonts w:hint="default" w:ascii="Times New Roman" w:hAnsi="Times New Roman" w:eastAsia="宋体" w:cs="Times New Roman"/>
                      <w:color w:val="auto"/>
                      <w:kern w:val="0"/>
                      <w:sz w:val="18"/>
                      <w:szCs w:val="18"/>
                      <w:lang w:val="en-US" w:eastAsia="zh-TW"/>
                    </w:rPr>
                  </w:pPr>
                  <w:r>
                    <w:rPr>
                      <w:rFonts w:hint="default" w:ascii="Times New Roman" w:hAnsi="Times New Roman" w:eastAsia="宋体" w:cs="Times New Roman"/>
                      <w:color w:val="auto"/>
                      <w:kern w:val="0"/>
                      <w:sz w:val="18"/>
                      <w:szCs w:val="18"/>
                      <w:lang w:val="en-US" w:eastAsia="zh-TW"/>
                    </w:rPr>
                    <w:t>经分析，本项目主要</w:t>
                  </w:r>
                  <w:r>
                    <w:rPr>
                      <w:rFonts w:hint="eastAsia" w:ascii="Times New Roman" w:hAnsi="Times New Roman" w:eastAsia="宋体" w:cs="Times New Roman"/>
                      <w:color w:val="auto"/>
                      <w:kern w:val="0"/>
                      <w:sz w:val="18"/>
                      <w:szCs w:val="18"/>
                      <w:lang w:val="en-US" w:eastAsia="zh-CN"/>
                    </w:rPr>
                    <w:t>外</w:t>
                  </w:r>
                  <w:r>
                    <w:rPr>
                      <w:rFonts w:hint="default" w:ascii="Times New Roman" w:hAnsi="Times New Roman" w:eastAsia="宋体" w:cs="Times New Roman"/>
                      <w:color w:val="auto"/>
                      <w:kern w:val="0"/>
                      <w:sz w:val="18"/>
                      <w:szCs w:val="18"/>
                      <w:lang w:val="en-US" w:eastAsia="zh-TW"/>
                    </w:rPr>
                    <w:t>排</w:t>
                  </w:r>
                  <w:r>
                    <w:rPr>
                      <w:rFonts w:hint="eastAsia" w:ascii="Times New Roman" w:hAnsi="Times New Roman" w:eastAsia="宋体" w:cs="Times New Roman"/>
                      <w:color w:val="auto"/>
                      <w:kern w:val="0"/>
                      <w:sz w:val="18"/>
                      <w:szCs w:val="18"/>
                      <w:lang w:val="en-US" w:eastAsia="zh-CN"/>
                    </w:rPr>
                    <w:t>废水</w:t>
                  </w:r>
                  <w:r>
                    <w:rPr>
                      <w:rFonts w:hint="default" w:ascii="Times New Roman" w:hAnsi="Times New Roman" w:eastAsia="宋体" w:cs="Times New Roman"/>
                      <w:color w:val="auto"/>
                      <w:kern w:val="0"/>
                      <w:sz w:val="18"/>
                      <w:szCs w:val="18"/>
                      <w:lang w:val="en-US" w:eastAsia="zh-TW"/>
                    </w:rPr>
                    <w:t>经收集处理后</w:t>
                  </w:r>
                  <w:r>
                    <w:rPr>
                      <w:rFonts w:hint="default" w:ascii="Times New Roman" w:hAnsi="Times New Roman" w:eastAsia="宋体" w:cs="Times New Roman"/>
                      <w:color w:val="auto"/>
                      <w:kern w:val="0"/>
                      <w:sz w:val="18"/>
                      <w:szCs w:val="18"/>
                      <w:lang w:val="en-US" w:eastAsia="zh-CN"/>
                    </w:rPr>
                    <w:t>进入</w:t>
                  </w:r>
                  <w:r>
                    <w:rPr>
                      <w:rFonts w:hint="default" w:ascii="Times New Roman" w:hAnsi="Times New Roman" w:eastAsia="宋体" w:cs="Times New Roman"/>
                      <w:color w:val="auto"/>
                      <w:kern w:val="0"/>
                      <w:sz w:val="18"/>
                      <w:szCs w:val="18"/>
                      <w:lang w:val="en-US" w:eastAsia="zh-TW"/>
                    </w:rPr>
                    <w:t>园区污水处理厂。主要水污染物总量指标控制严格按照国家地方相关环保要求执行。</w:t>
                  </w:r>
                </w:p>
              </w:tc>
              <w:tc>
                <w:tcPr>
                  <w:tcW w:w="524" w:type="dxa"/>
                  <w:tcBorders>
                    <w:top w:val="single" w:color="000000" w:sz="4" w:space="0"/>
                    <w:left w:val="single" w:color="000000" w:sz="4" w:space="0"/>
                    <w:bottom w:val="single" w:color="000000" w:sz="4" w:space="0"/>
                    <w:right w:val="nil"/>
                  </w:tcBorders>
                  <w:noWrap w:val="0"/>
                  <w:vAlign w:val="center"/>
                </w:tcPr>
                <w:p w14:paraId="72AEA87A">
                  <w:pPr>
                    <w:autoSpaceDE w:val="0"/>
                    <w:autoSpaceDN w:val="0"/>
                    <w:adjustRightInd w:val="0"/>
                    <w:snapToGrid w:val="0"/>
                    <w:jc w:val="center"/>
                    <w:rPr>
                      <w:rFonts w:hint="default" w:ascii="Times New Roman" w:hAnsi="Times New Roman" w:eastAsia="宋体" w:cs="Times New Roman"/>
                      <w:color w:val="auto"/>
                      <w:kern w:val="0"/>
                      <w:sz w:val="18"/>
                      <w:szCs w:val="18"/>
                      <w:lang w:val="en-US" w:eastAsia="zh-TW"/>
                    </w:rPr>
                  </w:pPr>
                </w:p>
                <w:p w14:paraId="36106A7D">
                  <w:pPr>
                    <w:autoSpaceDE w:val="0"/>
                    <w:autoSpaceDN w:val="0"/>
                    <w:adjustRightInd w:val="0"/>
                    <w:snapToGrid w:val="0"/>
                    <w:jc w:val="center"/>
                    <w:rPr>
                      <w:rFonts w:hint="default" w:ascii="Times New Roman" w:hAnsi="Times New Roman" w:eastAsia="宋体" w:cs="Times New Roman"/>
                      <w:color w:val="auto"/>
                      <w:kern w:val="0"/>
                      <w:sz w:val="18"/>
                      <w:szCs w:val="18"/>
                      <w:lang w:val="en-US" w:eastAsia="zh-TW"/>
                    </w:rPr>
                  </w:pPr>
                </w:p>
                <w:p w14:paraId="6D42B10B">
                  <w:pPr>
                    <w:autoSpaceDE w:val="0"/>
                    <w:autoSpaceDN w:val="0"/>
                    <w:adjustRightInd w:val="0"/>
                    <w:snapToGrid w:val="0"/>
                    <w:jc w:val="center"/>
                    <w:rPr>
                      <w:rFonts w:hint="default" w:ascii="Times New Roman" w:hAnsi="Times New Roman" w:eastAsia="宋体" w:cs="Times New Roman"/>
                      <w:color w:val="auto"/>
                      <w:kern w:val="0"/>
                      <w:sz w:val="18"/>
                      <w:szCs w:val="18"/>
                      <w:lang w:val="en-US" w:eastAsia="zh-TW"/>
                    </w:rPr>
                  </w:pPr>
                  <w:r>
                    <w:rPr>
                      <w:rFonts w:hint="default" w:ascii="Times New Roman" w:hAnsi="Times New Roman" w:eastAsia="宋体" w:cs="Times New Roman"/>
                      <w:color w:val="auto"/>
                      <w:kern w:val="0"/>
                      <w:sz w:val="18"/>
                      <w:szCs w:val="18"/>
                      <w:lang w:val="en-US" w:eastAsia="zh-TW"/>
                    </w:rPr>
                    <w:t>符合</w:t>
                  </w:r>
                </w:p>
              </w:tc>
            </w:tr>
            <w:tr w14:paraId="34B0600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0" w:hRule="atLeast"/>
                <w:jc w:val="center"/>
              </w:trPr>
              <w:tc>
                <w:tcPr>
                  <w:tcW w:w="848" w:type="dxa"/>
                  <w:vMerge w:val="restart"/>
                  <w:tcBorders>
                    <w:top w:val="single" w:color="000000" w:sz="4" w:space="0"/>
                    <w:left w:val="nil"/>
                    <w:bottom w:val="single" w:color="000000" w:sz="4" w:space="0"/>
                    <w:right w:val="single" w:color="000000" w:sz="6" w:space="0"/>
                  </w:tcBorders>
                  <w:noWrap w:val="0"/>
                  <w:vAlign w:val="center"/>
                </w:tcPr>
                <w:p w14:paraId="7BDB2BA6">
                  <w:pPr>
                    <w:autoSpaceDE w:val="0"/>
                    <w:autoSpaceDN w:val="0"/>
                    <w:adjustRightInd w:val="0"/>
                    <w:snapToGrid w:val="0"/>
                    <w:jc w:val="center"/>
                    <w:rPr>
                      <w:rFonts w:hint="default" w:ascii="Times New Roman" w:hAnsi="Times New Roman" w:eastAsia="宋体" w:cs="Times New Roman"/>
                      <w:color w:val="auto"/>
                      <w:kern w:val="0"/>
                      <w:sz w:val="18"/>
                      <w:szCs w:val="18"/>
                      <w:lang w:val="en-US" w:eastAsia="zh-TW"/>
                    </w:rPr>
                  </w:pPr>
                  <w:r>
                    <w:rPr>
                      <w:rFonts w:hint="default" w:ascii="Times New Roman" w:hAnsi="Times New Roman" w:eastAsia="宋体" w:cs="Times New Roman"/>
                      <w:color w:val="auto"/>
                      <w:kern w:val="0"/>
                      <w:sz w:val="18"/>
                      <w:szCs w:val="18"/>
                      <w:lang w:val="en-US" w:eastAsia="zh-TW"/>
                    </w:rPr>
                    <w:t>水污染防治行动计划四川省工作方案</w:t>
                  </w:r>
                </w:p>
              </w:tc>
              <w:tc>
                <w:tcPr>
                  <w:tcW w:w="3100" w:type="dxa"/>
                  <w:tcBorders>
                    <w:top w:val="single" w:color="000000" w:sz="4" w:space="0"/>
                    <w:left w:val="single" w:color="000000" w:sz="6" w:space="0"/>
                    <w:bottom w:val="single" w:color="000000" w:sz="4" w:space="0"/>
                    <w:right w:val="single" w:color="000000" w:sz="4" w:space="0"/>
                  </w:tcBorders>
                  <w:noWrap w:val="0"/>
                  <w:vAlign w:val="center"/>
                </w:tcPr>
                <w:p w14:paraId="16B3C12B">
                  <w:pPr>
                    <w:autoSpaceDE w:val="0"/>
                    <w:autoSpaceDN w:val="0"/>
                    <w:adjustRightInd w:val="0"/>
                    <w:snapToGrid w:val="0"/>
                    <w:jc w:val="center"/>
                    <w:rPr>
                      <w:rFonts w:hint="default" w:ascii="Times New Roman" w:hAnsi="Times New Roman" w:eastAsia="宋体" w:cs="Times New Roman"/>
                      <w:color w:val="auto"/>
                      <w:kern w:val="0"/>
                      <w:sz w:val="18"/>
                      <w:szCs w:val="18"/>
                      <w:lang w:val="en-US" w:eastAsia="zh-TW"/>
                    </w:rPr>
                  </w:pPr>
                  <w:r>
                    <w:rPr>
                      <w:rFonts w:hint="default" w:ascii="Times New Roman" w:hAnsi="Times New Roman" w:eastAsia="宋体" w:cs="Times New Roman"/>
                      <w:color w:val="auto"/>
                      <w:kern w:val="0"/>
                      <w:sz w:val="18"/>
                      <w:szCs w:val="18"/>
                      <w:lang w:val="en-US" w:eastAsia="zh-TW"/>
                    </w:rPr>
                    <w:t>环境保护、经济和信息化部门联合制定造纸、焦化氮肥、有色金属、印染、农副食品加工、原料药制造、制革、农药、电镀和磷化工等行业专项治理方案并组织实施；新建、改建、扩建上述行业的建设项目执行氨氮、化学需氧量等量或减量置换。</w:t>
                  </w:r>
                </w:p>
              </w:tc>
              <w:tc>
                <w:tcPr>
                  <w:tcW w:w="2511" w:type="dxa"/>
                  <w:vMerge w:val="continue"/>
                  <w:tcBorders>
                    <w:top w:val="nil"/>
                    <w:left w:val="single" w:color="000000" w:sz="4" w:space="0"/>
                    <w:bottom w:val="single" w:color="000000" w:sz="4" w:space="0"/>
                    <w:right w:val="single" w:color="000000" w:sz="4" w:space="0"/>
                  </w:tcBorders>
                  <w:noWrap w:val="0"/>
                  <w:vAlign w:val="center"/>
                </w:tcPr>
                <w:p w14:paraId="3E70420F">
                  <w:pPr>
                    <w:autoSpaceDE w:val="0"/>
                    <w:autoSpaceDN w:val="0"/>
                    <w:adjustRightInd w:val="0"/>
                    <w:snapToGrid w:val="0"/>
                    <w:jc w:val="center"/>
                    <w:rPr>
                      <w:rFonts w:hint="default" w:ascii="Times New Roman" w:hAnsi="Times New Roman" w:eastAsia="宋体" w:cs="Times New Roman"/>
                      <w:color w:val="auto"/>
                      <w:kern w:val="0"/>
                      <w:sz w:val="18"/>
                      <w:szCs w:val="18"/>
                      <w:lang w:val="en-US" w:eastAsia="zh-TW"/>
                    </w:rPr>
                  </w:pPr>
                </w:p>
              </w:tc>
              <w:tc>
                <w:tcPr>
                  <w:tcW w:w="524" w:type="dxa"/>
                  <w:tcBorders>
                    <w:top w:val="single" w:color="000000" w:sz="4" w:space="0"/>
                    <w:left w:val="single" w:color="000000" w:sz="4" w:space="0"/>
                    <w:bottom w:val="single" w:color="000000" w:sz="4" w:space="0"/>
                    <w:right w:val="nil"/>
                  </w:tcBorders>
                  <w:noWrap w:val="0"/>
                  <w:vAlign w:val="center"/>
                </w:tcPr>
                <w:p w14:paraId="1087C5DF">
                  <w:pPr>
                    <w:autoSpaceDE w:val="0"/>
                    <w:autoSpaceDN w:val="0"/>
                    <w:adjustRightInd w:val="0"/>
                    <w:snapToGrid w:val="0"/>
                    <w:jc w:val="center"/>
                    <w:rPr>
                      <w:rFonts w:hint="default" w:ascii="Times New Roman" w:hAnsi="Times New Roman" w:eastAsia="宋体" w:cs="Times New Roman"/>
                      <w:color w:val="auto"/>
                      <w:kern w:val="0"/>
                      <w:sz w:val="18"/>
                      <w:szCs w:val="18"/>
                      <w:lang w:val="en-US" w:eastAsia="zh-TW"/>
                    </w:rPr>
                  </w:pPr>
                  <w:r>
                    <w:rPr>
                      <w:rFonts w:hint="default" w:ascii="Times New Roman" w:hAnsi="Times New Roman" w:eastAsia="宋体" w:cs="Times New Roman"/>
                      <w:color w:val="auto"/>
                      <w:kern w:val="0"/>
                      <w:sz w:val="18"/>
                      <w:szCs w:val="18"/>
                      <w:lang w:val="en-US" w:eastAsia="zh-TW"/>
                    </w:rPr>
                    <w:t>符合</w:t>
                  </w:r>
                </w:p>
              </w:tc>
            </w:tr>
            <w:tr w14:paraId="58F8EE3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47" w:hRule="atLeast"/>
                <w:jc w:val="center"/>
              </w:trPr>
              <w:tc>
                <w:tcPr>
                  <w:tcW w:w="848" w:type="dxa"/>
                  <w:vMerge w:val="continue"/>
                  <w:tcBorders>
                    <w:top w:val="nil"/>
                    <w:left w:val="nil"/>
                    <w:bottom w:val="single" w:color="000000" w:sz="4" w:space="0"/>
                    <w:right w:val="single" w:color="000000" w:sz="6" w:space="0"/>
                  </w:tcBorders>
                  <w:noWrap w:val="0"/>
                  <w:vAlign w:val="center"/>
                </w:tcPr>
                <w:p w14:paraId="370BCD9D">
                  <w:pPr>
                    <w:autoSpaceDE w:val="0"/>
                    <w:autoSpaceDN w:val="0"/>
                    <w:adjustRightInd w:val="0"/>
                    <w:snapToGrid w:val="0"/>
                    <w:jc w:val="center"/>
                    <w:rPr>
                      <w:rFonts w:hint="default" w:ascii="Times New Roman" w:hAnsi="Times New Roman" w:eastAsia="宋体" w:cs="Times New Roman"/>
                      <w:color w:val="auto"/>
                      <w:kern w:val="0"/>
                      <w:sz w:val="18"/>
                      <w:szCs w:val="18"/>
                      <w:lang w:val="en-US" w:eastAsia="zh-TW"/>
                    </w:rPr>
                  </w:pPr>
                </w:p>
              </w:tc>
              <w:tc>
                <w:tcPr>
                  <w:tcW w:w="3100" w:type="dxa"/>
                  <w:tcBorders>
                    <w:top w:val="single" w:color="000000" w:sz="4" w:space="0"/>
                    <w:left w:val="single" w:color="000000" w:sz="6" w:space="0"/>
                    <w:bottom w:val="single" w:color="000000" w:sz="4" w:space="0"/>
                    <w:right w:val="single" w:color="000000" w:sz="4" w:space="0"/>
                  </w:tcBorders>
                  <w:noWrap w:val="0"/>
                  <w:vAlign w:val="center"/>
                </w:tcPr>
                <w:p w14:paraId="7F9AB902">
                  <w:pPr>
                    <w:autoSpaceDE w:val="0"/>
                    <w:autoSpaceDN w:val="0"/>
                    <w:adjustRightInd w:val="0"/>
                    <w:snapToGrid w:val="0"/>
                    <w:jc w:val="center"/>
                    <w:rPr>
                      <w:rFonts w:hint="default" w:ascii="Times New Roman" w:hAnsi="Times New Roman" w:eastAsia="宋体" w:cs="Times New Roman"/>
                      <w:color w:val="auto"/>
                      <w:kern w:val="0"/>
                      <w:sz w:val="18"/>
                      <w:szCs w:val="18"/>
                      <w:lang w:val="en-US" w:eastAsia="zh-TW"/>
                    </w:rPr>
                  </w:pPr>
                  <w:r>
                    <w:rPr>
                      <w:rFonts w:hint="default" w:ascii="Times New Roman" w:hAnsi="Times New Roman" w:eastAsia="宋体" w:cs="Times New Roman"/>
                      <w:color w:val="auto"/>
                      <w:kern w:val="0"/>
                      <w:sz w:val="18"/>
                      <w:szCs w:val="18"/>
                      <w:lang w:val="en-US" w:eastAsia="zh-TW"/>
                    </w:rPr>
                    <w:t>新建、升级工业集聚区应严格执行环境影响评价和环境保护</w:t>
                  </w:r>
                  <w:r>
                    <w:rPr>
                      <w:rFonts w:hint="default" w:ascii="Times New Roman" w:hAnsi="Times New Roman" w:eastAsia="宋体" w:cs="Times New Roman"/>
                      <w:color w:val="auto"/>
                      <w:kern w:val="0"/>
                      <w:sz w:val="18"/>
                      <w:szCs w:val="18"/>
                      <w:lang w:val="en-US" w:eastAsia="zh-CN"/>
                    </w:rPr>
                    <w:t>“</w:t>
                  </w:r>
                  <w:r>
                    <w:rPr>
                      <w:rFonts w:hint="default" w:ascii="Times New Roman" w:hAnsi="Times New Roman" w:eastAsia="宋体" w:cs="Times New Roman"/>
                      <w:color w:val="auto"/>
                      <w:kern w:val="0"/>
                      <w:sz w:val="18"/>
                      <w:szCs w:val="18"/>
                      <w:lang w:val="en-US" w:eastAsia="zh-TW"/>
                    </w:rPr>
                    <w:t>三同时</w:t>
                  </w:r>
                  <w:r>
                    <w:rPr>
                      <w:rFonts w:hint="default" w:ascii="Times New Roman" w:hAnsi="Times New Roman" w:eastAsia="宋体" w:cs="Times New Roman"/>
                      <w:color w:val="auto"/>
                      <w:kern w:val="0"/>
                      <w:sz w:val="18"/>
                      <w:szCs w:val="18"/>
                      <w:lang w:val="en-US" w:eastAsia="zh-CN"/>
                    </w:rPr>
                    <w:t>”</w:t>
                  </w:r>
                  <w:r>
                    <w:rPr>
                      <w:rFonts w:hint="default" w:ascii="Times New Roman" w:hAnsi="Times New Roman" w:eastAsia="宋体" w:cs="Times New Roman"/>
                      <w:color w:val="auto"/>
                      <w:kern w:val="0"/>
                      <w:sz w:val="18"/>
                      <w:szCs w:val="18"/>
                      <w:lang w:val="en-US" w:eastAsia="zh-TW"/>
                    </w:rPr>
                    <w:t>制度，同步规划、建设和运行污水集中处理设施，集聚区内的工业废水必须经预处理达到集中处理要求后，方可排入集中污水处理设施。</w:t>
                  </w:r>
                </w:p>
              </w:tc>
              <w:tc>
                <w:tcPr>
                  <w:tcW w:w="2511" w:type="dxa"/>
                  <w:tcBorders>
                    <w:top w:val="single" w:color="000000" w:sz="4" w:space="0"/>
                    <w:left w:val="single" w:color="000000" w:sz="4" w:space="0"/>
                    <w:bottom w:val="single" w:color="000000" w:sz="4" w:space="0"/>
                    <w:right w:val="single" w:color="000000" w:sz="4" w:space="0"/>
                  </w:tcBorders>
                  <w:noWrap w:val="0"/>
                  <w:vAlign w:val="center"/>
                </w:tcPr>
                <w:p w14:paraId="070A78B3">
                  <w:pPr>
                    <w:autoSpaceDE w:val="0"/>
                    <w:autoSpaceDN w:val="0"/>
                    <w:adjustRightInd w:val="0"/>
                    <w:snapToGrid w:val="0"/>
                    <w:jc w:val="center"/>
                    <w:rPr>
                      <w:rFonts w:hint="default" w:ascii="Times New Roman" w:hAnsi="Times New Roman" w:eastAsia="宋体" w:cs="Times New Roman"/>
                      <w:color w:val="auto"/>
                      <w:kern w:val="0"/>
                      <w:sz w:val="18"/>
                      <w:szCs w:val="18"/>
                      <w:lang w:val="en-US" w:eastAsia="zh-TW"/>
                    </w:rPr>
                  </w:pPr>
                  <w:r>
                    <w:rPr>
                      <w:rFonts w:hint="default" w:ascii="Times New Roman" w:hAnsi="Times New Roman" w:eastAsia="宋体" w:cs="Times New Roman"/>
                      <w:color w:val="auto"/>
                      <w:kern w:val="0"/>
                      <w:sz w:val="18"/>
                      <w:szCs w:val="18"/>
                      <w:lang w:val="en-US" w:eastAsia="zh-TW"/>
                    </w:rPr>
                    <w:t>目前，园区已建成1座集中式污水处理厂</w:t>
                  </w:r>
                  <w:r>
                    <w:rPr>
                      <w:rFonts w:hint="default" w:ascii="Times New Roman" w:hAnsi="Times New Roman" w:eastAsia="宋体" w:cs="Times New Roman"/>
                      <w:color w:val="auto"/>
                      <w:kern w:val="0"/>
                      <w:sz w:val="18"/>
                      <w:szCs w:val="18"/>
                      <w:lang w:val="en-US" w:eastAsia="zh-CN"/>
                    </w:rPr>
                    <w:t>（</w:t>
                  </w:r>
                  <w:r>
                    <w:rPr>
                      <w:rFonts w:hint="eastAsia" w:cs="Times New Roman"/>
                      <w:color w:val="auto"/>
                      <w:kern w:val="0"/>
                      <w:sz w:val="18"/>
                      <w:szCs w:val="18"/>
                      <w:lang w:val="en-US" w:eastAsia="zh-CN"/>
                    </w:rPr>
                    <w:t>龙眼井污水处理厂</w:t>
                  </w:r>
                  <w:r>
                    <w:rPr>
                      <w:rFonts w:hint="default" w:ascii="Times New Roman" w:hAnsi="Times New Roman" w:eastAsia="宋体" w:cs="Times New Roman"/>
                      <w:color w:val="auto"/>
                      <w:kern w:val="0"/>
                      <w:sz w:val="18"/>
                      <w:szCs w:val="18"/>
                      <w:lang w:val="en-US" w:eastAsia="zh-CN"/>
                    </w:rPr>
                    <w:t>）</w:t>
                  </w:r>
                  <w:r>
                    <w:rPr>
                      <w:rFonts w:hint="default" w:ascii="Times New Roman" w:hAnsi="Times New Roman" w:eastAsia="宋体" w:cs="Times New Roman"/>
                      <w:color w:val="auto"/>
                      <w:kern w:val="0"/>
                      <w:sz w:val="18"/>
                      <w:szCs w:val="18"/>
                      <w:lang w:val="en-US" w:eastAsia="zh-TW"/>
                    </w:rPr>
                    <w:t>。本项目废水经处理后</w:t>
                  </w:r>
                  <w:r>
                    <w:rPr>
                      <w:rFonts w:hint="default" w:ascii="Times New Roman" w:hAnsi="Times New Roman" w:eastAsia="宋体" w:cs="Times New Roman"/>
                      <w:color w:val="auto"/>
                      <w:kern w:val="0"/>
                      <w:sz w:val="18"/>
                      <w:szCs w:val="18"/>
                      <w:lang w:val="en-US" w:eastAsia="zh-CN"/>
                    </w:rPr>
                    <w:t>进入</w:t>
                  </w:r>
                  <w:r>
                    <w:rPr>
                      <w:rFonts w:hint="default" w:ascii="Times New Roman" w:hAnsi="Times New Roman" w:eastAsia="宋体" w:cs="Times New Roman"/>
                      <w:color w:val="auto"/>
                      <w:kern w:val="0"/>
                      <w:sz w:val="18"/>
                      <w:szCs w:val="18"/>
                      <w:lang w:val="en-US" w:eastAsia="zh-TW"/>
                    </w:rPr>
                    <w:t>园区污水处理厂（设计规模</w:t>
                  </w:r>
                  <w:r>
                    <w:rPr>
                      <w:rFonts w:hint="eastAsia" w:cs="Times New Roman"/>
                      <w:color w:val="auto"/>
                      <w:kern w:val="0"/>
                      <w:sz w:val="18"/>
                      <w:szCs w:val="18"/>
                      <w:lang w:val="en-US" w:eastAsia="zh-CN"/>
                    </w:rPr>
                    <w:t>2.5</w:t>
                  </w:r>
                  <w:r>
                    <w:rPr>
                      <w:rFonts w:hint="default" w:ascii="Times New Roman" w:hAnsi="Times New Roman" w:eastAsia="宋体" w:cs="Times New Roman"/>
                      <w:color w:val="auto"/>
                      <w:kern w:val="0"/>
                      <w:sz w:val="18"/>
                      <w:szCs w:val="18"/>
                      <w:lang w:val="en-US" w:eastAsia="zh-TW"/>
                    </w:rPr>
                    <w:t>万m</w:t>
                  </w:r>
                  <w:r>
                    <w:rPr>
                      <w:rFonts w:hint="default" w:ascii="Times New Roman" w:hAnsi="Times New Roman" w:eastAsia="宋体" w:cs="Times New Roman"/>
                      <w:color w:val="auto"/>
                      <w:kern w:val="0"/>
                      <w:sz w:val="18"/>
                      <w:szCs w:val="18"/>
                      <w:vertAlign w:val="superscript"/>
                      <w:lang w:val="en-US" w:eastAsia="zh-TW"/>
                    </w:rPr>
                    <w:t>3</w:t>
                  </w:r>
                  <w:r>
                    <w:rPr>
                      <w:rFonts w:hint="default" w:ascii="Times New Roman" w:hAnsi="Times New Roman" w:eastAsia="宋体" w:cs="Times New Roman"/>
                      <w:color w:val="auto"/>
                      <w:kern w:val="0"/>
                      <w:sz w:val="18"/>
                      <w:szCs w:val="18"/>
                      <w:lang w:val="en-US" w:eastAsia="zh-TW"/>
                    </w:rPr>
                    <w:t>/d</w:t>
                  </w:r>
                  <w:r>
                    <w:rPr>
                      <w:rFonts w:hint="default" w:ascii="Times New Roman" w:hAnsi="Times New Roman" w:eastAsia="宋体" w:cs="Times New Roman"/>
                      <w:color w:val="auto"/>
                      <w:kern w:val="0"/>
                      <w:sz w:val="18"/>
                      <w:szCs w:val="18"/>
                      <w:lang w:val="en-US" w:eastAsia="zh-CN"/>
                    </w:rPr>
                    <w:t>）</w:t>
                  </w:r>
                  <w:r>
                    <w:rPr>
                      <w:rFonts w:hint="default" w:ascii="Times New Roman" w:hAnsi="Times New Roman" w:eastAsia="宋体" w:cs="Times New Roman"/>
                      <w:color w:val="auto"/>
                      <w:kern w:val="0"/>
                      <w:sz w:val="18"/>
                      <w:szCs w:val="18"/>
                      <w:lang w:val="en-US" w:eastAsia="zh-TW"/>
                    </w:rPr>
                    <w:t>，满足本项目</w:t>
                  </w:r>
                  <w:r>
                    <w:rPr>
                      <w:rFonts w:hint="eastAsia" w:ascii="Times New Roman" w:hAnsi="Times New Roman" w:eastAsia="宋体" w:cs="Times New Roman"/>
                      <w:color w:val="auto"/>
                      <w:kern w:val="0"/>
                      <w:sz w:val="18"/>
                      <w:szCs w:val="18"/>
                      <w:lang w:val="en-US" w:eastAsia="zh-CN"/>
                    </w:rPr>
                    <w:t>污水</w:t>
                  </w:r>
                  <w:r>
                    <w:rPr>
                      <w:rFonts w:hint="default" w:ascii="Times New Roman" w:hAnsi="Times New Roman" w:eastAsia="宋体" w:cs="Times New Roman"/>
                      <w:color w:val="auto"/>
                      <w:kern w:val="0"/>
                      <w:sz w:val="18"/>
                      <w:szCs w:val="18"/>
                      <w:lang w:val="en-US" w:eastAsia="zh-TW"/>
                    </w:rPr>
                    <w:t>集中处理的需要。</w:t>
                  </w:r>
                </w:p>
              </w:tc>
              <w:tc>
                <w:tcPr>
                  <w:tcW w:w="524" w:type="dxa"/>
                  <w:tcBorders>
                    <w:top w:val="single" w:color="000000" w:sz="4" w:space="0"/>
                    <w:left w:val="single" w:color="000000" w:sz="4" w:space="0"/>
                    <w:bottom w:val="single" w:color="000000" w:sz="4" w:space="0"/>
                    <w:right w:val="nil"/>
                  </w:tcBorders>
                  <w:noWrap w:val="0"/>
                  <w:vAlign w:val="center"/>
                </w:tcPr>
                <w:p w14:paraId="5E685C8A">
                  <w:pPr>
                    <w:autoSpaceDE w:val="0"/>
                    <w:autoSpaceDN w:val="0"/>
                    <w:adjustRightInd w:val="0"/>
                    <w:snapToGrid w:val="0"/>
                    <w:jc w:val="center"/>
                    <w:rPr>
                      <w:rFonts w:hint="default" w:ascii="Times New Roman" w:hAnsi="Times New Roman" w:eastAsia="宋体" w:cs="Times New Roman"/>
                      <w:color w:val="auto"/>
                      <w:kern w:val="0"/>
                      <w:sz w:val="18"/>
                      <w:szCs w:val="18"/>
                      <w:lang w:val="en-US" w:eastAsia="zh-TW"/>
                    </w:rPr>
                  </w:pPr>
                  <w:r>
                    <w:rPr>
                      <w:rFonts w:hint="default" w:ascii="Times New Roman" w:hAnsi="Times New Roman" w:eastAsia="宋体" w:cs="Times New Roman"/>
                      <w:color w:val="auto"/>
                      <w:kern w:val="0"/>
                      <w:sz w:val="18"/>
                      <w:szCs w:val="18"/>
                      <w:lang w:val="en-US" w:eastAsia="zh-TW"/>
                    </w:rPr>
                    <w:t>符合</w:t>
                  </w:r>
                </w:p>
              </w:tc>
            </w:tr>
          </w:tbl>
          <w:p w14:paraId="5795D1C2">
            <w:pPr>
              <w:autoSpaceDE w:val="0"/>
              <w:autoSpaceDN w:val="0"/>
              <w:adjustRightInd w:val="0"/>
              <w:snapToGrid w:val="0"/>
              <w:spacing w:line="360" w:lineRule="auto"/>
              <w:ind w:firstLine="420" w:firstLineChars="200"/>
              <w:jc w:val="both"/>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综上，项目建设符合《水污染防治行动计划</w:t>
            </w:r>
            <w:r>
              <w:rPr>
                <w:rFonts w:hint="eastAsia"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水污染防治行动计划</w:t>
            </w:r>
            <w:r>
              <w:rPr>
                <w:rFonts w:hint="eastAsia"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四川省工作方案》的要求。</w:t>
            </w:r>
          </w:p>
          <w:p w14:paraId="278F0F46">
            <w:pPr>
              <w:autoSpaceDE w:val="0"/>
              <w:autoSpaceDN w:val="0"/>
              <w:adjustRightInd w:val="0"/>
              <w:snapToGrid w:val="0"/>
              <w:spacing w:line="360" w:lineRule="auto"/>
              <w:jc w:val="both"/>
              <w:rPr>
                <w:rFonts w:hint="default" w:ascii="Times New Roman" w:hAnsi="Times New Roman" w:eastAsia="宋体" w:cs="Times New Roman"/>
                <w:b/>
                <w:bCs/>
                <w:color w:val="auto"/>
                <w:kern w:val="0"/>
                <w:sz w:val="21"/>
                <w:szCs w:val="21"/>
              </w:rPr>
            </w:pPr>
            <w:r>
              <w:rPr>
                <w:rFonts w:hint="eastAsia" w:cs="Times New Roman"/>
                <w:b/>
                <w:bCs/>
                <w:color w:val="auto"/>
                <w:kern w:val="0"/>
                <w:sz w:val="21"/>
                <w:szCs w:val="21"/>
                <w:lang w:val="en-US" w:eastAsia="zh-CN"/>
              </w:rPr>
              <w:t>5</w:t>
            </w:r>
            <w:r>
              <w:rPr>
                <w:rFonts w:hint="default" w:ascii="Times New Roman" w:hAnsi="Times New Roman" w:eastAsia="宋体" w:cs="Times New Roman"/>
                <w:b/>
                <w:bCs/>
                <w:color w:val="auto"/>
                <w:kern w:val="0"/>
                <w:sz w:val="21"/>
                <w:szCs w:val="21"/>
                <w:lang w:val="en-US" w:eastAsia="zh-CN"/>
              </w:rPr>
              <w:t>、</w:t>
            </w:r>
            <w:r>
              <w:rPr>
                <w:rFonts w:hint="default" w:ascii="Times New Roman" w:hAnsi="Times New Roman" w:eastAsia="宋体" w:cs="Times New Roman"/>
                <w:b/>
                <w:bCs/>
                <w:color w:val="auto"/>
                <w:kern w:val="0"/>
                <w:sz w:val="21"/>
                <w:szCs w:val="21"/>
              </w:rPr>
              <w:t>与土壤污染防治相关规划相符性分析</w:t>
            </w:r>
          </w:p>
          <w:p w14:paraId="04772809">
            <w:pPr>
              <w:snapToGrid w:val="0"/>
              <w:spacing w:before="120" w:beforeLines="50"/>
              <w:jc w:val="center"/>
              <w:rPr>
                <w:rFonts w:hint="default"/>
                <w:b/>
                <w:color w:val="auto"/>
                <w:sz w:val="21"/>
                <w:szCs w:val="21"/>
                <w:lang w:val="en-US" w:eastAsia="zh-CN"/>
              </w:rPr>
            </w:pPr>
            <w:r>
              <w:rPr>
                <w:rFonts w:hint="default"/>
                <w:b/>
                <w:color w:val="auto"/>
                <w:sz w:val="21"/>
                <w:szCs w:val="21"/>
                <w:lang w:val="en-US" w:eastAsia="zh-CN"/>
              </w:rPr>
              <w:t>表1-</w:t>
            </w:r>
            <w:r>
              <w:rPr>
                <w:rFonts w:hint="eastAsia"/>
                <w:b/>
                <w:color w:val="auto"/>
                <w:sz w:val="21"/>
                <w:szCs w:val="21"/>
                <w:lang w:val="en-US" w:eastAsia="zh-CN"/>
              </w:rPr>
              <w:t>5</w:t>
            </w:r>
            <w:r>
              <w:rPr>
                <w:rFonts w:hint="default"/>
                <w:b/>
                <w:color w:val="auto"/>
                <w:sz w:val="21"/>
                <w:szCs w:val="21"/>
                <w:lang w:val="en-US" w:eastAsia="zh-CN"/>
              </w:rPr>
              <w:t xml:space="preserve">  与《土壤污染防治行动计划》符合性分析</w:t>
            </w:r>
          </w:p>
          <w:tbl>
            <w:tblPr>
              <w:tblStyle w:val="30"/>
              <w:tblW w:w="4999" w:type="pct"/>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0" w:type="dxa"/>
                <w:bottom w:w="0" w:type="dxa"/>
                <w:right w:w="0" w:type="dxa"/>
              </w:tblCellMar>
            </w:tblPr>
            <w:tblGrid>
              <w:gridCol w:w="991"/>
              <w:gridCol w:w="3827"/>
              <w:gridCol w:w="2382"/>
              <w:gridCol w:w="576"/>
            </w:tblGrid>
            <w:tr w14:paraId="4214BCF3">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1111" w:type="dxa"/>
                  <w:tcBorders>
                    <w:left w:val="nil"/>
                  </w:tcBorders>
                  <w:noWrap w:val="0"/>
                  <w:vAlign w:val="center"/>
                </w:tcPr>
                <w:p w14:paraId="618589ED">
                  <w:pPr>
                    <w:autoSpaceDE w:val="0"/>
                    <w:autoSpaceDN w:val="0"/>
                    <w:adjustRightInd w:val="0"/>
                    <w:snapToGrid w:val="0"/>
                    <w:jc w:val="center"/>
                    <w:rPr>
                      <w:rFonts w:hint="default" w:ascii="Times New Roman" w:hAnsi="Times New Roman" w:eastAsia="宋体" w:cs="Times New Roman"/>
                      <w:color w:val="auto"/>
                      <w:kern w:val="0"/>
                      <w:sz w:val="18"/>
                      <w:szCs w:val="18"/>
                      <w:lang w:val="en-US" w:eastAsia="zh-TW"/>
                    </w:rPr>
                  </w:pPr>
                  <w:r>
                    <w:rPr>
                      <w:rFonts w:hint="default" w:ascii="Times New Roman" w:hAnsi="Times New Roman" w:eastAsia="宋体" w:cs="Times New Roman"/>
                      <w:color w:val="auto"/>
                      <w:kern w:val="0"/>
                      <w:sz w:val="18"/>
                      <w:szCs w:val="18"/>
                      <w:lang w:val="en-US" w:eastAsia="zh-TW"/>
                    </w:rPr>
                    <w:t>规划/文件名称</w:t>
                  </w:r>
                </w:p>
              </w:tc>
              <w:tc>
                <w:tcPr>
                  <w:tcW w:w="4300" w:type="dxa"/>
                  <w:noWrap w:val="0"/>
                  <w:vAlign w:val="center"/>
                </w:tcPr>
                <w:p w14:paraId="307164A2">
                  <w:pPr>
                    <w:autoSpaceDE w:val="0"/>
                    <w:autoSpaceDN w:val="0"/>
                    <w:adjustRightInd w:val="0"/>
                    <w:snapToGrid w:val="0"/>
                    <w:jc w:val="center"/>
                    <w:rPr>
                      <w:rFonts w:hint="default" w:ascii="Times New Roman" w:hAnsi="Times New Roman" w:eastAsia="宋体" w:cs="Times New Roman"/>
                      <w:color w:val="auto"/>
                      <w:kern w:val="0"/>
                      <w:sz w:val="18"/>
                      <w:szCs w:val="18"/>
                      <w:lang w:val="en-US" w:eastAsia="zh-TW"/>
                    </w:rPr>
                  </w:pPr>
                  <w:r>
                    <w:rPr>
                      <w:rFonts w:hint="default" w:ascii="Times New Roman" w:hAnsi="Times New Roman" w:eastAsia="宋体" w:cs="Times New Roman"/>
                      <w:color w:val="auto"/>
                      <w:kern w:val="0"/>
                      <w:sz w:val="18"/>
                      <w:szCs w:val="18"/>
                      <w:lang w:val="en-US" w:eastAsia="zh-TW"/>
                    </w:rPr>
                    <w:t>规范要求</w:t>
                  </w:r>
                </w:p>
              </w:tc>
              <w:tc>
                <w:tcPr>
                  <w:tcW w:w="2675" w:type="dxa"/>
                  <w:noWrap w:val="0"/>
                  <w:vAlign w:val="center"/>
                </w:tcPr>
                <w:p w14:paraId="77B3F5BA">
                  <w:pPr>
                    <w:autoSpaceDE w:val="0"/>
                    <w:autoSpaceDN w:val="0"/>
                    <w:adjustRightInd w:val="0"/>
                    <w:snapToGrid w:val="0"/>
                    <w:jc w:val="center"/>
                    <w:rPr>
                      <w:rFonts w:hint="default" w:ascii="Times New Roman" w:hAnsi="Times New Roman" w:eastAsia="宋体" w:cs="Times New Roman"/>
                      <w:color w:val="auto"/>
                      <w:kern w:val="0"/>
                      <w:sz w:val="18"/>
                      <w:szCs w:val="18"/>
                      <w:lang w:val="en-US" w:eastAsia="zh-TW"/>
                    </w:rPr>
                  </w:pPr>
                  <w:r>
                    <w:rPr>
                      <w:rFonts w:hint="default" w:ascii="Times New Roman" w:hAnsi="Times New Roman" w:eastAsia="宋体" w:cs="Times New Roman"/>
                      <w:color w:val="auto"/>
                      <w:kern w:val="0"/>
                      <w:sz w:val="18"/>
                      <w:szCs w:val="18"/>
                      <w:lang w:val="en-US" w:eastAsia="zh-TW"/>
                    </w:rPr>
                    <w:t>核对本项目具体情况</w:t>
                  </w:r>
                </w:p>
              </w:tc>
              <w:tc>
                <w:tcPr>
                  <w:tcW w:w="645" w:type="dxa"/>
                  <w:tcBorders>
                    <w:right w:val="nil"/>
                  </w:tcBorders>
                  <w:noWrap w:val="0"/>
                  <w:vAlign w:val="center"/>
                </w:tcPr>
                <w:p w14:paraId="053C7D05">
                  <w:pPr>
                    <w:autoSpaceDE w:val="0"/>
                    <w:autoSpaceDN w:val="0"/>
                    <w:adjustRightInd w:val="0"/>
                    <w:snapToGrid w:val="0"/>
                    <w:jc w:val="center"/>
                    <w:rPr>
                      <w:rFonts w:hint="default" w:ascii="Times New Roman" w:hAnsi="Times New Roman" w:eastAsia="宋体" w:cs="Times New Roman"/>
                      <w:color w:val="auto"/>
                      <w:kern w:val="0"/>
                      <w:sz w:val="18"/>
                      <w:szCs w:val="18"/>
                      <w:lang w:val="en-US" w:eastAsia="zh-TW"/>
                    </w:rPr>
                  </w:pPr>
                  <w:r>
                    <w:rPr>
                      <w:rFonts w:hint="default" w:ascii="Times New Roman" w:hAnsi="Times New Roman" w:eastAsia="宋体" w:cs="Times New Roman"/>
                      <w:color w:val="auto"/>
                      <w:kern w:val="0"/>
                      <w:sz w:val="18"/>
                      <w:szCs w:val="18"/>
                      <w:lang w:val="en-US" w:eastAsia="zh-TW"/>
                    </w:rPr>
                    <w:t>备注</w:t>
                  </w:r>
                </w:p>
              </w:tc>
            </w:tr>
            <w:tr w14:paraId="36757D17">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111" w:type="dxa"/>
                  <w:vMerge w:val="restart"/>
                  <w:tcBorders>
                    <w:left w:val="nil"/>
                  </w:tcBorders>
                  <w:noWrap w:val="0"/>
                  <w:vAlign w:val="center"/>
                </w:tcPr>
                <w:p w14:paraId="587F4BBB">
                  <w:pPr>
                    <w:autoSpaceDE w:val="0"/>
                    <w:autoSpaceDN w:val="0"/>
                    <w:adjustRightInd w:val="0"/>
                    <w:snapToGrid w:val="0"/>
                    <w:jc w:val="center"/>
                    <w:rPr>
                      <w:rFonts w:hint="default" w:ascii="Times New Roman" w:hAnsi="Times New Roman" w:eastAsia="宋体" w:cs="Times New Roman"/>
                      <w:color w:val="auto"/>
                      <w:kern w:val="0"/>
                      <w:sz w:val="18"/>
                      <w:szCs w:val="18"/>
                      <w:lang w:val="en-US" w:eastAsia="zh-TW"/>
                    </w:rPr>
                  </w:pPr>
                  <w:r>
                    <w:rPr>
                      <w:rFonts w:hint="default" w:ascii="Times New Roman" w:hAnsi="Times New Roman" w:eastAsia="宋体" w:cs="Times New Roman"/>
                      <w:color w:val="auto"/>
                      <w:kern w:val="0"/>
                      <w:sz w:val="18"/>
                      <w:szCs w:val="18"/>
                      <w:lang w:val="en-US" w:eastAsia="zh-TW"/>
                    </w:rPr>
                    <w:t>《土壤污染防治行动计划》（国发</w:t>
                  </w:r>
                  <w:r>
                    <w:rPr>
                      <w:rFonts w:hint="eastAsia" w:ascii="Times New Roman" w:hAnsi="Times New Roman" w:eastAsia="宋体" w:cs="Times New Roman"/>
                      <w:color w:val="auto"/>
                      <w:kern w:val="0"/>
                      <w:sz w:val="18"/>
                      <w:szCs w:val="18"/>
                      <w:lang w:val="en-US" w:eastAsia="zh-CN"/>
                    </w:rPr>
                    <w:t>〔</w:t>
                  </w:r>
                  <w:r>
                    <w:rPr>
                      <w:rFonts w:hint="default" w:ascii="Times New Roman" w:hAnsi="Times New Roman" w:eastAsia="宋体" w:cs="Times New Roman"/>
                      <w:color w:val="auto"/>
                      <w:kern w:val="0"/>
                      <w:sz w:val="18"/>
                      <w:szCs w:val="18"/>
                      <w:lang w:val="en-US" w:eastAsia="zh-TW"/>
                    </w:rPr>
                    <w:t>2016</w:t>
                  </w:r>
                  <w:r>
                    <w:rPr>
                      <w:rFonts w:hint="eastAsia" w:ascii="Times New Roman" w:hAnsi="Times New Roman" w:eastAsia="宋体" w:cs="Times New Roman"/>
                      <w:color w:val="auto"/>
                      <w:kern w:val="0"/>
                      <w:sz w:val="18"/>
                      <w:szCs w:val="18"/>
                      <w:lang w:val="en-US" w:eastAsia="zh-CN"/>
                    </w:rPr>
                    <w:t>〕</w:t>
                  </w:r>
                  <w:r>
                    <w:rPr>
                      <w:rFonts w:hint="default" w:ascii="Times New Roman" w:hAnsi="Times New Roman" w:eastAsia="宋体" w:cs="Times New Roman"/>
                      <w:color w:val="auto"/>
                      <w:kern w:val="0"/>
                      <w:sz w:val="18"/>
                      <w:szCs w:val="18"/>
                      <w:lang w:val="en-US" w:eastAsia="zh-TW"/>
                    </w:rPr>
                    <w:t>31号）</w:t>
                  </w:r>
                </w:p>
              </w:tc>
              <w:tc>
                <w:tcPr>
                  <w:tcW w:w="4300" w:type="dxa"/>
                  <w:noWrap w:val="0"/>
                  <w:vAlign w:val="center"/>
                </w:tcPr>
                <w:p w14:paraId="5E3562B0">
                  <w:pPr>
                    <w:autoSpaceDE w:val="0"/>
                    <w:autoSpaceDN w:val="0"/>
                    <w:adjustRightInd w:val="0"/>
                    <w:snapToGrid w:val="0"/>
                    <w:jc w:val="center"/>
                    <w:rPr>
                      <w:rFonts w:hint="default" w:ascii="Times New Roman" w:hAnsi="Times New Roman" w:eastAsia="宋体" w:cs="Times New Roman"/>
                      <w:color w:val="auto"/>
                      <w:kern w:val="0"/>
                      <w:sz w:val="18"/>
                      <w:szCs w:val="18"/>
                      <w:lang w:val="en-US" w:eastAsia="zh-TW"/>
                    </w:rPr>
                  </w:pPr>
                  <w:r>
                    <w:rPr>
                      <w:rFonts w:hint="default" w:ascii="Times New Roman" w:hAnsi="Times New Roman" w:eastAsia="宋体" w:cs="Times New Roman"/>
                      <w:color w:val="auto"/>
                      <w:kern w:val="0"/>
                      <w:sz w:val="18"/>
                      <w:szCs w:val="18"/>
                      <w:lang w:val="en-US" w:eastAsia="zh-TW"/>
                    </w:rPr>
                    <w:t>防控企业污染。严格控制在优先保护类耕地集中区域新建有色金属冶炼、石油加工、化工、焦化、电镀、制革等行业企业，现有相关行业企业要采用新技术、新工艺加快提标升级改造步伐。</w:t>
                  </w:r>
                </w:p>
              </w:tc>
              <w:tc>
                <w:tcPr>
                  <w:tcW w:w="2675" w:type="dxa"/>
                  <w:noWrap w:val="0"/>
                  <w:vAlign w:val="center"/>
                </w:tcPr>
                <w:p w14:paraId="20A401D7">
                  <w:pPr>
                    <w:autoSpaceDE w:val="0"/>
                    <w:autoSpaceDN w:val="0"/>
                    <w:adjustRightInd w:val="0"/>
                    <w:snapToGrid w:val="0"/>
                    <w:jc w:val="center"/>
                    <w:rPr>
                      <w:rFonts w:hint="eastAsia"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TW"/>
                    </w:rPr>
                    <w:t>本项目不属于有色金属冶炼、石油加工、化工、焦化、电镀、制革等行业，且选址位于</w:t>
                  </w:r>
                  <w:r>
                    <w:rPr>
                      <w:rFonts w:hint="eastAsia" w:cs="Times New Roman"/>
                      <w:color w:val="auto"/>
                      <w:kern w:val="0"/>
                      <w:sz w:val="18"/>
                      <w:szCs w:val="18"/>
                      <w:lang w:val="en-US" w:eastAsia="zh-CN"/>
                    </w:rPr>
                    <w:t>安居工业集中发展区</w:t>
                  </w:r>
                  <w:r>
                    <w:rPr>
                      <w:rFonts w:hint="default" w:ascii="Times New Roman" w:hAnsi="Times New Roman" w:eastAsia="宋体" w:cs="Times New Roman"/>
                      <w:color w:val="auto"/>
                      <w:kern w:val="0"/>
                      <w:sz w:val="18"/>
                      <w:szCs w:val="18"/>
                      <w:lang w:val="en-US" w:eastAsia="zh-TW"/>
                    </w:rPr>
                    <w:t>，园区规划用地范围内，用地性质属</w:t>
                  </w:r>
                  <w:r>
                    <w:rPr>
                      <w:rFonts w:hint="eastAsia" w:cs="Times New Roman"/>
                      <w:color w:val="auto"/>
                      <w:kern w:val="0"/>
                      <w:sz w:val="18"/>
                      <w:szCs w:val="18"/>
                      <w:lang w:val="en-US" w:eastAsia="zh-CN"/>
                    </w:rPr>
                    <w:t>二类</w:t>
                  </w:r>
                  <w:r>
                    <w:rPr>
                      <w:rFonts w:hint="default" w:ascii="Times New Roman" w:hAnsi="Times New Roman" w:eastAsia="宋体" w:cs="Times New Roman"/>
                      <w:color w:val="auto"/>
                      <w:kern w:val="0"/>
                      <w:sz w:val="18"/>
                      <w:szCs w:val="18"/>
                      <w:lang w:val="en-US" w:eastAsia="zh-TW"/>
                    </w:rPr>
                    <w:t>工业用地</w:t>
                  </w:r>
                  <w:r>
                    <w:rPr>
                      <w:rFonts w:hint="eastAsia" w:cs="Times New Roman"/>
                      <w:color w:val="auto"/>
                      <w:kern w:val="0"/>
                      <w:sz w:val="18"/>
                      <w:szCs w:val="18"/>
                      <w:lang w:val="en-US" w:eastAsia="zh-CN"/>
                    </w:rPr>
                    <w:t>；</w:t>
                  </w:r>
                </w:p>
              </w:tc>
              <w:tc>
                <w:tcPr>
                  <w:tcW w:w="645" w:type="dxa"/>
                  <w:tcBorders>
                    <w:right w:val="nil"/>
                  </w:tcBorders>
                  <w:noWrap w:val="0"/>
                  <w:vAlign w:val="center"/>
                </w:tcPr>
                <w:p w14:paraId="72334921">
                  <w:pPr>
                    <w:autoSpaceDE w:val="0"/>
                    <w:autoSpaceDN w:val="0"/>
                    <w:adjustRightInd w:val="0"/>
                    <w:snapToGrid w:val="0"/>
                    <w:jc w:val="center"/>
                    <w:rPr>
                      <w:rFonts w:hint="default" w:ascii="Times New Roman" w:hAnsi="Times New Roman" w:eastAsia="宋体" w:cs="Times New Roman"/>
                      <w:color w:val="auto"/>
                      <w:kern w:val="0"/>
                      <w:sz w:val="18"/>
                      <w:szCs w:val="18"/>
                      <w:lang w:val="en-US" w:eastAsia="zh-TW"/>
                    </w:rPr>
                  </w:pPr>
                  <w:r>
                    <w:rPr>
                      <w:rFonts w:hint="default" w:ascii="Times New Roman" w:hAnsi="Times New Roman" w:eastAsia="宋体" w:cs="Times New Roman"/>
                      <w:color w:val="auto"/>
                      <w:kern w:val="0"/>
                      <w:sz w:val="18"/>
                      <w:szCs w:val="18"/>
                      <w:lang w:val="en-US" w:eastAsia="zh-TW"/>
                    </w:rPr>
                    <w:t>符合</w:t>
                  </w:r>
                </w:p>
              </w:tc>
            </w:tr>
            <w:tr w14:paraId="307661F8">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111" w:type="dxa"/>
                  <w:vMerge w:val="continue"/>
                  <w:tcBorders>
                    <w:left w:val="nil"/>
                  </w:tcBorders>
                  <w:noWrap w:val="0"/>
                  <w:vAlign w:val="center"/>
                </w:tcPr>
                <w:p w14:paraId="7973BA02">
                  <w:pPr>
                    <w:autoSpaceDE w:val="0"/>
                    <w:autoSpaceDN w:val="0"/>
                    <w:adjustRightInd w:val="0"/>
                    <w:snapToGrid w:val="0"/>
                    <w:jc w:val="center"/>
                    <w:rPr>
                      <w:rFonts w:hint="default" w:ascii="Times New Roman" w:hAnsi="Times New Roman" w:eastAsia="宋体" w:cs="Times New Roman"/>
                      <w:color w:val="auto"/>
                      <w:kern w:val="0"/>
                      <w:sz w:val="18"/>
                      <w:szCs w:val="18"/>
                      <w:lang w:val="en-US" w:eastAsia="zh-TW"/>
                    </w:rPr>
                  </w:pPr>
                </w:p>
              </w:tc>
              <w:tc>
                <w:tcPr>
                  <w:tcW w:w="4300" w:type="dxa"/>
                  <w:noWrap w:val="0"/>
                  <w:vAlign w:val="center"/>
                </w:tcPr>
                <w:p w14:paraId="521F400A">
                  <w:pPr>
                    <w:autoSpaceDE w:val="0"/>
                    <w:autoSpaceDN w:val="0"/>
                    <w:adjustRightInd w:val="0"/>
                    <w:snapToGrid w:val="0"/>
                    <w:jc w:val="center"/>
                    <w:rPr>
                      <w:rFonts w:hint="default" w:ascii="Times New Roman" w:hAnsi="Times New Roman" w:eastAsia="宋体" w:cs="Times New Roman"/>
                      <w:color w:val="auto"/>
                      <w:kern w:val="0"/>
                      <w:sz w:val="18"/>
                      <w:szCs w:val="18"/>
                      <w:lang w:val="en-US" w:eastAsia="zh-TW"/>
                    </w:rPr>
                  </w:pPr>
                  <w:r>
                    <w:rPr>
                      <w:rFonts w:hint="default" w:ascii="Times New Roman" w:hAnsi="Times New Roman" w:eastAsia="宋体" w:cs="Times New Roman"/>
                      <w:color w:val="auto"/>
                      <w:kern w:val="0"/>
                      <w:sz w:val="18"/>
                      <w:szCs w:val="18"/>
                      <w:lang w:val="en-US" w:eastAsia="zh-TW"/>
                    </w:rPr>
                    <w:t>鼓励工业企业集聚发展，提高土地节约集约利用水平，减少土壤污染。严格执行相关行业企业布局选址要求，禁止在居民区、学校、医疗和养老机构等周边新建有色金属冶炼、焦化等行业企业；结合区域功能定位和土壤污染防治需要，科学布局生活垃圾处理、危险废物处</w:t>
                  </w:r>
                  <w:r>
                    <w:rPr>
                      <w:rFonts w:hint="eastAsia" w:ascii="Times New Roman" w:hAnsi="Times New Roman" w:eastAsia="宋体" w:cs="Times New Roman"/>
                      <w:color w:val="auto"/>
                      <w:kern w:val="0"/>
                      <w:sz w:val="18"/>
                      <w:szCs w:val="18"/>
                      <w:lang w:val="en-US" w:eastAsia="zh-CN"/>
                    </w:rPr>
                    <w:t>置和</w:t>
                  </w:r>
                  <w:r>
                    <w:rPr>
                      <w:rFonts w:hint="default" w:ascii="Times New Roman" w:hAnsi="Times New Roman" w:eastAsia="宋体" w:cs="Times New Roman"/>
                      <w:color w:val="auto"/>
                      <w:kern w:val="0"/>
                      <w:sz w:val="18"/>
                      <w:szCs w:val="18"/>
                      <w:lang w:val="en-US" w:eastAsia="zh-TW"/>
                    </w:rPr>
                    <w:t>废旧资源再生利用等设施和场所，合理确定畜禽养殖布局和规模。</w:t>
                  </w:r>
                </w:p>
              </w:tc>
              <w:tc>
                <w:tcPr>
                  <w:tcW w:w="2675" w:type="dxa"/>
                  <w:noWrap w:val="0"/>
                  <w:vAlign w:val="center"/>
                </w:tcPr>
                <w:p w14:paraId="020B972A">
                  <w:pPr>
                    <w:autoSpaceDE w:val="0"/>
                    <w:autoSpaceDN w:val="0"/>
                    <w:adjustRightInd w:val="0"/>
                    <w:snapToGrid w:val="0"/>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TW"/>
                    </w:rPr>
                    <w:t>本项目不属于有色金属冶炼、石油加工、化工、焦化、电镀、制革等行业，且选址位于</w:t>
                  </w:r>
                  <w:r>
                    <w:rPr>
                      <w:rFonts w:hint="eastAsia" w:cs="Times New Roman"/>
                      <w:color w:val="auto"/>
                      <w:kern w:val="0"/>
                      <w:sz w:val="18"/>
                      <w:szCs w:val="18"/>
                      <w:lang w:val="en-US" w:eastAsia="zh-CN"/>
                    </w:rPr>
                    <w:t>安居工业集中发展区</w:t>
                  </w:r>
                  <w:r>
                    <w:rPr>
                      <w:rFonts w:hint="default" w:ascii="Times New Roman" w:hAnsi="Times New Roman" w:eastAsia="宋体" w:cs="Times New Roman"/>
                      <w:color w:val="auto"/>
                      <w:kern w:val="0"/>
                      <w:sz w:val="18"/>
                      <w:szCs w:val="18"/>
                      <w:lang w:val="en-US" w:eastAsia="zh-TW"/>
                    </w:rPr>
                    <w:t>，园区规划用地范围内，用地性质属</w:t>
                  </w:r>
                  <w:r>
                    <w:rPr>
                      <w:rFonts w:hint="eastAsia" w:cs="Times New Roman"/>
                      <w:color w:val="auto"/>
                      <w:kern w:val="0"/>
                      <w:sz w:val="18"/>
                      <w:szCs w:val="18"/>
                      <w:lang w:val="en-US" w:eastAsia="zh-CN"/>
                    </w:rPr>
                    <w:t>二类</w:t>
                  </w:r>
                  <w:r>
                    <w:rPr>
                      <w:rFonts w:hint="default" w:ascii="Times New Roman" w:hAnsi="Times New Roman" w:eastAsia="宋体" w:cs="Times New Roman"/>
                      <w:color w:val="auto"/>
                      <w:kern w:val="0"/>
                      <w:sz w:val="18"/>
                      <w:szCs w:val="18"/>
                      <w:lang w:val="en-US" w:eastAsia="zh-TW"/>
                    </w:rPr>
                    <w:t>工业用地</w:t>
                  </w:r>
                  <w:r>
                    <w:rPr>
                      <w:rFonts w:hint="eastAsia" w:cs="Times New Roman"/>
                      <w:color w:val="auto"/>
                      <w:kern w:val="0"/>
                      <w:sz w:val="18"/>
                      <w:szCs w:val="18"/>
                      <w:lang w:val="en-US" w:eastAsia="zh-CN"/>
                    </w:rPr>
                    <w:t>；</w:t>
                  </w:r>
                </w:p>
              </w:tc>
              <w:tc>
                <w:tcPr>
                  <w:tcW w:w="645" w:type="dxa"/>
                  <w:tcBorders>
                    <w:right w:val="nil"/>
                  </w:tcBorders>
                  <w:noWrap w:val="0"/>
                  <w:vAlign w:val="center"/>
                </w:tcPr>
                <w:p w14:paraId="270640E6">
                  <w:pPr>
                    <w:autoSpaceDE w:val="0"/>
                    <w:autoSpaceDN w:val="0"/>
                    <w:adjustRightInd w:val="0"/>
                    <w:snapToGrid w:val="0"/>
                    <w:jc w:val="center"/>
                    <w:rPr>
                      <w:rFonts w:hint="default" w:ascii="Times New Roman" w:hAnsi="Times New Roman" w:eastAsia="宋体" w:cs="Times New Roman"/>
                      <w:color w:val="auto"/>
                      <w:kern w:val="0"/>
                      <w:sz w:val="18"/>
                      <w:szCs w:val="18"/>
                      <w:lang w:val="en-US" w:eastAsia="zh-TW"/>
                    </w:rPr>
                  </w:pPr>
                  <w:r>
                    <w:rPr>
                      <w:rFonts w:hint="default" w:ascii="Times New Roman" w:hAnsi="Times New Roman" w:eastAsia="宋体" w:cs="Times New Roman"/>
                      <w:color w:val="auto"/>
                      <w:kern w:val="0"/>
                      <w:sz w:val="18"/>
                      <w:szCs w:val="18"/>
                      <w:lang w:val="en-US" w:eastAsia="zh-TW"/>
                    </w:rPr>
                    <w:t>符合</w:t>
                  </w:r>
                </w:p>
              </w:tc>
            </w:tr>
            <w:tr w14:paraId="1F904C16">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111" w:type="dxa"/>
                  <w:vMerge w:val="continue"/>
                  <w:tcBorders>
                    <w:left w:val="nil"/>
                  </w:tcBorders>
                  <w:noWrap w:val="0"/>
                  <w:vAlign w:val="center"/>
                </w:tcPr>
                <w:p w14:paraId="7CBCF8ED">
                  <w:pPr>
                    <w:autoSpaceDE w:val="0"/>
                    <w:autoSpaceDN w:val="0"/>
                    <w:adjustRightInd w:val="0"/>
                    <w:snapToGrid w:val="0"/>
                    <w:jc w:val="center"/>
                    <w:rPr>
                      <w:rFonts w:hint="default" w:ascii="Times New Roman" w:hAnsi="Times New Roman" w:eastAsia="宋体" w:cs="Times New Roman"/>
                      <w:color w:val="auto"/>
                      <w:kern w:val="0"/>
                      <w:sz w:val="18"/>
                      <w:szCs w:val="18"/>
                      <w:lang w:val="en-US" w:eastAsia="zh-TW"/>
                    </w:rPr>
                  </w:pPr>
                </w:p>
              </w:tc>
              <w:tc>
                <w:tcPr>
                  <w:tcW w:w="4300" w:type="dxa"/>
                  <w:noWrap w:val="0"/>
                  <w:vAlign w:val="center"/>
                </w:tcPr>
                <w:p w14:paraId="12C1308C">
                  <w:pPr>
                    <w:autoSpaceDE w:val="0"/>
                    <w:autoSpaceDN w:val="0"/>
                    <w:adjustRightInd w:val="0"/>
                    <w:snapToGrid w:val="0"/>
                    <w:jc w:val="center"/>
                    <w:rPr>
                      <w:rFonts w:hint="default" w:ascii="Times New Roman" w:hAnsi="Times New Roman" w:eastAsia="宋体" w:cs="Times New Roman"/>
                      <w:color w:val="auto"/>
                      <w:kern w:val="0"/>
                      <w:sz w:val="18"/>
                      <w:szCs w:val="18"/>
                      <w:lang w:val="en-US" w:eastAsia="zh-TW"/>
                    </w:rPr>
                  </w:pPr>
                  <w:r>
                    <w:rPr>
                      <w:rFonts w:hint="default" w:ascii="Times New Roman" w:hAnsi="Times New Roman" w:eastAsia="宋体" w:cs="Times New Roman"/>
                      <w:color w:val="auto"/>
                      <w:kern w:val="0"/>
                      <w:sz w:val="18"/>
                      <w:szCs w:val="18"/>
                      <w:lang w:val="en-US" w:eastAsia="zh-TW"/>
                    </w:rPr>
                    <w:t>将建设用地土壤环境管理要求纳入城市规划和供地管理，土地开发利用必须符合土壤环境质量要求，对不符合土壤环境质量要求的地块，一律不得进入用地程序。各级国土、城乡规划等部门在编制土地利用总体规划、城市总体规划、控制性详细规划等相关规划时，应充分考虑污染地块的环境风险，合理确定土地用途。</w:t>
                  </w:r>
                </w:p>
              </w:tc>
              <w:tc>
                <w:tcPr>
                  <w:tcW w:w="2675" w:type="dxa"/>
                  <w:noWrap w:val="0"/>
                  <w:vAlign w:val="center"/>
                </w:tcPr>
                <w:p w14:paraId="381E2A91">
                  <w:pPr>
                    <w:autoSpaceDE w:val="0"/>
                    <w:autoSpaceDN w:val="0"/>
                    <w:adjustRightInd w:val="0"/>
                    <w:snapToGrid w:val="0"/>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本项目</w:t>
                  </w:r>
                  <w:r>
                    <w:rPr>
                      <w:rFonts w:hint="eastAsia" w:ascii="Times New Roman" w:hAnsi="Times New Roman" w:eastAsia="宋体" w:cs="Times New Roman"/>
                      <w:color w:val="auto"/>
                      <w:kern w:val="0"/>
                      <w:sz w:val="18"/>
                      <w:szCs w:val="18"/>
                      <w:lang w:val="en-US" w:eastAsia="zh-CN"/>
                    </w:rPr>
                    <w:t>所在地建设单位已取得安居区自然资源规划局颁发的不动产证</w:t>
                  </w:r>
                  <w:r>
                    <w:rPr>
                      <w:rFonts w:hint="default" w:ascii="Times New Roman" w:hAnsi="Times New Roman" w:eastAsia="宋体" w:cs="Times New Roman"/>
                      <w:color w:val="auto"/>
                      <w:kern w:val="0"/>
                      <w:sz w:val="18"/>
                      <w:szCs w:val="18"/>
                      <w:lang w:val="en-US" w:eastAsia="zh-CN"/>
                    </w:rPr>
                    <w:t>，土地用途符合园区和城市总体规划</w:t>
                  </w:r>
                  <w:r>
                    <w:rPr>
                      <w:rFonts w:hint="eastAsia" w:cs="Times New Roman"/>
                      <w:color w:val="auto"/>
                      <w:kern w:val="0"/>
                      <w:sz w:val="18"/>
                      <w:szCs w:val="18"/>
                      <w:lang w:val="en-US" w:eastAsia="zh-CN"/>
                    </w:rPr>
                    <w:t>；</w:t>
                  </w:r>
                </w:p>
              </w:tc>
              <w:tc>
                <w:tcPr>
                  <w:tcW w:w="645" w:type="dxa"/>
                  <w:tcBorders>
                    <w:right w:val="nil"/>
                  </w:tcBorders>
                  <w:noWrap w:val="0"/>
                  <w:vAlign w:val="center"/>
                </w:tcPr>
                <w:p w14:paraId="06C36193">
                  <w:pPr>
                    <w:autoSpaceDE w:val="0"/>
                    <w:autoSpaceDN w:val="0"/>
                    <w:adjustRightInd w:val="0"/>
                    <w:snapToGrid w:val="0"/>
                    <w:jc w:val="center"/>
                    <w:rPr>
                      <w:rFonts w:hint="default" w:ascii="Times New Roman" w:hAnsi="Times New Roman" w:eastAsia="宋体" w:cs="Times New Roman"/>
                      <w:color w:val="auto"/>
                      <w:kern w:val="0"/>
                      <w:sz w:val="18"/>
                      <w:szCs w:val="18"/>
                      <w:lang w:val="en-US" w:eastAsia="zh-TW"/>
                    </w:rPr>
                  </w:pPr>
                  <w:r>
                    <w:rPr>
                      <w:rFonts w:hint="default" w:ascii="Times New Roman" w:hAnsi="Times New Roman" w:eastAsia="宋体" w:cs="Times New Roman"/>
                      <w:color w:val="auto"/>
                      <w:kern w:val="0"/>
                      <w:sz w:val="18"/>
                      <w:szCs w:val="18"/>
                      <w:lang w:val="en-US" w:eastAsia="zh-TW"/>
                    </w:rPr>
                    <w:t>符合</w:t>
                  </w:r>
                </w:p>
              </w:tc>
            </w:tr>
            <w:tr w14:paraId="391DC88F">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111" w:type="dxa"/>
                  <w:vMerge w:val="continue"/>
                  <w:tcBorders>
                    <w:left w:val="nil"/>
                  </w:tcBorders>
                  <w:noWrap w:val="0"/>
                  <w:vAlign w:val="center"/>
                </w:tcPr>
                <w:p w14:paraId="79C51A52">
                  <w:pPr>
                    <w:autoSpaceDE w:val="0"/>
                    <w:autoSpaceDN w:val="0"/>
                    <w:adjustRightInd w:val="0"/>
                    <w:snapToGrid w:val="0"/>
                    <w:jc w:val="center"/>
                    <w:rPr>
                      <w:rFonts w:hint="default" w:ascii="Times New Roman" w:hAnsi="Times New Roman" w:eastAsia="宋体" w:cs="Times New Roman"/>
                      <w:color w:val="auto"/>
                      <w:kern w:val="0"/>
                      <w:sz w:val="18"/>
                      <w:szCs w:val="18"/>
                      <w:lang w:val="en-US" w:eastAsia="zh-TW"/>
                    </w:rPr>
                  </w:pPr>
                </w:p>
              </w:tc>
              <w:tc>
                <w:tcPr>
                  <w:tcW w:w="4300" w:type="dxa"/>
                  <w:noWrap w:val="0"/>
                  <w:vAlign w:val="center"/>
                </w:tcPr>
                <w:p w14:paraId="067DC2A5">
                  <w:pPr>
                    <w:autoSpaceDE w:val="0"/>
                    <w:autoSpaceDN w:val="0"/>
                    <w:adjustRightInd w:val="0"/>
                    <w:snapToGrid w:val="0"/>
                    <w:jc w:val="center"/>
                    <w:rPr>
                      <w:rFonts w:hint="default" w:ascii="Times New Roman" w:hAnsi="Times New Roman" w:eastAsia="宋体" w:cs="Times New Roman"/>
                      <w:color w:val="auto"/>
                      <w:kern w:val="0"/>
                      <w:sz w:val="18"/>
                      <w:szCs w:val="18"/>
                      <w:lang w:val="en-US" w:eastAsia="zh-TW"/>
                    </w:rPr>
                  </w:pPr>
                  <w:r>
                    <w:rPr>
                      <w:rFonts w:hint="default" w:ascii="Times New Roman" w:hAnsi="Times New Roman" w:eastAsia="宋体" w:cs="Times New Roman"/>
                      <w:color w:val="auto"/>
                      <w:kern w:val="0"/>
                      <w:sz w:val="18"/>
                      <w:szCs w:val="18"/>
                      <w:lang w:val="en-US" w:eastAsia="zh-TW"/>
                    </w:rPr>
                    <w:t>严格执行重金属污染物排放标准并落实相关总量控制指标，加大监督检查力度……禁止新建落后产能或产能严重过剩行业的建设项目。按计划逐步淘汰普通照明白炽灯。提高铅酸蓄电池等行业落后产能淘汰标准，逐步退出落后产能。制定涉重金属重点工业行业清洁生产技术推行方案，鼓励企业采用先进适用生产工艺和技术。2020年重点行业的重点重金属排放量要比2013年下降10%。</w:t>
                  </w:r>
                </w:p>
              </w:tc>
              <w:tc>
                <w:tcPr>
                  <w:tcW w:w="2675" w:type="dxa"/>
                  <w:noWrap w:val="0"/>
                  <w:vAlign w:val="center"/>
                </w:tcPr>
                <w:p w14:paraId="06600C23">
                  <w:pPr>
                    <w:autoSpaceDE w:val="0"/>
                    <w:autoSpaceDN w:val="0"/>
                    <w:adjustRightInd w:val="0"/>
                    <w:snapToGrid w:val="0"/>
                    <w:jc w:val="center"/>
                    <w:rPr>
                      <w:rFonts w:hint="eastAsia"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TW"/>
                    </w:rPr>
                    <w:t>经分析，拟建项目</w:t>
                  </w:r>
                  <w:r>
                    <w:rPr>
                      <w:rFonts w:hint="default" w:ascii="Times New Roman" w:hAnsi="Times New Roman" w:eastAsia="宋体" w:cs="Times New Roman"/>
                      <w:color w:val="auto"/>
                      <w:kern w:val="0"/>
                      <w:sz w:val="18"/>
                      <w:szCs w:val="18"/>
                      <w:lang w:val="en-US" w:eastAsia="zh-CN"/>
                    </w:rPr>
                    <w:t>“</w:t>
                  </w:r>
                  <w:r>
                    <w:rPr>
                      <w:rFonts w:hint="default" w:ascii="Times New Roman" w:hAnsi="Times New Roman" w:eastAsia="宋体" w:cs="Times New Roman"/>
                      <w:color w:val="auto"/>
                      <w:kern w:val="0"/>
                      <w:sz w:val="18"/>
                      <w:szCs w:val="18"/>
                      <w:lang w:val="en-US" w:eastAsia="zh-TW"/>
                    </w:rPr>
                    <w:t>三废</w:t>
                  </w:r>
                  <w:r>
                    <w:rPr>
                      <w:rFonts w:hint="default" w:ascii="Times New Roman" w:hAnsi="Times New Roman" w:eastAsia="宋体" w:cs="Times New Roman"/>
                      <w:color w:val="auto"/>
                      <w:kern w:val="0"/>
                      <w:sz w:val="18"/>
                      <w:szCs w:val="18"/>
                      <w:lang w:val="en-US" w:eastAsia="zh-CN"/>
                    </w:rPr>
                    <w:t>”</w:t>
                  </w:r>
                  <w:r>
                    <w:rPr>
                      <w:rFonts w:hint="default" w:ascii="Times New Roman" w:hAnsi="Times New Roman" w:eastAsia="宋体" w:cs="Times New Roman"/>
                      <w:color w:val="auto"/>
                      <w:kern w:val="0"/>
                      <w:sz w:val="18"/>
                      <w:szCs w:val="18"/>
                      <w:lang w:val="en-US" w:eastAsia="zh-TW"/>
                    </w:rPr>
                    <w:t>均配备相应的环保措施，经收集处理后达标排放，固废按照分类收集、分质处理，且不涉及重金属（废水、废气）排放</w:t>
                  </w:r>
                  <w:r>
                    <w:rPr>
                      <w:rFonts w:hint="eastAsia" w:cs="Times New Roman"/>
                      <w:color w:val="auto"/>
                      <w:kern w:val="0"/>
                      <w:sz w:val="18"/>
                      <w:szCs w:val="18"/>
                      <w:lang w:val="en-US" w:eastAsia="zh-CN"/>
                    </w:rPr>
                    <w:t>；</w:t>
                  </w:r>
                </w:p>
              </w:tc>
              <w:tc>
                <w:tcPr>
                  <w:tcW w:w="645" w:type="dxa"/>
                  <w:tcBorders>
                    <w:right w:val="nil"/>
                  </w:tcBorders>
                  <w:noWrap w:val="0"/>
                  <w:vAlign w:val="center"/>
                </w:tcPr>
                <w:p w14:paraId="27E1212E">
                  <w:pPr>
                    <w:autoSpaceDE w:val="0"/>
                    <w:autoSpaceDN w:val="0"/>
                    <w:adjustRightInd w:val="0"/>
                    <w:snapToGrid w:val="0"/>
                    <w:jc w:val="center"/>
                    <w:rPr>
                      <w:rFonts w:hint="default" w:ascii="Times New Roman" w:hAnsi="Times New Roman" w:eastAsia="宋体" w:cs="Times New Roman"/>
                      <w:color w:val="auto"/>
                      <w:kern w:val="0"/>
                      <w:sz w:val="18"/>
                      <w:szCs w:val="18"/>
                      <w:lang w:val="en-US" w:eastAsia="zh-TW"/>
                    </w:rPr>
                  </w:pPr>
                  <w:r>
                    <w:rPr>
                      <w:rFonts w:hint="default" w:ascii="Times New Roman" w:hAnsi="Times New Roman" w:eastAsia="宋体" w:cs="Times New Roman"/>
                      <w:color w:val="auto"/>
                      <w:kern w:val="0"/>
                      <w:sz w:val="18"/>
                      <w:szCs w:val="18"/>
                      <w:lang w:val="en-US" w:eastAsia="zh-TW"/>
                    </w:rPr>
                    <w:t>符合</w:t>
                  </w:r>
                </w:p>
              </w:tc>
            </w:tr>
            <w:tr w14:paraId="76B35EAE">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111" w:type="dxa"/>
                  <w:vMerge w:val="restart"/>
                  <w:tcBorders>
                    <w:left w:val="nil"/>
                  </w:tcBorders>
                  <w:noWrap w:val="0"/>
                  <w:vAlign w:val="center"/>
                </w:tcPr>
                <w:p w14:paraId="164E2F53">
                  <w:pPr>
                    <w:autoSpaceDE w:val="0"/>
                    <w:autoSpaceDN w:val="0"/>
                    <w:adjustRightInd w:val="0"/>
                    <w:snapToGrid w:val="0"/>
                    <w:jc w:val="center"/>
                    <w:rPr>
                      <w:rFonts w:hint="default" w:ascii="Times New Roman" w:hAnsi="Times New Roman" w:eastAsia="宋体" w:cs="Times New Roman"/>
                      <w:color w:val="auto"/>
                      <w:kern w:val="0"/>
                      <w:sz w:val="18"/>
                      <w:szCs w:val="18"/>
                      <w:lang w:val="en-US" w:eastAsia="zh-TW"/>
                    </w:rPr>
                  </w:pPr>
                  <w:r>
                    <w:rPr>
                      <w:rFonts w:hint="default" w:ascii="Times New Roman" w:hAnsi="Times New Roman" w:eastAsia="宋体" w:cs="Times New Roman"/>
                      <w:color w:val="auto"/>
                      <w:kern w:val="0"/>
                      <w:sz w:val="18"/>
                      <w:szCs w:val="18"/>
                      <w:lang w:val="en-US" w:eastAsia="zh-TW"/>
                    </w:rPr>
                    <w:t>《关于印发土壤污染防治行动计划四川省工作方案的通知》（川府发</w:t>
                  </w:r>
                  <w:r>
                    <w:rPr>
                      <w:rFonts w:hint="eastAsia" w:ascii="Times New Roman" w:hAnsi="Times New Roman" w:eastAsia="宋体" w:cs="Times New Roman"/>
                      <w:color w:val="auto"/>
                      <w:kern w:val="0"/>
                      <w:sz w:val="18"/>
                      <w:szCs w:val="18"/>
                      <w:lang w:val="en-US" w:eastAsia="zh-CN"/>
                    </w:rPr>
                    <w:t>〔</w:t>
                  </w:r>
                  <w:r>
                    <w:rPr>
                      <w:rFonts w:hint="default" w:ascii="Times New Roman" w:hAnsi="Times New Roman" w:eastAsia="宋体" w:cs="Times New Roman"/>
                      <w:color w:val="auto"/>
                      <w:kern w:val="0"/>
                      <w:sz w:val="18"/>
                      <w:szCs w:val="18"/>
                      <w:lang w:val="en-US" w:eastAsia="zh-TW"/>
                    </w:rPr>
                    <w:t>2016</w:t>
                  </w:r>
                  <w:r>
                    <w:rPr>
                      <w:rFonts w:hint="eastAsia" w:ascii="Times New Roman" w:hAnsi="Times New Roman" w:eastAsia="宋体" w:cs="Times New Roman"/>
                      <w:color w:val="auto"/>
                      <w:kern w:val="0"/>
                      <w:sz w:val="18"/>
                      <w:szCs w:val="18"/>
                      <w:lang w:val="en-US" w:eastAsia="zh-CN"/>
                    </w:rPr>
                    <w:t>〕</w:t>
                  </w:r>
                  <w:r>
                    <w:rPr>
                      <w:rFonts w:hint="default" w:ascii="Times New Roman" w:hAnsi="Times New Roman" w:eastAsia="宋体" w:cs="Times New Roman"/>
                      <w:color w:val="auto"/>
                      <w:kern w:val="0"/>
                      <w:sz w:val="18"/>
                      <w:szCs w:val="18"/>
                      <w:lang w:val="en-US" w:eastAsia="zh-TW"/>
                    </w:rPr>
                    <w:t>63号）</w:t>
                  </w:r>
                </w:p>
              </w:tc>
              <w:tc>
                <w:tcPr>
                  <w:tcW w:w="4300" w:type="dxa"/>
                  <w:noWrap w:val="0"/>
                  <w:vAlign w:val="center"/>
                </w:tcPr>
                <w:p w14:paraId="269E0715">
                  <w:pPr>
                    <w:autoSpaceDE w:val="0"/>
                    <w:autoSpaceDN w:val="0"/>
                    <w:adjustRightInd w:val="0"/>
                    <w:snapToGrid w:val="0"/>
                    <w:jc w:val="center"/>
                    <w:rPr>
                      <w:rFonts w:hint="default" w:ascii="Times New Roman" w:hAnsi="Times New Roman" w:eastAsia="宋体" w:cs="Times New Roman"/>
                      <w:color w:val="auto"/>
                      <w:kern w:val="0"/>
                      <w:sz w:val="18"/>
                      <w:szCs w:val="18"/>
                      <w:lang w:val="en-US" w:eastAsia="zh-TW"/>
                    </w:rPr>
                  </w:pPr>
                  <w:r>
                    <w:rPr>
                      <w:rFonts w:hint="default" w:ascii="Times New Roman" w:hAnsi="Times New Roman" w:eastAsia="宋体" w:cs="Times New Roman"/>
                      <w:color w:val="auto"/>
                      <w:kern w:val="0"/>
                      <w:sz w:val="18"/>
                      <w:szCs w:val="18"/>
                      <w:lang w:val="en-US" w:eastAsia="zh-TW"/>
                    </w:rPr>
                    <w:t>（八）切实加大保护力度。严格保护优先保护类耕地… 除法律规定的重点建设项目选址确实无法避让外，其他任何建设不得占用。</w:t>
                  </w:r>
                </w:p>
              </w:tc>
              <w:tc>
                <w:tcPr>
                  <w:tcW w:w="2675" w:type="dxa"/>
                  <w:noWrap w:val="0"/>
                  <w:vAlign w:val="center"/>
                </w:tcPr>
                <w:p w14:paraId="2F9197E5">
                  <w:pPr>
                    <w:autoSpaceDE w:val="0"/>
                    <w:autoSpaceDN w:val="0"/>
                    <w:adjustRightInd w:val="0"/>
                    <w:snapToGrid w:val="0"/>
                    <w:jc w:val="center"/>
                    <w:rPr>
                      <w:rFonts w:hint="eastAsia"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TW"/>
                    </w:rPr>
                    <w:t>本项目选址位于</w:t>
                  </w:r>
                  <w:r>
                    <w:rPr>
                      <w:rFonts w:hint="eastAsia" w:cs="Times New Roman"/>
                      <w:color w:val="auto"/>
                      <w:kern w:val="0"/>
                      <w:sz w:val="18"/>
                      <w:szCs w:val="18"/>
                      <w:lang w:val="en-US" w:eastAsia="zh-CN"/>
                    </w:rPr>
                    <w:t>安居工业集中发展区</w:t>
                  </w:r>
                  <w:r>
                    <w:rPr>
                      <w:rFonts w:hint="default" w:ascii="Times New Roman" w:hAnsi="Times New Roman" w:eastAsia="宋体" w:cs="Times New Roman"/>
                      <w:color w:val="auto"/>
                      <w:kern w:val="0"/>
                      <w:sz w:val="18"/>
                      <w:szCs w:val="18"/>
                      <w:lang w:val="en-US" w:eastAsia="zh-TW"/>
                    </w:rPr>
                    <w:t>，园区规划建设用地范围不涉及基本农田等土壤环境敏感目标</w:t>
                  </w:r>
                  <w:r>
                    <w:rPr>
                      <w:rFonts w:hint="eastAsia" w:cs="Times New Roman"/>
                      <w:color w:val="auto"/>
                      <w:kern w:val="0"/>
                      <w:sz w:val="18"/>
                      <w:szCs w:val="18"/>
                      <w:lang w:val="en-US" w:eastAsia="zh-CN"/>
                    </w:rPr>
                    <w:t>；</w:t>
                  </w:r>
                </w:p>
              </w:tc>
              <w:tc>
                <w:tcPr>
                  <w:tcW w:w="645" w:type="dxa"/>
                  <w:tcBorders>
                    <w:right w:val="nil"/>
                  </w:tcBorders>
                  <w:noWrap w:val="0"/>
                  <w:vAlign w:val="center"/>
                </w:tcPr>
                <w:p w14:paraId="1BE6E327">
                  <w:pPr>
                    <w:autoSpaceDE w:val="0"/>
                    <w:autoSpaceDN w:val="0"/>
                    <w:adjustRightInd w:val="0"/>
                    <w:snapToGrid w:val="0"/>
                    <w:jc w:val="center"/>
                    <w:rPr>
                      <w:rFonts w:hint="default" w:ascii="Times New Roman" w:hAnsi="Times New Roman" w:eastAsia="宋体" w:cs="Times New Roman"/>
                      <w:color w:val="auto"/>
                      <w:kern w:val="0"/>
                      <w:sz w:val="18"/>
                      <w:szCs w:val="18"/>
                      <w:lang w:val="en-US" w:eastAsia="zh-TW"/>
                    </w:rPr>
                  </w:pPr>
                  <w:r>
                    <w:rPr>
                      <w:rFonts w:hint="default" w:ascii="Times New Roman" w:hAnsi="Times New Roman" w:eastAsia="宋体" w:cs="Times New Roman"/>
                      <w:color w:val="auto"/>
                      <w:kern w:val="0"/>
                      <w:sz w:val="18"/>
                      <w:szCs w:val="18"/>
                      <w:lang w:val="en-US" w:eastAsia="zh-TW"/>
                    </w:rPr>
                    <w:t>符合</w:t>
                  </w:r>
                </w:p>
              </w:tc>
            </w:tr>
            <w:tr w14:paraId="386C049A">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0" w:type="dxa"/>
                  <w:bottom w:w="0" w:type="dxa"/>
                  <w:right w:w="0" w:type="dxa"/>
                </w:tblCellMar>
              </w:tblPrEx>
              <w:trPr>
                <w:trHeight w:val="2023" w:hRule="atLeast"/>
                <w:jc w:val="center"/>
              </w:trPr>
              <w:tc>
                <w:tcPr>
                  <w:tcW w:w="1111" w:type="dxa"/>
                  <w:vMerge w:val="continue"/>
                  <w:tcBorders>
                    <w:left w:val="nil"/>
                  </w:tcBorders>
                  <w:noWrap w:val="0"/>
                  <w:vAlign w:val="center"/>
                </w:tcPr>
                <w:p w14:paraId="34D80C5A">
                  <w:pPr>
                    <w:autoSpaceDE w:val="0"/>
                    <w:autoSpaceDN w:val="0"/>
                    <w:adjustRightInd w:val="0"/>
                    <w:snapToGrid w:val="0"/>
                    <w:jc w:val="center"/>
                    <w:rPr>
                      <w:rFonts w:hint="default" w:ascii="Times New Roman" w:hAnsi="Times New Roman" w:eastAsia="宋体" w:cs="Times New Roman"/>
                      <w:color w:val="auto"/>
                      <w:kern w:val="0"/>
                      <w:sz w:val="18"/>
                      <w:szCs w:val="18"/>
                      <w:lang w:val="en-US" w:eastAsia="zh-TW"/>
                    </w:rPr>
                  </w:pPr>
                </w:p>
              </w:tc>
              <w:tc>
                <w:tcPr>
                  <w:tcW w:w="4300" w:type="dxa"/>
                  <w:noWrap w:val="0"/>
                  <w:vAlign w:val="center"/>
                </w:tcPr>
                <w:p w14:paraId="4D1D64F4">
                  <w:pPr>
                    <w:autoSpaceDE w:val="0"/>
                    <w:autoSpaceDN w:val="0"/>
                    <w:adjustRightInd w:val="0"/>
                    <w:snapToGrid w:val="0"/>
                    <w:jc w:val="center"/>
                    <w:rPr>
                      <w:rFonts w:hint="default" w:ascii="Times New Roman" w:hAnsi="Times New Roman" w:eastAsia="宋体" w:cs="Times New Roman"/>
                      <w:color w:val="auto"/>
                      <w:kern w:val="0"/>
                      <w:sz w:val="18"/>
                      <w:szCs w:val="18"/>
                      <w:lang w:val="en-US" w:eastAsia="zh-TW"/>
                    </w:rPr>
                  </w:pPr>
                  <w:r>
                    <w:rPr>
                      <w:rFonts w:hint="default" w:ascii="Times New Roman" w:hAnsi="Times New Roman" w:eastAsia="宋体" w:cs="Times New Roman"/>
                      <w:color w:val="auto"/>
                      <w:kern w:val="0"/>
                      <w:sz w:val="18"/>
                      <w:szCs w:val="18"/>
                      <w:lang w:val="en-US" w:eastAsia="zh-TW"/>
                    </w:rPr>
                    <w:t>（十六）防范建设用地新增污染。严格环境准入。排放重点污染物的建设项目，在开展环境影响评价时，要增加对土壤环境影响的评价内容，并提出防范土壤污染的具体措施；需要建设的土壤污染防治设施，要与主体工程同时设计、同时施工、同时投产使用；有关环境保护部门要做好风险管控、污染防治措施落实情况的监督管理工作。</w:t>
                  </w:r>
                </w:p>
              </w:tc>
              <w:tc>
                <w:tcPr>
                  <w:tcW w:w="2675" w:type="dxa"/>
                  <w:noWrap w:val="0"/>
                  <w:vAlign w:val="center"/>
                </w:tcPr>
                <w:p w14:paraId="7E01DD3E">
                  <w:pPr>
                    <w:autoSpaceDE w:val="0"/>
                    <w:autoSpaceDN w:val="0"/>
                    <w:adjustRightInd w:val="0"/>
                    <w:snapToGrid w:val="0"/>
                    <w:jc w:val="center"/>
                    <w:rPr>
                      <w:rFonts w:hint="default" w:ascii="Times New Roman" w:hAnsi="Times New Roman" w:eastAsia="宋体" w:cs="Times New Roman"/>
                      <w:color w:val="auto"/>
                      <w:kern w:val="0"/>
                      <w:sz w:val="18"/>
                      <w:szCs w:val="18"/>
                      <w:lang w:val="en-US" w:eastAsia="zh-TW"/>
                    </w:rPr>
                  </w:pPr>
                  <w:r>
                    <w:rPr>
                      <w:rFonts w:hint="default" w:ascii="Times New Roman" w:hAnsi="Times New Roman" w:eastAsia="宋体" w:cs="Times New Roman"/>
                      <w:color w:val="auto"/>
                      <w:kern w:val="0"/>
                      <w:sz w:val="18"/>
                      <w:szCs w:val="18"/>
                      <w:lang w:val="en-US" w:eastAsia="zh-TW"/>
                    </w:rPr>
                    <w:t>本项目正常运行过程中加强</w:t>
                  </w:r>
                  <w:r>
                    <w:rPr>
                      <w:rFonts w:hint="default" w:ascii="Times New Roman" w:hAnsi="Times New Roman" w:eastAsia="宋体" w:cs="Times New Roman"/>
                      <w:color w:val="auto"/>
                      <w:kern w:val="0"/>
                      <w:sz w:val="18"/>
                      <w:szCs w:val="18"/>
                      <w:lang w:val="en-US" w:eastAsia="zh-CN"/>
                    </w:rPr>
                    <w:t>“</w:t>
                  </w:r>
                  <w:r>
                    <w:rPr>
                      <w:rFonts w:hint="default" w:ascii="Times New Roman" w:hAnsi="Times New Roman" w:eastAsia="宋体" w:cs="Times New Roman"/>
                      <w:color w:val="auto"/>
                      <w:kern w:val="0"/>
                      <w:sz w:val="18"/>
                      <w:szCs w:val="18"/>
                      <w:lang w:val="en-US" w:eastAsia="zh-TW"/>
                    </w:rPr>
                    <w:t>三废</w:t>
                  </w:r>
                  <w:r>
                    <w:rPr>
                      <w:rFonts w:hint="default" w:ascii="Times New Roman" w:hAnsi="Times New Roman" w:eastAsia="宋体" w:cs="Times New Roman"/>
                      <w:color w:val="auto"/>
                      <w:kern w:val="0"/>
                      <w:sz w:val="18"/>
                      <w:szCs w:val="18"/>
                      <w:lang w:val="en-US" w:eastAsia="zh-CN"/>
                    </w:rPr>
                    <w:t>”</w:t>
                  </w:r>
                  <w:r>
                    <w:rPr>
                      <w:rFonts w:hint="default" w:ascii="Times New Roman" w:hAnsi="Times New Roman" w:eastAsia="宋体" w:cs="Times New Roman"/>
                      <w:color w:val="auto"/>
                      <w:kern w:val="0"/>
                      <w:sz w:val="18"/>
                      <w:szCs w:val="18"/>
                      <w:lang w:val="en-US" w:eastAsia="zh-TW"/>
                    </w:rPr>
                    <w:t>污染防治措施的运行管理，确保主要污染物稳定达标排放；制定土壤环境监测计划，加强环境管理，确保风险可控。</w:t>
                  </w:r>
                </w:p>
              </w:tc>
              <w:tc>
                <w:tcPr>
                  <w:tcW w:w="645" w:type="dxa"/>
                  <w:tcBorders>
                    <w:right w:val="nil"/>
                  </w:tcBorders>
                  <w:noWrap w:val="0"/>
                  <w:vAlign w:val="center"/>
                </w:tcPr>
                <w:p w14:paraId="5A02198E">
                  <w:pPr>
                    <w:autoSpaceDE w:val="0"/>
                    <w:autoSpaceDN w:val="0"/>
                    <w:adjustRightInd w:val="0"/>
                    <w:snapToGrid w:val="0"/>
                    <w:jc w:val="center"/>
                    <w:rPr>
                      <w:rFonts w:hint="default" w:ascii="Times New Roman" w:hAnsi="Times New Roman" w:eastAsia="宋体" w:cs="Times New Roman"/>
                      <w:color w:val="auto"/>
                      <w:kern w:val="0"/>
                      <w:sz w:val="18"/>
                      <w:szCs w:val="18"/>
                      <w:lang w:val="en-US" w:eastAsia="zh-TW"/>
                    </w:rPr>
                  </w:pPr>
                  <w:r>
                    <w:rPr>
                      <w:rFonts w:hint="default" w:ascii="Times New Roman" w:hAnsi="Times New Roman" w:eastAsia="宋体" w:cs="Times New Roman"/>
                      <w:color w:val="auto"/>
                      <w:kern w:val="0"/>
                      <w:sz w:val="18"/>
                      <w:szCs w:val="18"/>
                      <w:lang w:val="en-US" w:eastAsia="zh-TW"/>
                    </w:rPr>
                    <w:t>符合</w:t>
                  </w:r>
                </w:p>
              </w:tc>
            </w:tr>
          </w:tbl>
          <w:p w14:paraId="4C480504">
            <w:pPr>
              <w:pStyle w:val="78"/>
              <w:ind w:left="0" w:leftChars="0" w:firstLine="422" w:firstLineChars="200"/>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b/>
                <w:bCs/>
                <w:color w:val="auto"/>
                <w:kern w:val="0"/>
                <w:sz w:val="21"/>
                <w:szCs w:val="21"/>
              </w:rPr>
              <w:t>综上，项目建设符合《土壤污染防治行动计划</w:t>
            </w:r>
            <w:r>
              <w:rPr>
                <w:rFonts w:hint="eastAsia" w:ascii="Times New Roman" w:hAnsi="Times New Roman" w:eastAsia="宋体" w:cs="Times New Roman"/>
                <w:b/>
                <w:bCs/>
                <w:color w:val="auto"/>
                <w:kern w:val="0"/>
                <w:sz w:val="21"/>
                <w:szCs w:val="21"/>
                <w:lang w:eastAsia="zh-CN"/>
              </w:rPr>
              <w:t>》《〈</w:t>
            </w:r>
            <w:r>
              <w:rPr>
                <w:rFonts w:hint="default" w:ascii="Times New Roman" w:hAnsi="Times New Roman" w:eastAsia="宋体" w:cs="Times New Roman"/>
                <w:b/>
                <w:bCs/>
                <w:color w:val="auto"/>
                <w:kern w:val="0"/>
                <w:sz w:val="21"/>
                <w:szCs w:val="21"/>
              </w:rPr>
              <w:t>土壤污染防治行动计划</w:t>
            </w:r>
            <w:r>
              <w:rPr>
                <w:rFonts w:hint="eastAsia" w:ascii="Times New Roman" w:hAnsi="Times New Roman" w:eastAsia="宋体" w:cs="Times New Roman"/>
                <w:b/>
                <w:bCs/>
                <w:color w:val="auto"/>
                <w:kern w:val="0"/>
                <w:sz w:val="21"/>
                <w:szCs w:val="21"/>
                <w:lang w:eastAsia="zh-CN"/>
              </w:rPr>
              <w:t>〉</w:t>
            </w:r>
            <w:r>
              <w:rPr>
                <w:rFonts w:hint="default" w:ascii="Times New Roman" w:hAnsi="Times New Roman" w:eastAsia="宋体" w:cs="Times New Roman"/>
                <w:b/>
                <w:bCs/>
                <w:color w:val="auto"/>
                <w:kern w:val="0"/>
                <w:sz w:val="21"/>
                <w:szCs w:val="21"/>
              </w:rPr>
              <w:t>四川省工作方案2017年度实施计划》的要求。</w:t>
            </w:r>
          </w:p>
          <w:p w14:paraId="774E7939">
            <w:pPr>
              <w:numPr>
                <w:ilvl w:val="0"/>
                <w:numId w:val="0"/>
              </w:numPr>
              <w:bidi w:val="0"/>
              <w:spacing w:line="360" w:lineRule="auto"/>
              <w:ind w:leftChars="0"/>
              <w:rPr>
                <w:rFonts w:hint="eastAsia" w:ascii="Times New Roman" w:hAnsi="Times New Roman" w:eastAsia="宋体" w:cs="Times New Roman"/>
                <w:b/>
                <w:bCs/>
                <w:color w:val="auto"/>
                <w:sz w:val="21"/>
                <w:szCs w:val="21"/>
                <w:lang w:val="en-US" w:eastAsia="zh-CN"/>
              </w:rPr>
            </w:pPr>
            <w:r>
              <w:rPr>
                <w:rFonts w:hint="eastAsia" w:cs="Times New Roman"/>
                <w:b/>
                <w:bCs/>
                <w:color w:val="auto"/>
                <w:kern w:val="0"/>
                <w:sz w:val="21"/>
                <w:szCs w:val="21"/>
                <w:lang w:val="en-US" w:eastAsia="zh-CN"/>
              </w:rPr>
              <w:t>6</w:t>
            </w:r>
            <w:r>
              <w:rPr>
                <w:rFonts w:hint="default" w:ascii="Times New Roman" w:hAnsi="Times New Roman" w:eastAsia="宋体" w:cs="Times New Roman"/>
                <w:b/>
                <w:bCs/>
                <w:color w:val="auto"/>
                <w:kern w:val="0"/>
                <w:sz w:val="21"/>
                <w:szCs w:val="21"/>
              </w:rPr>
              <w:t>、</w:t>
            </w:r>
            <w:r>
              <w:rPr>
                <w:rFonts w:hint="default" w:ascii="Times New Roman" w:hAnsi="Times New Roman" w:eastAsia="宋体" w:cs="Times New Roman"/>
                <w:b/>
                <w:bCs/>
                <w:color w:val="auto"/>
                <w:sz w:val="21"/>
                <w:szCs w:val="21"/>
              </w:rPr>
              <w:t>项目</w:t>
            </w:r>
            <w:r>
              <w:rPr>
                <w:rFonts w:hint="eastAsia" w:cs="Times New Roman"/>
                <w:b/>
                <w:bCs/>
                <w:color w:val="auto"/>
                <w:sz w:val="21"/>
                <w:szCs w:val="21"/>
                <w:lang w:val="en-US" w:eastAsia="zh-CN"/>
              </w:rPr>
              <w:t>与</w:t>
            </w:r>
            <w:r>
              <w:rPr>
                <w:rFonts w:hint="default" w:ascii="Times New Roman" w:hAnsi="Times New Roman" w:eastAsia="宋体" w:cs="Times New Roman"/>
                <w:b/>
                <w:bCs/>
                <w:color w:val="auto"/>
                <w:sz w:val="21"/>
                <w:szCs w:val="21"/>
              </w:rPr>
              <w:t>生态环境分区管控符合性分析</w:t>
            </w:r>
          </w:p>
          <w:p w14:paraId="5ED51D1C">
            <w:pPr>
              <w:numPr>
                <w:ilvl w:val="0"/>
                <w:numId w:val="0"/>
              </w:numPr>
              <w:bidi w:val="0"/>
              <w:spacing w:line="360" w:lineRule="auto"/>
              <w:ind w:leftChars="0"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为更好</w:t>
            </w:r>
            <w:r>
              <w:rPr>
                <w:rFonts w:hint="eastAsia" w:ascii="Times New Roman" w:hAnsi="Times New Roman" w:eastAsia="宋体" w:cs="Times New Roman"/>
                <w:color w:val="auto"/>
                <w:sz w:val="21"/>
                <w:szCs w:val="21"/>
                <w:lang w:eastAsia="zh-CN"/>
              </w:rPr>
              <w:t>地</w:t>
            </w:r>
            <w:r>
              <w:rPr>
                <w:rFonts w:hint="default" w:ascii="Times New Roman" w:hAnsi="Times New Roman" w:eastAsia="宋体" w:cs="Times New Roman"/>
                <w:color w:val="auto"/>
                <w:sz w:val="21"/>
                <w:szCs w:val="21"/>
              </w:rPr>
              <w:t>建立项目环评审批与规划环评</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现有项目环境管理</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区域环境质量联动机制</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更好地发挥环评制度从源头防范环境污染和生态破坏的作用</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加快推进改善环境质量</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环保部于2016年印发了《关于以改善环境质量为核心加强环境影响评价管理的通知》（环环评〔20</w:t>
            </w:r>
            <w:r>
              <w:rPr>
                <w:rFonts w:hint="eastAsia" w:cs="Times New Roman"/>
                <w:color w:val="auto"/>
                <w:sz w:val="21"/>
                <w:szCs w:val="21"/>
                <w:lang w:val="en-US" w:eastAsia="zh-CN"/>
              </w:rPr>
              <w:t>16</w:t>
            </w:r>
            <w:r>
              <w:rPr>
                <w:rFonts w:hint="default" w:ascii="Times New Roman" w:hAnsi="Times New Roman" w:eastAsia="宋体" w:cs="Times New Roman"/>
                <w:color w:val="auto"/>
                <w:sz w:val="21"/>
                <w:szCs w:val="21"/>
              </w:rPr>
              <w:t>〕150号</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明确环境影响评价需要落实</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生态保护红线</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环境质量底线</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资源利用上限和环境准入负面清单</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（简称</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三线一单</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约束。</w:t>
            </w:r>
          </w:p>
          <w:p w14:paraId="426A93E3">
            <w:pPr>
              <w:numPr>
                <w:ilvl w:val="0"/>
                <w:numId w:val="0"/>
              </w:numPr>
              <w:bidi w:val="0"/>
              <w:spacing w:line="360" w:lineRule="auto"/>
              <w:ind w:leftChars="0" w:firstLine="420" w:firstLineChars="2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根据四川省生态环境厅办公室发</w:t>
            </w:r>
            <w:r>
              <w:rPr>
                <w:rFonts w:hint="eastAsia" w:ascii="宋体" w:hAnsi="宋体" w:cs="宋体"/>
                <w:color w:val="auto"/>
                <w:sz w:val="21"/>
                <w:szCs w:val="21"/>
                <w:lang w:eastAsia="zh-CN"/>
              </w:rPr>
              <w:t>布的</w:t>
            </w:r>
            <w:r>
              <w:rPr>
                <w:rFonts w:hint="eastAsia" w:ascii="宋体" w:hAnsi="宋体" w:eastAsia="宋体" w:cs="宋体"/>
                <w:color w:val="auto"/>
                <w:sz w:val="21"/>
                <w:szCs w:val="21"/>
              </w:rPr>
              <w:t>《产业园区规划环评“三线一单”符合性分析技术要点（试行）》和《项目环评“三线一单”符合性分析技术要点（试行）》的通知</w:t>
            </w:r>
            <w:r>
              <w:rPr>
                <w:rFonts w:hint="default" w:ascii="Times New Roman" w:hAnsi="Times New Roman" w:eastAsia="宋体" w:cs="Times New Roman"/>
                <w:color w:val="auto"/>
                <w:sz w:val="21"/>
                <w:szCs w:val="21"/>
              </w:rPr>
              <w:t>（川环办函〔2021〕469号）相关</w:t>
            </w:r>
            <w:r>
              <w:rPr>
                <w:rFonts w:hint="eastAsia" w:ascii="宋体" w:hAnsi="宋体" w:eastAsia="宋体" w:cs="宋体"/>
                <w:color w:val="auto"/>
                <w:sz w:val="21"/>
                <w:szCs w:val="21"/>
              </w:rPr>
              <w:t>要求，进行“三线一单”符合性分析，具体如下：</w:t>
            </w:r>
          </w:p>
          <w:p w14:paraId="093C3F3E">
            <w:pPr>
              <w:numPr>
                <w:ilvl w:val="0"/>
                <w:numId w:val="0"/>
              </w:numPr>
              <w:bidi w:val="0"/>
              <w:spacing w:line="360" w:lineRule="auto"/>
              <w:ind w:leftChars="200"/>
              <w:rPr>
                <w:rFonts w:hint="eastAsia" w:cs="Times New Roman"/>
                <w:b/>
                <w:bCs/>
                <w:color w:val="auto"/>
                <w:sz w:val="21"/>
                <w:szCs w:val="21"/>
                <w:lang w:eastAsia="zh-CN"/>
              </w:rPr>
            </w:pPr>
            <w:r>
              <w:rPr>
                <w:rFonts w:hint="eastAsia" w:cs="Times New Roman"/>
                <w:b/>
                <w:bCs/>
                <w:color w:val="auto"/>
                <w:sz w:val="21"/>
                <w:szCs w:val="21"/>
                <w:lang w:val="en-US" w:eastAsia="zh-CN"/>
              </w:rPr>
              <w:t>（1）与“生态保护红线”</w:t>
            </w:r>
            <w:r>
              <w:rPr>
                <w:rFonts w:hint="eastAsia" w:cs="Times New Roman"/>
                <w:b/>
                <w:bCs/>
                <w:color w:val="auto"/>
                <w:sz w:val="21"/>
                <w:szCs w:val="21"/>
                <w:lang w:eastAsia="zh-CN"/>
              </w:rPr>
              <w:t>符合性分析</w:t>
            </w:r>
          </w:p>
          <w:p w14:paraId="2F5AE49E">
            <w:pPr>
              <w:numPr>
                <w:ilvl w:val="0"/>
                <w:numId w:val="0"/>
              </w:numPr>
              <w:bidi w:val="0"/>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关于落实生态保护红线</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环境质量底线</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资源利用上线和生态环境准</w:t>
            </w:r>
            <w:r>
              <w:rPr>
                <w:rFonts w:hint="eastAsia" w:ascii="Times New Roman" w:hAnsi="Times New Roman" w:eastAsia="宋体" w:cs="Times New Roman"/>
                <w:color w:val="auto"/>
                <w:sz w:val="21"/>
                <w:szCs w:val="21"/>
                <w:lang w:eastAsia="zh-CN"/>
              </w:rPr>
              <w:t>入</w:t>
            </w:r>
            <w:r>
              <w:rPr>
                <w:rFonts w:hint="default" w:ascii="Times New Roman" w:hAnsi="Times New Roman" w:eastAsia="宋体" w:cs="Times New Roman"/>
                <w:color w:val="auto"/>
                <w:sz w:val="21"/>
                <w:szCs w:val="21"/>
              </w:rPr>
              <w:t>清单实施生态环境分区管控的通知</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遂府函〔2021〕74号</w:t>
            </w:r>
            <w:r>
              <w:rPr>
                <w:rFonts w:hint="eastAsia" w:cs="Times New Roman"/>
                <w:color w:val="auto"/>
                <w:sz w:val="21"/>
                <w:szCs w:val="21"/>
                <w:lang w:eastAsia="zh-CN"/>
              </w:rPr>
              <w:t>）</w:t>
            </w:r>
            <w:r>
              <w:rPr>
                <w:rFonts w:hint="eastAsia" w:cs="Times New Roman"/>
                <w:color w:val="auto"/>
                <w:sz w:val="21"/>
                <w:szCs w:val="21"/>
                <w:lang w:val="en-US" w:eastAsia="zh-CN"/>
              </w:rPr>
              <w:t>及</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关于印发四川省生态保护红线方案的通知</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（川府发〔2018〕24号</w:t>
            </w:r>
            <w:r>
              <w:rPr>
                <w:rFonts w:hint="eastAsia" w:cs="Times New Roman"/>
                <w:color w:val="auto"/>
                <w:sz w:val="21"/>
                <w:szCs w:val="21"/>
                <w:lang w:eastAsia="zh-CN"/>
              </w:rPr>
              <w:t>），本项目</w:t>
            </w:r>
            <w:r>
              <w:rPr>
                <w:rFonts w:hint="default" w:ascii="Times New Roman" w:hAnsi="Times New Roman" w:eastAsia="宋体" w:cs="Times New Roman"/>
                <w:color w:val="auto"/>
                <w:sz w:val="21"/>
                <w:szCs w:val="21"/>
              </w:rPr>
              <w:t>所在地不涉及生态保护红线。</w:t>
            </w:r>
          </w:p>
          <w:p w14:paraId="74AC212F">
            <w:pPr>
              <w:numPr>
                <w:ilvl w:val="0"/>
                <w:numId w:val="0"/>
              </w:numPr>
              <w:bidi w:val="0"/>
              <w:spacing w:line="360" w:lineRule="auto"/>
              <w:ind w:firstLine="420" w:firstLineChars="200"/>
              <w:rPr>
                <w:rFonts w:hint="eastAsia" w:eastAsia="宋体"/>
                <w:color w:val="auto"/>
                <w:sz w:val="21"/>
                <w:szCs w:val="21"/>
                <w:lang w:val="en-US" w:eastAsia="zh-CN"/>
              </w:rPr>
            </w:pPr>
            <w:r>
              <w:rPr>
                <w:rFonts w:hint="eastAsia" w:cs="Times New Roman"/>
                <w:color w:val="auto"/>
                <w:sz w:val="21"/>
                <w:szCs w:val="21"/>
                <w:lang w:eastAsia="zh-CN"/>
              </w:rPr>
              <w:t>本项目</w:t>
            </w:r>
            <w:r>
              <w:rPr>
                <w:rFonts w:hint="eastAsia" w:cs="Times New Roman"/>
                <w:color w:val="auto"/>
                <w:sz w:val="21"/>
                <w:szCs w:val="21"/>
                <w:lang w:val="en-US" w:eastAsia="zh-CN"/>
              </w:rPr>
              <w:t>在</w:t>
            </w:r>
            <w:r>
              <w:rPr>
                <w:rFonts w:hint="default" w:ascii="Times New Roman" w:hAnsi="Times New Roman" w:eastAsia="宋体" w:cs="Times New Roman"/>
                <w:color w:val="auto"/>
                <w:sz w:val="21"/>
                <w:szCs w:val="21"/>
              </w:rPr>
              <w:t>遂宁市生态保护红线分布图中位置见图1-</w:t>
            </w:r>
            <w:r>
              <w:rPr>
                <w:rFonts w:hint="eastAsia" w:cs="Times New Roman"/>
                <w:color w:val="auto"/>
                <w:sz w:val="21"/>
                <w:szCs w:val="21"/>
                <w:lang w:val="en-US" w:eastAsia="zh-CN"/>
              </w:rPr>
              <w:t>1</w:t>
            </w:r>
            <w:r>
              <w:rPr>
                <w:rFonts w:hint="default" w:ascii="Times New Roman" w:hAnsi="Times New Roman" w:eastAsia="宋体" w:cs="Times New Roman"/>
                <w:color w:val="auto"/>
                <w:sz w:val="21"/>
                <w:szCs w:val="21"/>
              </w:rPr>
              <w:t>。</w:t>
            </w:r>
          </w:p>
          <w:p w14:paraId="33052019">
            <w:pPr>
              <w:pStyle w:val="17"/>
              <w:spacing w:line="360" w:lineRule="auto"/>
              <w:jc w:val="center"/>
              <w:rPr>
                <w:color w:val="auto"/>
              </w:rPr>
            </w:pPr>
            <w:r>
              <w:rPr>
                <w:color w:val="auto"/>
              </w:rPr>
              <w:drawing>
                <wp:inline distT="0" distB="0" distL="114300" distR="114300">
                  <wp:extent cx="4026535" cy="2851150"/>
                  <wp:effectExtent l="0" t="0" r="12065"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4026535" cy="2851150"/>
                          </a:xfrm>
                          <a:prstGeom prst="rect">
                            <a:avLst/>
                          </a:prstGeom>
                          <a:noFill/>
                          <a:ln>
                            <a:noFill/>
                          </a:ln>
                        </pic:spPr>
                      </pic:pic>
                    </a:graphicData>
                  </a:graphic>
                </wp:inline>
              </w:drawing>
            </w:r>
          </w:p>
          <w:p w14:paraId="45C51856">
            <w:pPr>
              <w:pStyle w:val="17"/>
              <w:spacing w:line="360" w:lineRule="auto"/>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 xml:space="preserve">图1-1 </w:t>
            </w:r>
            <w:r>
              <w:rPr>
                <w:rFonts w:hint="eastAsia" w:ascii="Times New Roman" w:hAnsi="Times New Roman" w:eastAsia="宋体" w:cs="Times New Roman"/>
                <w:b/>
                <w:bCs/>
                <w:color w:val="auto"/>
                <w:sz w:val="21"/>
                <w:szCs w:val="21"/>
                <w:lang w:val="en-US" w:eastAsia="zh-CN"/>
              </w:rPr>
              <w:t>项目与遂宁市生态保护红线的位置关系</w:t>
            </w:r>
            <w:r>
              <w:rPr>
                <w:rFonts w:hint="eastAsia" w:ascii="Times New Roman" w:hAnsi="Times New Roman" w:cs="Times New Roman"/>
                <w:b/>
                <w:bCs/>
                <w:color w:val="auto"/>
                <w:sz w:val="21"/>
                <w:szCs w:val="21"/>
                <w:lang w:val="en-US" w:eastAsia="zh-CN"/>
              </w:rPr>
              <w:t>图</w:t>
            </w:r>
          </w:p>
          <w:p w14:paraId="38ABC2FA">
            <w:pPr>
              <w:numPr>
                <w:ilvl w:val="0"/>
                <w:numId w:val="0"/>
              </w:numPr>
              <w:bidi w:val="0"/>
              <w:spacing w:line="360" w:lineRule="auto"/>
              <w:ind w:leftChars="200"/>
              <w:rPr>
                <w:rFonts w:hint="default" w:ascii="Times New Roman" w:hAnsi="Times New Roman" w:eastAsia="宋体" w:cs="Times New Roman"/>
                <w:b/>
                <w:bCs/>
                <w:color w:val="auto"/>
                <w:sz w:val="21"/>
                <w:szCs w:val="21"/>
              </w:rPr>
            </w:pPr>
            <w:r>
              <w:rPr>
                <w:rFonts w:hint="eastAsia" w:ascii="宋体" w:hAnsi="宋体" w:eastAsia="宋体" w:cs="宋体"/>
                <w:b/>
                <w:bCs/>
                <w:color w:val="auto"/>
                <w:sz w:val="21"/>
                <w:szCs w:val="21"/>
                <w:lang w:eastAsia="zh-CN"/>
              </w:rPr>
              <w:t>（</w:t>
            </w:r>
            <w:r>
              <w:rPr>
                <w:rFonts w:hint="eastAsia" w:ascii="宋体" w:hAnsi="宋体" w:eastAsia="宋体" w:cs="宋体"/>
                <w:b/>
                <w:bCs/>
                <w:color w:val="auto"/>
                <w:sz w:val="21"/>
                <w:szCs w:val="21"/>
                <w:lang w:val="en-US" w:eastAsia="zh-CN"/>
              </w:rPr>
              <w:t>2</w:t>
            </w:r>
            <w:r>
              <w:rPr>
                <w:rFonts w:hint="eastAsia" w:ascii="宋体" w:hAnsi="宋体" w:eastAsia="宋体" w:cs="宋体"/>
                <w:b/>
                <w:bCs/>
                <w:color w:val="auto"/>
                <w:sz w:val="21"/>
                <w:szCs w:val="21"/>
                <w:lang w:eastAsia="zh-CN"/>
              </w:rPr>
              <w:t>）</w:t>
            </w:r>
            <w:r>
              <w:rPr>
                <w:rFonts w:hint="eastAsia" w:ascii="宋体" w:hAnsi="宋体" w:eastAsia="宋体" w:cs="宋体"/>
                <w:b/>
                <w:bCs/>
                <w:color w:val="auto"/>
                <w:sz w:val="21"/>
                <w:szCs w:val="21"/>
              </w:rPr>
              <w:t>与</w:t>
            </w:r>
            <w:r>
              <w:rPr>
                <w:rFonts w:hint="eastAsia" w:cs="Times New Roman"/>
                <w:b/>
                <w:bCs/>
                <w:color w:val="auto"/>
                <w:sz w:val="21"/>
                <w:szCs w:val="21"/>
                <w:lang w:val="en-US" w:eastAsia="zh-CN"/>
              </w:rPr>
              <w:t>生态环境分区管控</w:t>
            </w:r>
            <w:r>
              <w:rPr>
                <w:rFonts w:hint="default" w:ascii="Times New Roman" w:hAnsi="Times New Roman" w:eastAsia="宋体" w:cs="Times New Roman"/>
                <w:b/>
                <w:bCs/>
                <w:color w:val="auto"/>
                <w:sz w:val="21"/>
                <w:szCs w:val="21"/>
              </w:rPr>
              <w:t>要求符合性</w:t>
            </w:r>
          </w:p>
          <w:p w14:paraId="0B6FFD6E">
            <w:pPr>
              <w:numPr>
                <w:ilvl w:val="0"/>
                <w:numId w:val="0"/>
              </w:numPr>
              <w:bidi w:val="0"/>
              <w:spacing w:line="360" w:lineRule="auto"/>
              <w:ind w:firstLine="420" w:firstLineChars="200"/>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环境管控单元</w:t>
            </w:r>
          </w:p>
          <w:p w14:paraId="1A0CFCF0">
            <w:pPr>
              <w:pStyle w:val="4"/>
              <w:numPr>
                <w:ilvl w:val="2"/>
                <w:numId w:val="0"/>
              </w:numPr>
              <w:spacing w:line="360" w:lineRule="auto"/>
              <w:ind w:firstLine="420" w:firstLineChars="200"/>
              <w:rPr>
                <w:rFonts w:hint="eastAsia" w:ascii="宋体" w:hAnsi="宋体" w:cs="宋体"/>
                <w:b w:val="0"/>
                <w:bCs/>
                <w:color w:val="auto"/>
                <w:szCs w:val="21"/>
              </w:rPr>
            </w:pPr>
            <w:r>
              <w:rPr>
                <w:rFonts w:hint="eastAsia" w:ascii="宋体" w:hAnsi="宋体" w:cs="宋体"/>
                <w:b w:val="0"/>
                <w:bCs/>
                <w:color w:val="auto"/>
                <w:szCs w:val="21"/>
              </w:rPr>
              <w:t>根据四川省政务网的</w:t>
            </w:r>
            <w:r>
              <w:rPr>
                <w:rFonts w:hint="eastAsia" w:ascii="宋体" w:hAnsi="宋体" w:cs="宋体"/>
                <w:b w:val="0"/>
                <w:bCs/>
                <w:color w:val="auto"/>
                <w:szCs w:val="21"/>
                <w:lang w:val="zh-CN"/>
              </w:rPr>
              <w:t>“</w:t>
            </w:r>
            <w:r>
              <w:rPr>
                <w:rFonts w:hint="eastAsia" w:ascii="宋体" w:hAnsi="宋体" w:cs="宋体"/>
                <w:b w:val="0"/>
                <w:bCs/>
                <w:color w:val="auto"/>
                <w:szCs w:val="21"/>
                <w:lang w:val="en-US" w:eastAsia="zh-CN"/>
              </w:rPr>
              <w:t>生态环境分区管控公众服务</w:t>
            </w:r>
            <w:r>
              <w:rPr>
                <w:rFonts w:hint="eastAsia" w:ascii="宋体" w:hAnsi="宋体" w:cs="宋体"/>
                <w:b w:val="0"/>
                <w:bCs/>
                <w:color w:val="auto"/>
                <w:szCs w:val="21"/>
                <w:lang w:val="zh-CN"/>
              </w:rPr>
              <w:t>”</w:t>
            </w:r>
            <w:r>
              <w:rPr>
                <w:rFonts w:hint="eastAsia" w:ascii="宋体" w:hAnsi="宋体" w:cs="宋体"/>
                <w:b w:val="0"/>
                <w:bCs/>
                <w:color w:val="auto"/>
                <w:szCs w:val="21"/>
                <w:lang w:val="en-US" w:eastAsia="zh-CN"/>
              </w:rPr>
              <w:t>辅助研判</w:t>
            </w:r>
            <w:r>
              <w:rPr>
                <w:rFonts w:hint="eastAsia" w:ascii="宋体" w:hAnsi="宋体" w:cs="宋体"/>
                <w:b w:val="0"/>
                <w:bCs/>
                <w:color w:val="auto"/>
                <w:szCs w:val="21"/>
              </w:rPr>
              <w:t>模块，输入本项目经纬度坐标等信息后，查询得到项目所在的环境管控单元和管控要求，开展本项目与</w:t>
            </w:r>
            <w:r>
              <w:rPr>
                <w:rFonts w:hint="eastAsia" w:ascii="宋体" w:hAnsi="宋体" w:cs="宋体"/>
                <w:b w:val="0"/>
                <w:bCs/>
                <w:color w:val="auto"/>
                <w:szCs w:val="21"/>
                <w:lang w:val="zh-CN"/>
              </w:rPr>
              <w:t>“</w:t>
            </w:r>
            <w:r>
              <w:rPr>
                <w:rFonts w:hint="eastAsia" w:ascii="宋体" w:hAnsi="宋体" w:cs="宋体"/>
                <w:b w:val="0"/>
                <w:bCs/>
                <w:color w:val="auto"/>
                <w:szCs w:val="21"/>
                <w:lang w:val="en-US" w:eastAsia="zh-CN"/>
              </w:rPr>
              <w:t>生态环境分区管控</w:t>
            </w:r>
            <w:r>
              <w:rPr>
                <w:rFonts w:hint="eastAsia" w:ascii="宋体" w:hAnsi="宋体" w:cs="宋体"/>
                <w:b w:val="0"/>
                <w:bCs/>
                <w:color w:val="auto"/>
                <w:szCs w:val="21"/>
                <w:lang w:val="zh-CN"/>
              </w:rPr>
              <w:t>”符</w:t>
            </w:r>
            <w:r>
              <w:rPr>
                <w:rFonts w:hint="eastAsia" w:ascii="宋体" w:hAnsi="宋体" w:cs="宋体"/>
                <w:b w:val="0"/>
                <w:bCs/>
                <w:color w:val="auto"/>
                <w:szCs w:val="21"/>
              </w:rPr>
              <w:t>合性分析如下：</w:t>
            </w:r>
          </w:p>
          <w:p w14:paraId="1CC20BBA">
            <w:pPr>
              <w:numPr>
                <w:ilvl w:val="0"/>
                <w:numId w:val="0"/>
              </w:numPr>
              <w:bidi w:val="0"/>
              <w:spacing w:line="360" w:lineRule="auto"/>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drawing>
                <wp:inline distT="0" distB="0" distL="114300" distR="114300">
                  <wp:extent cx="4948555" cy="2366010"/>
                  <wp:effectExtent l="0" t="0" r="4445" b="15240"/>
                  <wp:docPr id="1" name="图片 1" descr="QQ20250806-160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20250806-160556"/>
                          <pic:cNvPicPr>
                            <a:picLocks noChangeAspect="1"/>
                          </pic:cNvPicPr>
                        </pic:nvPicPr>
                        <pic:blipFill>
                          <a:blip r:embed="rId10"/>
                          <a:stretch>
                            <a:fillRect/>
                          </a:stretch>
                        </pic:blipFill>
                        <pic:spPr>
                          <a:xfrm>
                            <a:off x="0" y="0"/>
                            <a:ext cx="4948555" cy="2366010"/>
                          </a:xfrm>
                          <a:prstGeom prst="rect">
                            <a:avLst/>
                          </a:prstGeom>
                        </pic:spPr>
                      </pic:pic>
                    </a:graphicData>
                  </a:graphic>
                </wp:inline>
              </w:drawing>
            </w:r>
          </w:p>
          <w:p w14:paraId="56BE2068">
            <w:pPr>
              <w:pStyle w:val="4"/>
              <w:numPr>
                <w:ilvl w:val="2"/>
                <w:numId w:val="0"/>
              </w:numPr>
              <w:spacing w:line="360" w:lineRule="auto"/>
              <w:ind w:firstLine="420" w:firstLineChars="200"/>
              <w:rPr>
                <w:rFonts w:ascii="宋体" w:hAnsi="宋体" w:cs="宋体"/>
                <w:b w:val="0"/>
                <w:bCs/>
                <w:color w:val="auto"/>
                <w:szCs w:val="24"/>
              </w:rPr>
            </w:pPr>
            <w:r>
              <w:rPr>
                <w:rFonts w:hint="eastAsia" w:ascii="宋体" w:hAnsi="宋体" w:cs="宋体"/>
                <w:b w:val="0"/>
                <w:bCs/>
                <w:color w:val="auto"/>
                <w:szCs w:val="24"/>
              </w:rPr>
              <w:t>通过查询四川省政务服务网中</w:t>
            </w:r>
            <w:r>
              <w:rPr>
                <w:rFonts w:hint="eastAsia" w:ascii="宋体" w:hAnsi="宋体" w:eastAsia="宋体" w:cs="宋体"/>
                <w:b w:val="0"/>
                <w:bCs/>
                <w:color w:val="auto"/>
                <w:szCs w:val="21"/>
              </w:rPr>
              <w:t>生态环境分区管控符合性分析</w:t>
            </w:r>
            <w:r>
              <w:rPr>
                <w:rFonts w:hint="eastAsia" w:ascii="宋体" w:hAnsi="宋体" w:cs="宋体"/>
                <w:b w:val="0"/>
                <w:bCs/>
                <w:color w:val="auto"/>
                <w:szCs w:val="24"/>
              </w:rPr>
              <w:t>，本项目所在地属于</w:t>
            </w:r>
            <w:r>
              <w:rPr>
                <w:rFonts w:hint="default" w:ascii="宋体" w:hAnsi="宋体" w:eastAsia="宋体" w:cs="宋体"/>
                <w:b w:val="0"/>
                <w:bCs/>
                <w:color w:val="auto"/>
                <w:szCs w:val="24"/>
              </w:rPr>
              <w:t>遂宁市安居区环境综合管控单元工业重点管控单元（管控单元名称：遂宁市安居区工业集中发展区（含经开区），管控单元编号：ZH51090420003）</w:t>
            </w:r>
            <w:r>
              <w:rPr>
                <w:rFonts w:hint="eastAsia" w:ascii="宋体" w:hAnsi="宋体" w:cs="宋体"/>
                <w:b w:val="0"/>
                <w:bCs/>
                <w:color w:val="auto"/>
                <w:szCs w:val="24"/>
              </w:rPr>
              <w:t>。</w:t>
            </w:r>
          </w:p>
          <w:p w14:paraId="33953C12">
            <w:pPr>
              <w:pStyle w:val="4"/>
              <w:numPr>
                <w:ilvl w:val="2"/>
                <w:numId w:val="0"/>
              </w:numPr>
              <w:spacing w:line="360" w:lineRule="auto"/>
              <w:ind w:firstLine="420" w:firstLineChars="200"/>
              <w:rPr>
                <w:rFonts w:hint="eastAsia"/>
                <w:color w:val="auto"/>
              </w:rPr>
            </w:pPr>
            <w:r>
              <w:rPr>
                <w:rFonts w:hint="eastAsia" w:ascii="宋体" w:hAnsi="宋体" w:cs="宋体"/>
                <w:b w:val="0"/>
                <w:bCs/>
                <w:color w:val="auto"/>
                <w:szCs w:val="24"/>
              </w:rPr>
              <w:t>项目与管控单元相对位置如下图所示：（图中</w:t>
            </w:r>
            <w:r>
              <w:rPr>
                <w:rFonts w:hint="eastAsia" w:ascii="宋体" w:hAnsi="宋体" w:cs="宋体"/>
                <w:b w:val="0"/>
                <w:bCs/>
                <w:color w:val="auto"/>
                <w:szCs w:val="24"/>
                <w:lang w:val="en-US" w:eastAsia="zh-CN"/>
              </w:rPr>
              <w:t>①</w:t>
            </w:r>
            <w:r>
              <w:rPr>
                <w:rFonts w:hint="eastAsia" w:ascii="宋体" w:hAnsi="宋体" w:cs="宋体"/>
                <w:b w:val="0"/>
                <w:bCs/>
                <w:color w:val="auto"/>
                <w:szCs w:val="24"/>
              </w:rPr>
              <w:t>表示项目位置）</w:t>
            </w:r>
          </w:p>
          <w:p w14:paraId="75B711FC">
            <w:pPr>
              <w:numPr>
                <w:ilvl w:val="0"/>
                <w:numId w:val="0"/>
              </w:numPr>
              <w:bidi w:val="0"/>
              <w:spacing w:line="360" w:lineRule="auto"/>
              <w:jc w:val="center"/>
              <w:rPr>
                <w:rFonts w:hint="eastAsia" w:ascii="Helvetica" w:hAnsi="Helvetica" w:eastAsia="宋体"/>
                <w:color w:val="auto"/>
                <w:sz w:val="28"/>
                <w:szCs w:val="24"/>
                <w:lang w:eastAsia="zh-CN"/>
              </w:rPr>
            </w:pPr>
            <w:r>
              <w:rPr>
                <w:rFonts w:hint="eastAsia" w:ascii="Helvetica" w:hAnsi="Helvetica" w:eastAsia="宋体"/>
                <w:color w:val="auto"/>
                <w:sz w:val="28"/>
                <w:szCs w:val="24"/>
                <w:lang w:eastAsia="zh-CN"/>
              </w:rPr>
              <w:drawing>
                <wp:inline distT="0" distB="0" distL="114300" distR="114300">
                  <wp:extent cx="4957445" cy="2184400"/>
                  <wp:effectExtent l="0" t="0" r="14605" b="6350"/>
                  <wp:docPr id="2" name="图片 2" descr="地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地图 (1)"/>
                          <pic:cNvPicPr>
                            <a:picLocks noChangeAspect="1"/>
                          </pic:cNvPicPr>
                        </pic:nvPicPr>
                        <pic:blipFill>
                          <a:blip r:embed="rId11"/>
                          <a:stretch>
                            <a:fillRect/>
                          </a:stretch>
                        </pic:blipFill>
                        <pic:spPr>
                          <a:xfrm>
                            <a:off x="0" y="0"/>
                            <a:ext cx="4957445" cy="2184400"/>
                          </a:xfrm>
                          <a:prstGeom prst="rect">
                            <a:avLst/>
                          </a:prstGeom>
                        </pic:spPr>
                      </pic:pic>
                    </a:graphicData>
                  </a:graphic>
                </wp:inline>
              </w:drawing>
            </w:r>
          </w:p>
          <w:p w14:paraId="05165745">
            <w:pPr>
              <w:numPr>
                <w:ilvl w:val="0"/>
                <w:numId w:val="0"/>
              </w:numPr>
              <w:bidi w:val="0"/>
              <w:spacing w:line="360" w:lineRule="auto"/>
              <w:jc w:val="center"/>
              <w:rPr>
                <w:rFonts w:hint="eastAsia" w:cs="Times New Roman"/>
                <w:b w:val="0"/>
                <w:bCs w:val="0"/>
                <w:color w:val="auto"/>
                <w:sz w:val="24"/>
                <w:szCs w:val="24"/>
                <w:lang w:val="en-US" w:eastAsia="zh-CN"/>
              </w:rPr>
            </w:pPr>
            <w:r>
              <w:rPr>
                <w:rFonts w:hint="eastAsia" w:cs="Times New Roman"/>
                <w:b/>
                <w:bCs/>
                <w:color w:val="auto"/>
                <w:sz w:val="21"/>
                <w:szCs w:val="21"/>
                <w:lang w:val="en-US" w:eastAsia="zh-CN"/>
              </w:rPr>
              <w:t xml:space="preserve">图1-2 </w:t>
            </w:r>
            <w:r>
              <w:rPr>
                <w:rFonts w:hint="default" w:ascii="Times New Roman" w:hAnsi="Times New Roman" w:eastAsia="宋体" w:cs="Times New Roman"/>
                <w:b/>
                <w:bCs/>
                <w:color w:val="auto"/>
                <w:sz w:val="21"/>
                <w:szCs w:val="21"/>
              </w:rPr>
              <w:t>项目与管控单元相对位置如下图</w:t>
            </w:r>
          </w:p>
          <w:p w14:paraId="5EAB3CBB">
            <w:pPr>
              <w:numPr>
                <w:ilvl w:val="0"/>
                <w:numId w:val="0"/>
              </w:numPr>
              <w:bidi w:val="0"/>
              <w:spacing w:line="360" w:lineRule="auto"/>
              <w:ind w:leftChars="200"/>
              <w:jc w:val="both"/>
              <w:rPr>
                <w:rFonts w:hint="eastAsia" w:cs="Times New Roman"/>
                <w:b/>
                <w:bCs/>
                <w:color w:val="auto"/>
                <w:sz w:val="21"/>
                <w:szCs w:val="21"/>
                <w:lang w:val="en-US" w:eastAsia="zh-CN"/>
              </w:rPr>
            </w:pPr>
            <w:r>
              <w:rPr>
                <w:rFonts w:hint="eastAsia" w:cs="Times New Roman"/>
                <w:b/>
                <w:bCs/>
                <w:color w:val="auto"/>
                <w:sz w:val="21"/>
                <w:szCs w:val="21"/>
                <w:lang w:val="en-US" w:eastAsia="zh-CN"/>
              </w:rPr>
              <w:t>2）生态环境准入清单符合性分析</w:t>
            </w:r>
          </w:p>
          <w:p w14:paraId="7913FF72">
            <w:pPr>
              <w:ind w:firstLine="420" w:firstLineChars="200"/>
              <w:rPr>
                <w:rFonts w:hint="eastAsia" w:ascii="宋体" w:hAnsi="宋体" w:eastAsia="宋体" w:cs="宋体"/>
                <w:color w:val="auto"/>
                <w:lang w:val="en-US" w:eastAsia="zh-CN"/>
              </w:rPr>
            </w:pPr>
            <w:r>
              <w:rPr>
                <w:rFonts w:hint="eastAsia" w:cs="Times New Roman"/>
                <w:b w:val="0"/>
                <w:bCs w:val="0"/>
                <w:color w:val="auto"/>
                <w:sz w:val="21"/>
                <w:szCs w:val="21"/>
                <w:lang w:val="en-US" w:eastAsia="zh-CN"/>
              </w:rPr>
              <w:t>项目涉及的环境管控单元</w:t>
            </w:r>
            <w:r>
              <w:rPr>
                <w:rFonts w:hint="eastAsia" w:ascii="宋体" w:hAnsi="宋体" w:eastAsia="宋体" w:cs="宋体"/>
                <w:b w:val="0"/>
                <w:bCs/>
                <w:color w:val="auto"/>
                <w:szCs w:val="21"/>
              </w:rPr>
              <w:t>生态环境分区管控</w:t>
            </w:r>
            <w:r>
              <w:rPr>
                <w:rFonts w:hint="eastAsia" w:cs="Times New Roman"/>
                <w:b w:val="0"/>
                <w:bCs w:val="0"/>
                <w:color w:val="auto"/>
                <w:sz w:val="21"/>
                <w:szCs w:val="21"/>
                <w:lang w:val="en-US" w:eastAsia="zh-CN"/>
              </w:rPr>
              <w:t>符合性分析如下表1-6</w:t>
            </w:r>
            <w:r>
              <w:rPr>
                <w:rFonts w:hint="eastAsia" w:cs="Times New Roman"/>
                <w:b w:val="0"/>
                <w:bCs w:val="0"/>
                <w:color w:val="auto"/>
                <w:sz w:val="21"/>
                <w:szCs w:val="21"/>
                <w:lang w:eastAsia="zh-CN"/>
              </w:rPr>
              <w:t>。</w:t>
            </w:r>
          </w:p>
          <w:p w14:paraId="5983AE93">
            <w:pPr>
              <w:pStyle w:val="48"/>
              <w:widowControl w:val="0"/>
              <w:numPr>
                <w:ilvl w:val="0"/>
                <w:numId w:val="0"/>
              </w:numPr>
              <w:autoSpaceDE w:val="0"/>
              <w:autoSpaceDN w:val="0"/>
              <w:adjustRightInd w:val="0"/>
              <w:rPr>
                <w:rFonts w:hint="default" w:ascii="宋体" w:hAnsi="宋体" w:eastAsia="宋体" w:cs="宋体"/>
                <w:b/>
                <w:color w:val="auto"/>
                <w:szCs w:val="24"/>
                <w:lang w:val="en-US" w:eastAsia="zh-CN"/>
              </w:rPr>
            </w:pPr>
          </w:p>
        </w:tc>
      </w:tr>
    </w:tbl>
    <w:p w14:paraId="5DBCDA53">
      <w:pPr>
        <w:spacing w:line="360" w:lineRule="auto"/>
        <w:outlineLvl w:val="0"/>
        <w:rPr>
          <w:rFonts w:eastAsia="黑体"/>
          <w:color w:val="auto"/>
          <w:sz w:val="30"/>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tbl>
      <w:tblPr>
        <w:tblStyle w:val="30"/>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72"/>
        <w:gridCol w:w="13177"/>
      </w:tblGrid>
      <w:tr w14:paraId="287168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07" w:hRule="atLeast"/>
          <w:jc w:val="center"/>
        </w:trPr>
        <w:tc>
          <w:tcPr>
            <w:tcW w:w="173" w:type="pct"/>
            <w:noWrap w:val="0"/>
            <w:vAlign w:val="center"/>
          </w:tcPr>
          <w:p w14:paraId="48138A5F">
            <w:pPr>
              <w:autoSpaceDE w:val="0"/>
              <w:autoSpaceDN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其他符合性分析</w:t>
            </w:r>
          </w:p>
        </w:tc>
        <w:tc>
          <w:tcPr>
            <w:tcW w:w="4826" w:type="pct"/>
            <w:noWrap w:val="0"/>
            <w:vAlign w:val="center"/>
          </w:tcPr>
          <w:p w14:paraId="5E64E530">
            <w:pPr>
              <w:snapToGrid w:val="0"/>
              <w:spacing w:before="120" w:beforeLines="50"/>
              <w:jc w:val="center"/>
              <w:rPr>
                <w:rFonts w:hint="eastAsia"/>
                <w:b/>
                <w:color w:val="auto"/>
                <w:sz w:val="21"/>
                <w:szCs w:val="21"/>
                <w:lang w:val="en-US" w:eastAsia="zh-CN"/>
              </w:rPr>
            </w:pPr>
            <w:r>
              <w:rPr>
                <w:rFonts w:hint="eastAsia"/>
                <w:b/>
                <w:color w:val="auto"/>
                <w:sz w:val="21"/>
                <w:szCs w:val="21"/>
              </w:rPr>
              <w:t>表 1-</w:t>
            </w:r>
            <w:r>
              <w:rPr>
                <w:rFonts w:hint="eastAsia"/>
                <w:b/>
                <w:color w:val="auto"/>
                <w:sz w:val="21"/>
                <w:szCs w:val="21"/>
                <w:lang w:val="en-US" w:eastAsia="zh-CN"/>
              </w:rPr>
              <w:t xml:space="preserve">6   </w:t>
            </w:r>
            <w:r>
              <w:rPr>
                <w:rFonts w:hint="eastAsia"/>
                <w:b/>
                <w:color w:val="auto"/>
                <w:sz w:val="21"/>
                <w:szCs w:val="21"/>
              </w:rPr>
              <w:t>生态环境分区管控符合性分析</w:t>
            </w:r>
          </w:p>
          <w:tbl>
            <w:tblPr>
              <w:tblStyle w:val="74"/>
              <w:tblpPr w:leftFromText="180" w:rightFromText="180" w:vertAnchor="text" w:horzAnchor="page" w:tblpXSpec="center" w:tblpY="228"/>
              <w:tblOverlap w:val="never"/>
              <w:tblW w:w="4986"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749"/>
              <w:gridCol w:w="612"/>
              <w:gridCol w:w="998"/>
              <w:gridCol w:w="7245"/>
              <w:gridCol w:w="1597"/>
              <w:gridCol w:w="719"/>
            </w:tblGrid>
            <w:tr w14:paraId="4DC267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jc w:val="center"/>
              </w:trPr>
              <w:tc>
                <w:tcPr>
                  <w:tcW w:w="4103" w:type="pct"/>
                  <w:gridSpan w:val="4"/>
                  <w:tcBorders>
                    <w:top w:val="single" w:color="000000" w:sz="10" w:space="0"/>
                    <w:left w:val="nil"/>
                  </w:tcBorders>
                  <w:noWrap w:val="0"/>
                  <w:vAlign w:val="center"/>
                </w:tcPr>
                <w:p w14:paraId="234799E7">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21"/>
                      <w:szCs w:val="21"/>
                      <w:vertAlign w:val="baseline"/>
                      <w:lang w:val="en-US" w:eastAsia="zh-CN" w:bidi="ar-SA"/>
                    </w:rPr>
                  </w:pPr>
                  <w:r>
                    <w:rPr>
                      <w:rFonts w:hint="eastAsia" w:ascii="宋体" w:hAnsi="宋体" w:eastAsia="宋体" w:cs="宋体"/>
                      <w:bCs w:val="0"/>
                      <w:color w:val="auto"/>
                      <w:kern w:val="2"/>
                      <w:sz w:val="21"/>
                      <w:szCs w:val="21"/>
                      <w:vertAlign w:val="baseline"/>
                      <w:lang w:val="en-US" w:eastAsia="zh-CN" w:bidi="ar-SA"/>
                    </w:rPr>
                    <w:t>“三线一单 ”具体要求</w:t>
                  </w:r>
                </w:p>
              </w:tc>
              <w:tc>
                <w:tcPr>
                  <w:tcW w:w="618" w:type="pct"/>
                  <w:vMerge w:val="restart"/>
                  <w:tcBorders>
                    <w:top w:val="single" w:color="000000" w:sz="10" w:space="0"/>
                    <w:bottom w:val="nil"/>
                  </w:tcBorders>
                  <w:noWrap w:val="0"/>
                  <w:vAlign w:val="center"/>
                </w:tcPr>
                <w:p w14:paraId="15CA967F">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21"/>
                      <w:szCs w:val="21"/>
                      <w:vertAlign w:val="baseline"/>
                      <w:lang w:val="en-US" w:eastAsia="zh-CN" w:bidi="ar-SA"/>
                    </w:rPr>
                  </w:pPr>
                  <w:r>
                    <w:rPr>
                      <w:rFonts w:hint="eastAsia" w:ascii="宋体" w:hAnsi="宋体" w:eastAsia="宋体" w:cs="宋体"/>
                      <w:bCs w:val="0"/>
                      <w:color w:val="auto"/>
                      <w:kern w:val="2"/>
                      <w:sz w:val="21"/>
                      <w:szCs w:val="21"/>
                      <w:vertAlign w:val="baseline"/>
                      <w:lang w:val="en-US" w:eastAsia="zh-CN" w:bidi="ar-SA"/>
                    </w:rPr>
                    <w:t>本项目情况</w:t>
                  </w:r>
                </w:p>
              </w:tc>
              <w:tc>
                <w:tcPr>
                  <w:tcW w:w="278" w:type="pct"/>
                  <w:vMerge w:val="restart"/>
                  <w:tcBorders>
                    <w:top w:val="single" w:color="000000" w:sz="10" w:space="0"/>
                    <w:bottom w:val="nil"/>
                    <w:right w:val="nil"/>
                  </w:tcBorders>
                  <w:noWrap w:val="0"/>
                  <w:vAlign w:val="center"/>
                </w:tcPr>
                <w:p w14:paraId="0B217722">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21"/>
                      <w:szCs w:val="21"/>
                      <w:vertAlign w:val="baseline"/>
                      <w:lang w:val="en-US" w:eastAsia="zh-CN" w:bidi="ar-SA"/>
                    </w:rPr>
                  </w:pPr>
                  <w:r>
                    <w:rPr>
                      <w:rFonts w:hint="eastAsia" w:ascii="宋体" w:hAnsi="宋体" w:eastAsia="宋体" w:cs="宋体"/>
                      <w:bCs w:val="0"/>
                      <w:color w:val="auto"/>
                      <w:kern w:val="2"/>
                      <w:sz w:val="21"/>
                      <w:szCs w:val="21"/>
                      <w:vertAlign w:val="baseline"/>
                      <w:lang w:val="en-US" w:eastAsia="zh-CN" w:bidi="ar-SA"/>
                    </w:rPr>
                    <w:t>符合性分析</w:t>
                  </w:r>
                </w:p>
              </w:tc>
            </w:tr>
            <w:tr w14:paraId="371BDE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 w:hRule="atLeast"/>
                <w:jc w:val="center"/>
              </w:trPr>
              <w:tc>
                <w:tcPr>
                  <w:tcW w:w="1300" w:type="pct"/>
                  <w:gridSpan w:val="3"/>
                  <w:tcBorders>
                    <w:left w:val="nil"/>
                  </w:tcBorders>
                  <w:noWrap w:val="0"/>
                  <w:vAlign w:val="center"/>
                </w:tcPr>
                <w:p w14:paraId="6217D379">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21"/>
                      <w:szCs w:val="21"/>
                      <w:vertAlign w:val="baseline"/>
                      <w:lang w:val="en-US" w:eastAsia="zh-CN" w:bidi="ar-SA"/>
                    </w:rPr>
                  </w:pPr>
                  <w:r>
                    <w:rPr>
                      <w:rFonts w:hint="eastAsia" w:ascii="宋体" w:hAnsi="宋体" w:eastAsia="宋体" w:cs="宋体"/>
                      <w:bCs w:val="0"/>
                      <w:color w:val="auto"/>
                      <w:kern w:val="2"/>
                      <w:sz w:val="21"/>
                      <w:szCs w:val="21"/>
                      <w:vertAlign w:val="baseline"/>
                      <w:lang w:val="en-US" w:eastAsia="zh-CN" w:bidi="ar-SA"/>
                    </w:rPr>
                    <w:t>类别</w:t>
                  </w:r>
                </w:p>
              </w:tc>
              <w:tc>
                <w:tcPr>
                  <w:tcW w:w="2802" w:type="pct"/>
                  <w:noWrap w:val="0"/>
                  <w:vAlign w:val="center"/>
                </w:tcPr>
                <w:p w14:paraId="2CF10D98">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21"/>
                      <w:szCs w:val="21"/>
                      <w:vertAlign w:val="baseline"/>
                      <w:lang w:val="en-US" w:eastAsia="zh-CN" w:bidi="ar-SA"/>
                    </w:rPr>
                  </w:pPr>
                  <w:r>
                    <w:rPr>
                      <w:rFonts w:hint="eastAsia" w:ascii="宋体" w:hAnsi="宋体" w:eastAsia="宋体" w:cs="宋体"/>
                      <w:bCs w:val="0"/>
                      <w:color w:val="auto"/>
                      <w:kern w:val="2"/>
                      <w:sz w:val="21"/>
                      <w:szCs w:val="21"/>
                      <w:vertAlign w:val="baseline"/>
                      <w:lang w:val="en-US" w:eastAsia="zh-CN" w:bidi="ar-SA"/>
                    </w:rPr>
                    <w:t>管控要求</w:t>
                  </w:r>
                </w:p>
              </w:tc>
              <w:tc>
                <w:tcPr>
                  <w:tcW w:w="618" w:type="pct"/>
                  <w:vMerge w:val="continue"/>
                  <w:tcBorders>
                    <w:top w:val="nil"/>
                  </w:tcBorders>
                  <w:noWrap w:val="0"/>
                  <w:vAlign w:val="center"/>
                </w:tcPr>
                <w:p w14:paraId="6A875566">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21"/>
                      <w:szCs w:val="21"/>
                      <w:vertAlign w:val="baseline"/>
                      <w:lang w:val="en-US" w:eastAsia="zh-CN" w:bidi="ar-SA"/>
                    </w:rPr>
                  </w:pPr>
                </w:p>
              </w:tc>
              <w:tc>
                <w:tcPr>
                  <w:tcW w:w="278" w:type="pct"/>
                  <w:vMerge w:val="continue"/>
                  <w:tcBorders>
                    <w:top w:val="nil"/>
                    <w:right w:val="nil"/>
                  </w:tcBorders>
                  <w:noWrap w:val="0"/>
                  <w:vAlign w:val="center"/>
                </w:tcPr>
                <w:p w14:paraId="4B0F907C">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21"/>
                      <w:szCs w:val="21"/>
                      <w:vertAlign w:val="baseline"/>
                      <w:lang w:val="en-US" w:eastAsia="zh-CN" w:bidi="ar-SA"/>
                    </w:rPr>
                  </w:pPr>
                </w:p>
              </w:tc>
            </w:tr>
            <w:tr w14:paraId="06DEC5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677" w:type="pct"/>
                  <w:vMerge w:val="restart"/>
                  <w:tcBorders>
                    <w:left w:val="nil"/>
                    <w:right w:val="single" w:color="auto" w:sz="4" w:space="0"/>
                  </w:tcBorders>
                  <w:noWrap w:val="0"/>
                  <w:vAlign w:val="center"/>
                </w:tcPr>
                <w:p w14:paraId="2AFC21C5">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21"/>
                      <w:szCs w:val="21"/>
                      <w:vertAlign w:val="baseline"/>
                      <w:lang w:val="en-US" w:eastAsia="zh-CN" w:bidi="ar-SA"/>
                    </w:rPr>
                  </w:pPr>
                  <w:r>
                    <w:rPr>
                      <w:rStyle w:val="32"/>
                      <w:rFonts w:hint="eastAsia" w:ascii="宋体" w:hAnsi="宋体" w:eastAsia="宋体" w:cs="Times New Roman"/>
                      <w:color w:val="auto"/>
                      <w:kern w:val="2"/>
                      <w:sz w:val="21"/>
                      <w:szCs w:val="21"/>
                      <w:lang w:val="en-US" w:eastAsia="zh-CN" w:bidi="ar-SA"/>
                    </w:rPr>
                    <w:t>ZH51090420003遂宁市安居区工业集中发展区（含经开区）</w:t>
                  </w:r>
                </w:p>
              </w:tc>
              <w:tc>
                <w:tcPr>
                  <w:tcW w:w="237" w:type="pct"/>
                  <w:vMerge w:val="restart"/>
                  <w:tcBorders>
                    <w:left w:val="single" w:color="auto" w:sz="4" w:space="0"/>
                  </w:tcBorders>
                  <w:noWrap w:val="0"/>
                  <w:vAlign w:val="center"/>
                </w:tcPr>
                <w:p w14:paraId="3DE72596">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21"/>
                      <w:szCs w:val="21"/>
                      <w:vertAlign w:val="baseline"/>
                      <w:lang w:val="en-US" w:eastAsia="zh-CN" w:bidi="ar-SA"/>
                    </w:rPr>
                  </w:pPr>
                  <w:r>
                    <w:rPr>
                      <w:rFonts w:hint="eastAsia" w:ascii="宋体" w:hAnsi="宋体" w:cs="宋体"/>
                      <w:bCs w:val="0"/>
                      <w:color w:val="auto"/>
                      <w:kern w:val="2"/>
                      <w:sz w:val="21"/>
                      <w:szCs w:val="21"/>
                      <w:vertAlign w:val="baseline"/>
                      <w:lang w:val="en-US" w:eastAsia="zh-CN" w:bidi="ar-SA"/>
                    </w:rPr>
                    <w:t>单元特性</w:t>
                  </w:r>
                  <w:r>
                    <w:rPr>
                      <w:rFonts w:hint="eastAsia" w:ascii="宋体" w:hAnsi="宋体" w:eastAsia="宋体" w:cs="宋体"/>
                      <w:bCs w:val="0"/>
                      <w:color w:val="auto"/>
                      <w:kern w:val="2"/>
                      <w:sz w:val="21"/>
                      <w:szCs w:val="21"/>
                      <w:vertAlign w:val="baseline"/>
                      <w:lang w:val="en-US" w:eastAsia="zh-CN" w:bidi="ar-SA"/>
                    </w:rPr>
                    <w:t>管控要求</w:t>
                  </w:r>
                </w:p>
              </w:tc>
              <w:tc>
                <w:tcPr>
                  <w:tcW w:w="386" w:type="pct"/>
                  <w:noWrap w:val="0"/>
                  <w:vAlign w:val="center"/>
                </w:tcPr>
                <w:p w14:paraId="586EC638">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21"/>
                      <w:szCs w:val="21"/>
                      <w:vertAlign w:val="baseline"/>
                      <w:lang w:val="en-US" w:eastAsia="zh-CN" w:bidi="ar-SA"/>
                    </w:rPr>
                  </w:pPr>
                  <w:r>
                    <w:rPr>
                      <w:rFonts w:hint="eastAsia" w:ascii="宋体" w:hAnsi="宋体" w:eastAsia="宋体" w:cs="宋体"/>
                      <w:bCs w:val="0"/>
                      <w:color w:val="auto"/>
                      <w:kern w:val="2"/>
                      <w:sz w:val="21"/>
                      <w:szCs w:val="21"/>
                      <w:vertAlign w:val="baseline"/>
                      <w:lang w:val="en-US" w:eastAsia="zh-CN" w:bidi="ar-SA"/>
                    </w:rPr>
                    <w:t>空间布局约束</w:t>
                  </w:r>
                </w:p>
              </w:tc>
              <w:tc>
                <w:tcPr>
                  <w:tcW w:w="2802" w:type="pct"/>
                  <w:noWrap w:val="0"/>
                  <w:vAlign w:val="center"/>
                </w:tcPr>
                <w:p w14:paraId="6CCB2A2E">
                  <w:pPr>
                    <w:pStyle w:val="94"/>
                    <w:widowControl/>
                    <w:shd w:val="clear" w:color="auto" w:fill="FFFFFF"/>
                    <w:spacing w:line="240" w:lineRule="auto"/>
                    <w:ind w:firstLine="0" w:firstLineChars="0"/>
                    <w:jc w:val="left"/>
                    <w:rPr>
                      <w:rStyle w:val="32"/>
                      <w:rFonts w:hint="eastAsia" w:ascii="宋体" w:hAnsi="宋体" w:eastAsia="宋体" w:cs="Times New Roman"/>
                      <w:color w:val="auto"/>
                      <w:kern w:val="2"/>
                      <w:sz w:val="21"/>
                      <w:szCs w:val="21"/>
                      <w:lang w:val="en-US" w:eastAsia="zh-CN" w:bidi="ar-SA"/>
                    </w:rPr>
                  </w:pPr>
                  <w:r>
                    <w:rPr>
                      <w:rStyle w:val="32"/>
                      <w:rFonts w:hint="eastAsia" w:ascii="宋体" w:hAnsi="宋体" w:eastAsia="宋体" w:cs="Times New Roman"/>
                      <w:color w:val="auto"/>
                      <w:kern w:val="2"/>
                      <w:sz w:val="21"/>
                      <w:szCs w:val="21"/>
                      <w:lang w:val="en-US" w:eastAsia="zh-CN" w:bidi="ar-SA"/>
                    </w:rPr>
                    <w:t>禁止开发建设活动的要求</w:t>
                  </w:r>
                </w:p>
                <w:p w14:paraId="113C6756">
                  <w:pPr>
                    <w:pStyle w:val="94"/>
                    <w:widowControl/>
                    <w:shd w:val="clear" w:color="auto" w:fill="FFFFFF"/>
                    <w:spacing w:line="240" w:lineRule="auto"/>
                    <w:ind w:firstLine="0" w:firstLineChars="0"/>
                    <w:jc w:val="left"/>
                    <w:rPr>
                      <w:rStyle w:val="32"/>
                      <w:rFonts w:hint="eastAsia" w:ascii="宋体" w:hAnsi="宋体" w:eastAsia="宋体" w:cs="Times New Roman"/>
                      <w:color w:val="auto"/>
                      <w:kern w:val="2"/>
                      <w:sz w:val="21"/>
                      <w:szCs w:val="21"/>
                      <w:lang w:val="en-US" w:eastAsia="zh-CN" w:bidi="ar-SA"/>
                    </w:rPr>
                  </w:pPr>
                  <w:r>
                    <w:rPr>
                      <w:rStyle w:val="32"/>
                      <w:rFonts w:hint="eastAsia" w:ascii="宋体" w:hAnsi="宋体" w:eastAsia="宋体" w:cs="Times New Roman"/>
                      <w:color w:val="auto"/>
                      <w:kern w:val="2"/>
                      <w:sz w:val="21"/>
                      <w:szCs w:val="21"/>
                      <w:lang w:val="en-US" w:eastAsia="zh-CN" w:bidi="ar-SA"/>
                    </w:rPr>
                    <w:t>1.禁止引入屠宰，白酒、酒精制造，味精、柠檬酸等排水量大的食品加工项目</w:t>
                  </w:r>
                </w:p>
                <w:p w14:paraId="2AAD7633">
                  <w:pPr>
                    <w:pStyle w:val="94"/>
                    <w:widowControl/>
                    <w:shd w:val="clear" w:color="auto" w:fill="FFFFFF"/>
                    <w:spacing w:line="240" w:lineRule="auto"/>
                    <w:ind w:firstLine="0" w:firstLineChars="0"/>
                    <w:jc w:val="left"/>
                    <w:rPr>
                      <w:rStyle w:val="32"/>
                      <w:rFonts w:hint="eastAsia" w:ascii="宋体" w:hAnsi="宋体" w:eastAsia="宋体" w:cs="Times New Roman"/>
                      <w:color w:val="auto"/>
                      <w:kern w:val="2"/>
                      <w:sz w:val="21"/>
                      <w:szCs w:val="21"/>
                      <w:lang w:val="en-US" w:eastAsia="zh-CN" w:bidi="ar-SA"/>
                    </w:rPr>
                  </w:pPr>
                  <w:r>
                    <w:rPr>
                      <w:rStyle w:val="32"/>
                      <w:rFonts w:hint="eastAsia" w:ascii="宋体" w:hAnsi="宋体" w:eastAsia="宋体" w:cs="Times New Roman"/>
                      <w:color w:val="auto"/>
                      <w:kern w:val="2"/>
                      <w:sz w:val="21"/>
                      <w:szCs w:val="21"/>
                      <w:lang w:val="en-US" w:eastAsia="zh-CN" w:bidi="ar-SA"/>
                    </w:rPr>
                    <w:t>2.禁止水污染物以总磷为主的肥料和日用化学产品制造，农药制造，炸药、火工及火焰产品制造</w:t>
                  </w:r>
                </w:p>
                <w:p w14:paraId="1C5BCD65">
                  <w:pPr>
                    <w:pStyle w:val="94"/>
                    <w:widowControl/>
                    <w:shd w:val="clear" w:color="auto" w:fill="FFFFFF"/>
                    <w:spacing w:line="240" w:lineRule="auto"/>
                    <w:ind w:firstLine="0" w:firstLineChars="0"/>
                    <w:jc w:val="left"/>
                    <w:rPr>
                      <w:rStyle w:val="32"/>
                      <w:rFonts w:hint="eastAsia" w:ascii="宋体" w:hAnsi="宋体" w:eastAsia="宋体" w:cs="Times New Roman"/>
                      <w:color w:val="auto"/>
                      <w:kern w:val="2"/>
                      <w:sz w:val="21"/>
                      <w:szCs w:val="21"/>
                      <w:lang w:val="en-US" w:eastAsia="zh-CN" w:bidi="ar-SA"/>
                    </w:rPr>
                  </w:pPr>
                  <w:r>
                    <w:rPr>
                      <w:rStyle w:val="32"/>
                      <w:rFonts w:hint="eastAsia" w:ascii="宋体" w:hAnsi="宋体" w:eastAsia="宋体" w:cs="Times New Roman"/>
                      <w:color w:val="auto"/>
                      <w:kern w:val="2"/>
                      <w:sz w:val="21"/>
                      <w:szCs w:val="21"/>
                      <w:lang w:val="en-US" w:eastAsia="zh-CN" w:bidi="ar-SA"/>
                    </w:rPr>
                    <w:t>3.禁止新建铅蓄电池制造项目</w:t>
                  </w:r>
                </w:p>
                <w:p w14:paraId="5E5905A3">
                  <w:pPr>
                    <w:pStyle w:val="94"/>
                    <w:widowControl/>
                    <w:shd w:val="clear" w:color="auto" w:fill="FFFFFF"/>
                    <w:spacing w:line="240" w:lineRule="auto"/>
                    <w:ind w:firstLine="0" w:firstLineChars="0"/>
                    <w:jc w:val="left"/>
                    <w:rPr>
                      <w:rStyle w:val="32"/>
                      <w:rFonts w:hint="eastAsia" w:ascii="宋体" w:hAnsi="宋体" w:eastAsia="宋体" w:cs="Times New Roman"/>
                      <w:color w:val="auto"/>
                      <w:kern w:val="2"/>
                      <w:sz w:val="21"/>
                      <w:szCs w:val="21"/>
                      <w:lang w:val="en-US" w:eastAsia="zh-CN" w:bidi="ar-SA"/>
                    </w:rPr>
                  </w:pPr>
                  <w:r>
                    <w:rPr>
                      <w:rStyle w:val="32"/>
                      <w:rFonts w:hint="eastAsia" w:ascii="宋体" w:hAnsi="宋体" w:eastAsia="宋体" w:cs="Times New Roman"/>
                      <w:color w:val="auto"/>
                      <w:kern w:val="2"/>
                      <w:sz w:val="21"/>
                      <w:szCs w:val="21"/>
                      <w:lang w:val="en-US" w:eastAsia="zh-CN" w:bidi="ar-SA"/>
                    </w:rPr>
                    <w:t>4.禁止专业电镀</w:t>
                  </w:r>
                </w:p>
                <w:p w14:paraId="09B77F21">
                  <w:pPr>
                    <w:pStyle w:val="94"/>
                    <w:widowControl/>
                    <w:shd w:val="clear" w:color="auto" w:fill="FFFFFF"/>
                    <w:spacing w:line="240" w:lineRule="auto"/>
                    <w:ind w:firstLine="0" w:firstLineChars="0"/>
                    <w:jc w:val="left"/>
                    <w:rPr>
                      <w:rStyle w:val="32"/>
                      <w:rFonts w:hint="eastAsia" w:ascii="宋体" w:hAnsi="宋体" w:eastAsia="宋体" w:cs="Times New Roman"/>
                      <w:color w:val="auto"/>
                      <w:kern w:val="2"/>
                      <w:sz w:val="21"/>
                      <w:szCs w:val="21"/>
                      <w:lang w:val="en-US" w:eastAsia="zh-CN" w:bidi="ar-SA"/>
                    </w:rPr>
                  </w:pPr>
                  <w:r>
                    <w:rPr>
                      <w:rStyle w:val="32"/>
                      <w:rFonts w:hint="eastAsia" w:ascii="宋体" w:hAnsi="宋体" w:eastAsia="宋体" w:cs="Times New Roman"/>
                      <w:color w:val="auto"/>
                      <w:kern w:val="2"/>
                      <w:sz w:val="21"/>
                      <w:szCs w:val="21"/>
                      <w:lang w:val="en-US" w:eastAsia="zh-CN" w:bidi="ar-SA"/>
                    </w:rPr>
                    <w:t>5.其他参照遂宁市总体准入要求-工业重点管控单元</w:t>
                  </w:r>
                </w:p>
                <w:p w14:paraId="7DAD7948">
                  <w:pPr>
                    <w:pStyle w:val="94"/>
                    <w:widowControl/>
                    <w:shd w:val="clear" w:color="auto" w:fill="FFFFFF"/>
                    <w:spacing w:line="240" w:lineRule="auto"/>
                    <w:ind w:firstLine="0" w:firstLineChars="0"/>
                    <w:jc w:val="left"/>
                    <w:rPr>
                      <w:rStyle w:val="32"/>
                      <w:rFonts w:hint="eastAsia" w:ascii="宋体" w:hAnsi="宋体" w:eastAsia="宋体" w:cs="Times New Roman"/>
                      <w:color w:val="auto"/>
                      <w:kern w:val="2"/>
                      <w:sz w:val="21"/>
                      <w:szCs w:val="21"/>
                      <w:lang w:val="en-US" w:eastAsia="zh-CN" w:bidi="ar-SA"/>
                    </w:rPr>
                  </w:pPr>
                  <w:r>
                    <w:rPr>
                      <w:rStyle w:val="32"/>
                      <w:rFonts w:hint="eastAsia" w:ascii="宋体" w:hAnsi="宋体" w:eastAsia="宋体" w:cs="Times New Roman"/>
                      <w:color w:val="auto"/>
                      <w:kern w:val="2"/>
                      <w:sz w:val="21"/>
                      <w:szCs w:val="21"/>
                      <w:lang w:val="en-US" w:eastAsia="zh-CN" w:bidi="ar-SA"/>
                    </w:rPr>
                    <w:t>限制开发建设活动的要求</w:t>
                  </w:r>
                </w:p>
                <w:p w14:paraId="7565117D">
                  <w:pPr>
                    <w:pStyle w:val="94"/>
                    <w:widowControl/>
                    <w:shd w:val="clear" w:color="auto" w:fill="FFFFFF"/>
                    <w:spacing w:line="240" w:lineRule="auto"/>
                    <w:ind w:firstLine="0" w:firstLineChars="0"/>
                    <w:jc w:val="left"/>
                    <w:rPr>
                      <w:rStyle w:val="32"/>
                      <w:rFonts w:hint="eastAsia" w:ascii="宋体" w:hAnsi="宋体" w:eastAsia="宋体" w:cs="Times New Roman"/>
                      <w:color w:val="auto"/>
                      <w:kern w:val="2"/>
                      <w:sz w:val="21"/>
                      <w:szCs w:val="21"/>
                      <w:lang w:val="en-US" w:eastAsia="zh-CN" w:bidi="ar-SA"/>
                    </w:rPr>
                  </w:pPr>
                  <w:r>
                    <w:rPr>
                      <w:rStyle w:val="32"/>
                      <w:rFonts w:hint="eastAsia" w:ascii="宋体" w:hAnsi="宋体" w:eastAsia="宋体" w:cs="Times New Roman"/>
                      <w:color w:val="auto"/>
                      <w:kern w:val="2"/>
                      <w:sz w:val="21"/>
                      <w:szCs w:val="21"/>
                      <w:lang w:val="en-US" w:eastAsia="zh-CN" w:bidi="ar-SA"/>
                    </w:rPr>
                    <w:t>1.严控涉及剧毒原料、废水排放量大以及可能造成水体重金属富集的项目</w:t>
                  </w:r>
                </w:p>
                <w:p w14:paraId="14969C26">
                  <w:pPr>
                    <w:pStyle w:val="94"/>
                    <w:widowControl/>
                    <w:shd w:val="clear" w:color="auto" w:fill="FFFFFF"/>
                    <w:spacing w:line="240" w:lineRule="auto"/>
                    <w:ind w:firstLine="0" w:firstLineChars="0"/>
                    <w:jc w:val="left"/>
                    <w:rPr>
                      <w:rStyle w:val="32"/>
                      <w:rFonts w:hint="eastAsia" w:ascii="宋体" w:hAnsi="宋体" w:eastAsia="宋体" w:cs="Times New Roman"/>
                      <w:color w:val="auto"/>
                      <w:kern w:val="2"/>
                      <w:sz w:val="21"/>
                      <w:szCs w:val="21"/>
                      <w:lang w:val="en-US" w:eastAsia="zh-CN" w:bidi="ar-SA"/>
                    </w:rPr>
                  </w:pPr>
                  <w:r>
                    <w:rPr>
                      <w:rStyle w:val="32"/>
                      <w:rFonts w:hint="eastAsia" w:ascii="宋体" w:hAnsi="宋体" w:eastAsia="宋体" w:cs="Times New Roman"/>
                      <w:color w:val="auto"/>
                      <w:kern w:val="2"/>
                      <w:sz w:val="21"/>
                      <w:szCs w:val="21"/>
                      <w:lang w:val="en-US" w:eastAsia="zh-CN" w:bidi="ar-SA"/>
                    </w:rPr>
                    <w:t>2.靠近安置小区、学校侧的工业用地，后续宜布局机械制造、物流等轻污染类项目，新引入项目应充分论证环境相容性</w:t>
                  </w:r>
                </w:p>
                <w:p w14:paraId="1A86864D">
                  <w:pPr>
                    <w:pStyle w:val="94"/>
                    <w:widowControl/>
                    <w:shd w:val="clear" w:color="auto" w:fill="FFFFFF"/>
                    <w:spacing w:line="240" w:lineRule="auto"/>
                    <w:ind w:firstLine="0" w:firstLineChars="0"/>
                    <w:jc w:val="left"/>
                    <w:rPr>
                      <w:rStyle w:val="32"/>
                      <w:rFonts w:hint="eastAsia" w:ascii="宋体" w:hAnsi="宋体" w:eastAsia="宋体" w:cs="Times New Roman"/>
                      <w:color w:val="auto"/>
                      <w:kern w:val="2"/>
                      <w:sz w:val="21"/>
                      <w:szCs w:val="21"/>
                      <w:lang w:val="en-US" w:eastAsia="zh-CN" w:bidi="ar-SA"/>
                    </w:rPr>
                  </w:pPr>
                  <w:r>
                    <w:rPr>
                      <w:rStyle w:val="32"/>
                      <w:rFonts w:hint="eastAsia" w:ascii="宋体" w:hAnsi="宋体" w:eastAsia="宋体" w:cs="Times New Roman"/>
                      <w:color w:val="auto"/>
                      <w:kern w:val="2"/>
                      <w:sz w:val="21"/>
                      <w:szCs w:val="21"/>
                      <w:lang w:val="en-US" w:eastAsia="zh-CN" w:bidi="ar-SA"/>
                    </w:rPr>
                    <w:t>3.其他参照遂宁市总体准入要求-工业重点管控单元</w:t>
                  </w:r>
                </w:p>
                <w:p w14:paraId="6F7472BB">
                  <w:pPr>
                    <w:pStyle w:val="94"/>
                    <w:widowControl/>
                    <w:shd w:val="clear" w:color="auto" w:fill="FFFFFF"/>
                    <w:spacing w:line="240" w:lineRule="auto"/>
                    <w:ind w:firstLine="0" w:firstLineChars="0"/>
                    <w:jc w:val="left"/>
                    <w:rPr>
                      <w:rStyle w:val="32"/>
                      <w:rFonts w:hint="eastAsia" w:ascii="宋体" w:hAnsi="宋体" w:eastAsia="宋体" w:cs="Times New Roman"/>
                      <w:color w:val="auto"/>
                      <w:kern w:val="2"/>
                      <w:sz w:val="21"/>
                      <w:szCs w:val="21"/>
                      <w:lang w:val="en-US" w:eastAsia="zh-CN" w:bidi="ar-SA"/>
                    </w:rPr>
                  </w:pPr>
                  <w:r>
                    <w:rPr>
                      <w:rStyle w:val="32"/>
                      <w:rFonts w:hint="eastAsia" w:ascii="宋体" w:hAnsi="宋体" w:eastAsia="宋体" w:cs="Times New Roman"/>
                      <w:color w:val="auto"/>
                      <w:kern w:val="2"/>
                      <w:sz w:val="21"/>
                      <w:szCs w:val="21"/>
                      <w:lang w:val="en-US" w:eastAsia="zh-CN" w:bidi="ar-SA"/>
                    </w:rPr>
                    <w:t>允许开发建设活动的要求</w:t>
                  </w:r>
                </w:p>
                <w:p w14:paraId="12005923">
                  <w:pPr>
                    <w:pStyle w:val="94"/>
                    <w:widowControl/>
                    <w:shd w:val="clear" w:color="auto" w:fill="FFFFFF"/>
                    <w:spacing w:line="240" w:lineRule="auto"/>
                    <w:ind w:firstLine="0" w:firstLineChars="0"/>
                    <w:jc w:val="left"/>
                    <w:rPr>
                      <w:rStyle w:val="32"/>
                      <w:rFonts w:hint="eastAsia" w:ascii="宋体" w:hAnsi="宋体" w:eastAsia="宋体" w:cs="Times New Roman"/>
                      <w:color w:val="auto"/>
                      <w:kern w:val="2"/>
                      <w:sz w:val="21"/>
                      <w:szCs w:val="21"/>
                      <w:lang w:val="en-US" w:eastAsia="zh-CN" w:bidi="ar-SA"/>
                    </w:rPr>
                  </w:pPr>
                  <w:r>
                    <w:rPr>
                      <w:rStyle w:val="32"/>
                      <w:rFonts w:hint="eastAsia" w:ascii="宋体" w:hAnsi="宋体" w:eastAsia="宋体" w:cs="Times New Roman"/>
                      <w:color w:val="auto"/>
                      <w:kern w:val="2"/>
                      <w:sz w:val="21"/>
                      <w:szCs w:val="21"/>
                      <w:lang w:val="en-US" w:eastAsia="zh-CN" w:bidi="ar-SA"/>
                    </w:rPr>
                    <w:t>/</w:t>
                  </w:r>
                </w:p>
                <w:p w14:paraId="7D5EBADA">
                  <w:pPr>
                    <w:pStyle w:val="94"/>
                    <w:widowControl/>
                    <w:shd w:val="clear" w:color="auto" w:fill="FFFFFF"/>
                    <w:spacing w:line="240" w:lineRule="auto"/>
                    <w:ind w:firstLine="0" w:firstLineChars="0"/>
                    <w:jc w:val="left"/>
                    <w:rPr>
                      <w:rStyle w:val="32"/>
                      <w:rFonts w:hint="eastAsia" w:ascii="宋体" w:hAnsi="宋体" w:eastAsia="宋体" w:cs="Times New Roman"/>
                      <w:color w:val="auto"/>
                      <w:kern w:val="2"/>
                      <w:sz w:val="21"/>
                      <w:szCs w:val="21"/>
                      <w:lang w:val="en-US" w:eastAsia="zh-CN" w:bidi="ar-SA"/>
                    </w:rPr>
                  </w:pPr>
                  <w:r>
                    <w:rPr>
                      <w:rStyle w:val="32"/>
                      <w:rFonts w:hint="eastAsia" w:ascii="宋体" w:hAnsi="宋体" w:eastAsia="宋体" w:cs="Times New Roman"/>
                      <w:color w:val="auto"/>
                      <w:kern w:val="2"/>
                      <w:sz w:val="21"/>
                      <w:szCs w:val="21"/>
                      <w:lang w:val="en-US" w:eastAsia="zh-CN" w:bidi="ar-SA"/>
                    </w:rPr>
                    <w:t>不符合空间布局要求活动的退出要求</w:t>
                  </w:r>
                </w:p>
                <w:p w14:paraId="439A2860">
                  <w:pPr>
                    <w:pStyle w:val="94"/>
                    <w:widowControl/>
                    <w:shd w:val="clear" w:color="auto" w:fill="FFFFFF"/>
                    <w:spacing w:line="240" w:lineRule="auto"/>
                    <w:ind w:firstLine="0" w:firstLineChars="0"/>
                    <w:jc w:val="left"/>
                    <w:rPr>
                      <w:rStyle w:val="32"/>
                      <w:rFonts w:hint="eastAsia" w:ascii="宋体" w:hAnsi="宋体" w:eastAsia="宋体" w:cs="Times New Roman"/>
                      <w:color w:val="auto"/>
                      <w:kern w:val="2"/>
                      <w:sz w:val="21"/>
                      <w:szCs w:val="21"/>
                      <w:lang w:val="en-US" w:eastAsia="zh-CN" w:bidi="ar-SA"/>
                    </w:rPr>
                  </w:pPr>
                  <w:r>
                    <w:rPr>
                      <w:rStyle w:val="32"/>
                      <w:rFonts w:hint="eastAsia" w:ascii="宋体" w:hAnsi="宋体" w:eastAsia="宋体" w:cs="Times New Roman"/>
                      <w:color w:val="auto"/>
                      <w:kern w:val="2"/>
                      <w:sz w:val="21"/>
                      <w:szCs w:val="21"/>
                      <w:lang w:val="en-US" w:eastAsia="zh-CN" w:bidi="ar-SA"/>
                    </w:rPr>
                    <w:t>1.与片区产业规划不符的现有企业适时迁入适宜片区，精细化工片区内禁止新建居住、教育、医疗等敏感点</w:t>
                  </w:r>
                </w:p>
                <w:p w14:paraId="6CCCAFA0">
                  <w:pPr>
                    <w:pStyle w:val="94"/>
                    <w:widowControl/>
                    <w:shd w:val="clear" w:color="auto" w:fill="FFFFFF"/>
                    <w:spacing w:line="240" w:lineRule="auto"/>
                    <w:ind w:firstLine="0" w:firstLineChars="0"/>
                    <w:jc w:val="left"/>
                    <w:rPr>
                      <w:rStyle w:val="32"/>
                      <w:rFonts w:hint="eastAsia" w:ascii="宋体" w:hAnsi="宋体" w:eastAsia="宋体" w:cs="Times New Roman"/>
                      <w:color w:val="auto"/>
                      <w:kern w:val="2"/>
                      <w:sz w:val="21"/>
                      <w:szCs w:val="21"/>
                      <w:lang w:val="en-US" w:eastAsia="zh-CN" w:bidi="ar-SA"/>
                    </w:rPr>
                  </w:pPr>
                  <w:r>
                    <w:rPr>
                      <w:rStyle w:val="32"/>
                      <w:rFonts w:hint="eastAsia" w:ascii="宋体" w:hAnsi="宋体" w:eastAsia="宋体" w:cs="Times New Roman"/>
                      <w:color w:val="auto"/>
                      <w:kern w:val="2"/>
                      <w:sz w:val="21"/>
                      <w:szCs w:val="21"/>
                      <w:lang w:val="en-US" w:eastAsia="zh-CN" w:bidi="ar-SA"/>
                    </w:rPr>
                    <w:t>2.其他参照遂宁市总体准入要求-工业重点管控单元</w:t>
                  </w:r>
                </w:p>
                <w:p w14:paraId="219C15B7">
                  <w:pPr>
                    <w:pStyle w:val="94"/>
                    <w:widowControl/>
                    <w:shd w:val="clear" w:color="auto" w:fill="FFFFFF"/>
                    <w:spacing w:line="240" w:lineRule="auto"/>
                    <w:ind w:firstLine="0" w:firstLineChars="0"/>
                    <w:jc w:val="left"/>
                    <w:rPr>
                      <w:rStyle w:val="32"/>
                      <w:rFonts w:hint="eastAsia" w:ascii="宋体" w:hAnsi="宋体" w:eastAsia="宋体" w:cs="宋体"/>
                      <w:color w:val="auto"/>
                      <w:kern w:val="0"/>
                      <w:sz w:val="21"/>
                      <w:szCs w:val="21"/>
                      <w:lang w:val="en-US" w:eastAsia="zh-CN" w:bidi="ar-SA"/>
                    </w:rPr>
                  </w:pPr>
                  <w:r>
                    <w:rPr>
                      <w:rStyle w:val="32"/>
                      <w:rFonts w:hint="eastAsia" w:ascii="宋体" w:hAnsi="宋体" w:eastAsia="宋体" w:cs="Times New Roman"/>
                      <w:color w:val="auto"/>
                      <w:kern w:val="2"/>
                      <w:sz w:val="21"/>
                      <w:szCs w:val="21"/>
                      <w:lang w:val="en-US" w:eastAsia="zh-CN" w:bidi="ar-SA"/>
                    </w:rPr>
                    <w:t>其他空间布局约束要求</w:t>
                  </w:r>
                </w:p>
              </w:tc>
              <w:tc>
                <w:tcPr>
                  <w:tcW w:w="618" w:type="pct"/>
                  <w:noWrap w:val="0"/>
                  <w:vAlign w:val="center"/>
                </w:tcPr>
                <w:p w14:paraId="0486F8C2">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21"/>
                      <w:szCs w:val="21"/>
                      <w:vertAlign w:val="baseline"/>
                      <w:lang w:val="en-US" w:eastAsia="zh-CN" w:bidi="ar-SA"/>
                    </w:rPr>
                  </w:pPr>
                  <w:r>
                    <w:rPr>
                      <w:rFonts w:hint="eastAsia" w:ascii="宋体" w:hAnsi="宋体" w:cs="宋体"/>
                      <w:bCs w:val="0"/>
                      <w:color w:val="auto"/>
                      <w:kern w:val="2"/>
                      <w:sz w:val="21"/>
                      <w:szCs w:val="21"/>
                      <w:vertAlign w:val="baseline"/>
                      <w:lang w:val="en-US" w:eastAsia="zh-CN" w:bidi="ar-SA"/>
                    </w:rPr>
                    <w:t>本项目属于</w:t>
                  </w:r>
                  <w:r>
                    <w:rPr>
                      <w:rFonts w:hint="eastAsia" w:ascii="宋体" w:hAnsi="宋体" w:eastAsia="宋体" w:cs="宋体"/>
                      <w:bCs w:val="0"/>
                      <w:color w:val="auto"/>
                      <w:kern w:val="2"/>
                      <w:sz w:val="21"/>
                      <w:szCs w:val="21"/>
                      <w:vertAlign w:val="baseline"/>
                      <w:lang w:val="en-US" w:eastAsia="zh-CN" w:bidi="ar-SA"/>
                    </w:rPr>
                    <w:t>电动摩托车项目，项目属于园区重点鼓励项目，项目的建设不属于禁止和限制开发情况，因此项目的建设符合空间布局约束要求。</w:t>
                  </w:r>
                </w:p>
              </w:tc>
              <w:tc>
                <w:tcPr>
                  <w:tcW w:w="278" w:type="pct"/>
                  <w:tcBorders>
                    <w:right w:val="nil"/>
                  </w:tcBorders>
                  <w:noWrap w:val="0"/>
                  <w:vAlign w:val="center"/>
                </w:tcPr>
                <w:p w14:paraId="6BA3D7EB">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21"/>
                      <w:szCs w:val="21"/>
                      <w:vertAlign w:val="baseline"/>
                      <w:lang w:val="en-US" w:eastAsia="zh-CN" w:bidi="ar-SA"/>
                    </w:rPr>
                  </w:pPr>
                  <w:r>
                    <w:rPr>
                      <w:rFonts w:hint="eastAsia" w:ascii="宋体" w:hAnsi="宋体" w:eastAsia="宋体" w:cs="宋体"/>
                      <w:bCs w:val="0"/>
                      <w:color w:val="auto"/>
                      <w:kern w:val="2"/>
                      <w:sz w:val="21"/>
                      <w:szCs w:val="21"/>
                      <w:vertAlign w:val="baseline"/>
                      <w:lang w:val="en-US" w:eastAsia="zh-CN" w:bidi="ar-SA"/>
                    </w:rPr>
                    <w:t>符合</w:t>
                  </w:r>
                </w:p>
              </w:tc>
            </w:tr>
            <w:tr w14:paraId="521ECB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jc w:val="center"/>
              </w:trPr>
              <w:tc>
                <w:tcPr>
                  <w:tcW w:w="677" w:type="pct"/>
                  <w:vMerge w:val="continue"/>
                  <w:tcBorders>
                    <w:left w:val="nil"/>
                    <w:right w:val="single" w:color="auto" w:sz="4" w:space="0"/>
                  </w:tcBorders>
                  <w:noWrap w:val="0"/>
                  <w:vAlign w:val="center"/>
                </w:tcPr>
                <w:p w14:paraId="3BF33E90">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21"/>
                      <w:szCs w:val="21"/>
                      <w:vertAlign w:val="baseline"/>
                      <w:lang w:val="en-US" w:eastAsia="zh-CN" w:bidi="ar-SA"/>
                    </w:rPr>
                  </w:pPr>
                </w:p>
              </w:tc>
              <w:tc>
                <w:tcPr>
                  <w:tcW w:w="237" w:type="pct"/>
                  <w:vMerge w:val="continue"/>
                  <w:tcBorders>
                    <w:left w:val="single" w:color="auto" w:sz="4" w:space="0"/>
                  </w:tcBorders>
                  <w:noWrap w:val="0"/>
                  <w:vAlign w:val="center"/>
                </w:tcPr>
                <w:p w14:paraId="1B0F80E7">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21"/>
                      <w:szCs w:val="21"/>
                      <w:vertAlign w:val="baseline"/>
                      <w:lang w:val="en-US" w:eastAsia="zh-CN" w:bidi="ar-SA"/>
                    </w:rPr>
                  </w:pPr>
                </w:p>
              </w:tc>
              <w:tc>
                <w:tcPr>
                  <w:tcW w:w="386" w:type="pct"/>
                  <w:noWrap w:val="0"/>
                  <w:vAlign w:val="center"/>
                </w:tcPr>
                <w:p w14:paraId="19BA63F7">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21"/>
                      <w:szCs w:val="21"/>
                      <w:vertAlign w:val="baseline"/>
                      <w:lang w:val="en-US" w:eastAsia="zh-CN" w:bidi="ar-SA"/>
                    </w:rPr>
                  </w:pPr>
                  <w:r>
                    <w:rPr>
                      <w:rFonts w:hint="eastAsia" w:ascii="宋体" w:hAnsi="宋体" w:eastAsia="宋体" w:cs="宋体"/>
                      <w:bCs w:val="0"/>
                      <w:color w:val="auto"/>
                      <w:kern w:val="2"/>
                      <w:sz w:val="21"/>
                      <w:szCs w:val="21"/>
                      <w:vertAlign w:val="baseline"/>
                      <w:lang w:val="en-US" w:eastAsia="zh-CN" w:bidi="ar-SA"/>
                    </w:rPr>
                    <w:t>污染物排放管控</w:t>
                  </w:r>
                </w:p>
              </w:tc>
              <w:tc>
                <w:tcPr>
                  <w:tcW w:w="2802" w:type="pct"/>
                  <w:noWrap w:val="0"/>
                  <w:vAlign w:val="center"/>
                </w:tcPr>
                <w:p w14:paraId="15FB5FCD">
                  <w:pPr>
                    <w:pStyle w:val="94"/>
                    <w:widowControl/>
                    <w:shd w:val="clear" w:color="auto" w:fill="FFFFFF"/>
                    <w:spacing w:line="240" w:lineRule="auto"/>
                    <w:ind w:firstLine="0" w:firstLineChars="0"/>
                    <w:jc w:val="left"/>
                    <w:rPr>
                      <w:rStyle w:val="32"/>
                      <w:rFonts w:ascii="宋体" w:hAnsi="宋体" w:eastAsia="宋体" w:cs="Times New Roman"/>
                      <w:color w:val="auto"/>
                      <w:kern w:val="2"/>
                      <w:sz w:val="21"/>
                      <w:szCs w:val="21"/>
                      <w:lang w:val="en-US" w:eastAsia="zh-CN" w:bidi="ar-SA"/>
                    </w:rPr>
                  </w:pPr>
                  <w:r>
                    <w:rPr>
                      <w:rStyle w:val="32"/>
                      <w:rFonts w:hint="eastAsia" w:ascii="宋体" w:hAnsi="宋体" w:eastAsia="宋体" w:cs="Times New Roman"/>
                      <w:color w:val="auto"/>
                      <w:kern w:val="2"/>
                      <w:sz w:val="21"/>
                      <w:szCs w:val="21"/>
                      <w:lang w:val="en-US" w:eastAsia="zh-CN" w:bidi="ar-SA"/>
                    </w:rPr>
                    <w:t>现有源提标升级改造</w:t>
                  </w:r>
                </w:p>
                <w:p w14:paraId="5F0139D3">
                  <w:pPr>
                    <w:pStyle w:val="94"/>
                    <w:widowControl/>
                    <w:shd w:val="clear" w:color="auto" w:fill="FFFFFF"/>
                    <w:spacing w:line="240" w:lineRule="auto"/>
                    <w:ind w:firstLine="0" w:firstLineChars="0"/>
                    <w:jc w:val="left"/>
                    <w:rPr>
                      <w:rStyle w:val="32"/>
                      <w:rFonts w:hint="eastAsia" w:ascii="宋体" w:hAnsi="宋体" w:eastAsia="宋体" w:cs="Times New Roman"/>
                      <w:color w:val="auto"/>
                      <w:kern w:val="2"/>
                      <w:sz w:val="21"/>
                      <w:szCs w:val="21"/>
                      <w:lang w:val="en-US" w:eastAsia="zh-CN" w:bidi="ar-SA"/>
                    </w:rPr>
                  </w:pPr>
                  <w:r>
                    <w:rPr>
                      <w:rStyle w:val="32"/>
                      <w:rFonts w:hint="eastAsia" w:ascii="宋体" w:hAnsi="宋体" w:eastAsia="宋体" w:cs="Times New Roman"/>
                      <w:color w:val="auto"/>
                      <w:kern w:val="2"/>
                      <w:sz w:val="21"/>
                      <w:szCs w:val="21"/>
                      <w:lang w:val="en-US" w:eastAsia="zh-CN" w:bidi="ar-SA"/>
                    </w:rPr>
                    <w:t>参照遂宁市总体准入要求-工业重点管控单元。</w:t>
                  </w:r>
                </w:p>
                <w:p w14:paraId="18EDB9B2">
                  <w:pPr>
                    <w:pStyle w:val="94"/>
                    <w:widowControl/>
                    <w:shd w:val="clear" w:color="auto" w:fill="FFFFFF"/>
                    <w:spacing w:line="240" w:lineRule="auto"/>
                    <w:ind w:firstLine="0" w:firstLineChars="0"/>
                    <w:jc w:val="left"/>
                    <w:rPr>
                      <w:rStyle w:val="32"/>
                      <w:rFonts w:hint="eastAsia" w:ascii="宋体" w:hAnsi="宋体" w:eastAsia="宋体" w:cs="Times New Roman"/>
                      <w:color w:val="auto"/>
                      <w:kern w:val="2"/>
                      <w:sz w:val="21"/>
                      <w:szCs w:val="21"/>
                      <w:lang w:val="en-US" w:eastAsia="zh-CN" w:bidi="ar-SA"/>
                    </w:rPr>
                  </w:pPr>
                  <w:r>
                    <w:rPr>
                      <w:rStyle w:val="32"/>
                      <w:rFonts w:hint="eastAsia" w:ascii="宋体" w:hAnsi="宋体" w:eastAsia="宋体" w:cs="Times New Roman"/>
                      <w:color w:val="auto"/>
                      <w:kern w:val="2"/>
                      <w:sz w:val="21"/>
                      <w:szCs w:val="21"/>
                      <w:lang w:val="en-US" w:eastAsia="zh-CN" w:bidi="ar-SA"/>
                    </w:rPr>
                    <w:t>新增源等量或倍量替代</w:t>
                  </w:r>
                </w:p>
                <w:p w14:paraId="57AD8480">
                  <w:pPr>
                    <w:pStyle w:val="94"/>
                    <w:widowControl/>
                    <w:shd w:val="clear" w:color="auto" w:fill="FFFFFF"/>
                    <w:spacing w:line="240" w:lineRule="auto"/>
                    <w:ind w:firstLine="0" w:firstLineChars="0"/>
                    <w:jc w:val="left"/>
                    <w:rPr>
                      <w:rStyle w:val="32"/>
                      <w:rFonts w:hint="eastAsia" w:ascii="宋体" w:hAnsi="宋体" w:eastAsia="宋体" w:cs="Times New Roman"/>
                      <w:color w:val="auto"/>
                      <w:kern w:val="2"/>
                      <w:sz w:val="21"/>
                      <w:szCs w:val="21"/>
                      <w:lang w:val="en-US" w:eastAsia="zh-CN" w:bidi="ar-SA"/>
                    </w:rPr>
                  </w:pPr>
                  <w:r>
                    <w:rPr>
                      <w:rStyle w:val="32"/>
                      <w:rFonts w:hint="eastAsia" w:ascii="宋体" w:hAnsi="宋体" w:eastAsia="宋体" w:cs="Times New Roman"/>
                      <w:color w:val="auto"/>
                      <w:kern w:val="2"/>
                      <w:sz w:val="21"/>
                      <w:szCs w:val="21"/>
                      <w:lang w:val="en-US" w:eastAsia="zh-CN" w:bidi="ar-SA"/>
                    </w:rPr>
                    <w:t>参照遂宁市总体准入要求-工业重点管控单元</w:t>
                  </w:r>
                </w:p>
                <w:p w14:paraId="443B0B5E">
                  <w:pPr>
                    <w:pStyle w:val="94"/>
                    <w:widowControl/>
                    <w:shd w:val="clear" w:color="auto" w:fill="FFFFFF"/>
                    <w:spacing w:line="240" w:lineRule="auto"/>
                    <w:ind w:firstLine="0" w:firstLineChars="0"/>
                    <w:jc w:val="left"/>
                    <w:rPr>
                      <w:rStyle w:val="32"/>
                      <w:rFonts w:hint="eastAsia" w:ascii="宋体" w:hAnsi="宋体" w:eastAsia="宋体" w:cs="Times New Roman"/>
                      <w:color w:val="auto"/>
                      <w:kern w:val="2"/>
                      <w:sz w:val="21"/>
                      <w:szCs w:val="21"/>
                      <w:lang w:val="en-US" w:eastAsia="zh-CN" w:bidi="ar-SA"/>
                    </w:rPr>
                  </w:pPr>
                  <w:r>
                    <w:rPr>
                      <w:rStyle w:val="32"/>
                      <w:rFonts w:hint="eastAsia" w:ascii="宋体" w:hAnsi="宋体" w:eastAsia="宋体" w:cs="Times New Roman"/>
                      <w:color w:val="auto"/>
                      <w:kern w:val="2"/>
                      <w:sz w:val="21"/>
                      <w:szCs w:val="21"/>
                      <w:lang w:val="en-US" w:eastAsia="zh-CN" w:bidi="ar-SA"/>
                    </w:rPr>
                    <w:t>新增源排放标准限值</w:t>
                  </w:r>
                </w:p>
                <w:p w14:paraId="3F1FE84B">
                  <w:pPr>
                    <w:pStyle w:val="94"/>
                    <w:widowControl/>
                    <w:shd w:val="clear" w:color="auto" w:fill="FFFFFF"/>
                    <w:spacing w:line="240" w:lineRule="auto"/>
                    <w:ind w:firstLine="0" w:firstLineChars="0"/>
                    <w:jc w:val="left"/>
                    <w:rPr>
                      <w:rStyle w:val="32"/>
                      <w:rFonts w:hint="eastAsia" w:ascii="宋体" w:hAnsi="宋体" w:eastAsia="宋体" w:cs="Times New Roman"/>
                      <w:color w:val="auto"/>
                      <w:kern w:val="2"/>
                      <w:sz w:val="21"/>
                      <w:szCs w:val="21"/>
                      <w:lang w:val="en-US" w:eastAsia="zh-CN" w:bidi="ar-SA"/>
                    </w:rPr>
                  </w:pPr>
                  <w:r>
                    <w:rPr>
                      <w:rStyle w:val="32"/>
                      <w:rFonts w:hint="eastAsia" w:ascii="宋体" w:hAnsi="宋体" w:eastAsia="宋体" w:cs="Times New Roman"/>
                      <w:color w:val="auto"/>
                      <w:kern w:val="2"/>
                      <w:sz w:val="21"/>
                      <w:szCs w:val="21"/>
                      <w:lang w:val="en-US" w:eastAsia="zh-CN" w:bidi="ar-SA"/>
                    </w:rPr>
                    <w:t>1.重点行业VOCs治理：</w:t>
                  </w:r>
                </w:p>
                <w:p w14:paraId="7043ABC2">
                  <w:pPr>
                    <w:pStyle w:val="94"/>
                    <w:widowControl/>
                    <w:shd w:val="clear" w:color="auto" w:fill="FFFFFF"/>
                    <w:spacing w:line="240" w:lineRule="auto"/>
                    <w:ind w:firstLine="0" w:firstLineChars="0"/>
                    <w:jc w:val="left"/>
                    <w:rPr>
                      <w:rStyle w:val="32"/>
                      <w:rFonts w:hint="eastAsia" w:ascii="宋体" w:hAnsi="宋体" w:eastAsia="宋体" w:cs="Times New Roman"/>
                      <w:color w:val="auto"/>
                      <w:kern w:val="2"/>
                      <w:sz w:val="21"/>
                      <w:szCs w:val="21"/>
                      <w:lang w:val="en-US" w:eastAsia="zh-CN" w:bidi="ar-SA"/>
                    </w:rPr>
                  </w:pPr>
                  <w:r>
                    <w:rPr>
                      <w:rStyle w:val="32"/>
                      <w:rFonts w:hint="eastAsia" w:ascii="宋体" w:hAnsi="宋体" w:eastAsia="宋体" w:cs="Times New Roman"/>
                      <w:color w:val="auto"/>
                      <w:kern w:val="2"/>
                      <w:sz w:val="21"/>
                      <w:szCs w:val="21"/>
                      <w:lang w:val="en-US" w:eastAsia="zh-CN" w:bidi="ar-SA"/>
                    </w:rPr>
                    <w:t>（1）化工项目实施挥发性有机物综合整治，兼顾解决恶臭、有毒有害等环境问题；推广低 VOCs 含量、低反应活性的原辅材料和产品。</w:t>
                  </w:r>
                </w:p>
                <w:p w14:paraId="48787141">
                  <w:pPr>
                    <w:pStyle w:val="94"/>
                    <w:widowControl/>
                    <w:shd w:val="clear" w:color="auto" w:fill="FFFFFF"/>
                    <w:spacing w:line="240" w:lineRule="auto"/>
                    <w:ind w:firstLine="0" w:firstLineChars="0"/>
                    <w:jc w:val="left"/>
                    <w:rPr>
                      <w:rStyle w:val="32"/>
                      <w:rFonts w:hint="eastAsia" w:ascii="宋体" w:hAnsi="宋体" w:eastAsia="宋体" w:cs="Times New Roman"/>
                      <w:color w:val="auto"/>
                      <w:kern w:val="2"/>
                      <w:sz w:val="21"/>
                      <w:szCs w:val="21"/>
                      <w:lang w:val="en-US" w:eastAsia="zh-CN" w:bidi="ar-SA"/>
                    </w:rPr>
                  </w:pPr>
                  <w:r>
                    <w:rPr>
                      <w:rStyle w:val="32"/>
                      <w:rFonts w:hint="eastAsia" w:ascii="宋体" w:hAnsi="宋体" w:eastAsia="宋体" w:cs="Times New Roman"/>
                      <w:color w:val="auto"/>
                      <w:kern w:val="2"/>
                      <w:sz w:val="21"/>
                      <w:szCs w:val="21"/>
                      <w:lang w:val="en-US" w:eastAsia="zh-CN" w:bidi="ar-SA"/>
                    </w:rPr>
                    <w:t>（2）工程机械制造行业，推广使用高固体份、粉末涂料，喷漆与烘干废气不得采用单一、低效的方式进行处理。</w:t>
                  </w:r>
                </w:p>
                <w:p w14:paraId="2D822DD4">
                  <w:pPr>
                    <w:pStyle w:val="94"/>
                    <w:widowControl/>
                    <w:shd w:val="clear" w:color="auto" w:fill="FFFFFF"/>
                    <w:spacing w:line="240" w:lineRule="auto"/>
                    <w:ind w:firstLine="0" w:firstLineChars="0"/>
                    <w:jc w:val="left"/>
                    <w:rPr>
                      <w:rStyle w:val="32"/>
                      <w:rFonts w:hint="eastAsia" w:ascii="宋体" w:hAnsi="宋体" w:eastAsia="宋体" w:cs="Times New Roman"/>
                      <w:color w:val="auto"/>
                      <w:kern w:val="2"/>
                      <w:sz w:val="21"/>
                      <w:szCs w:val="21"/>
                      <w:lang w:val="en-US" w:eastAsia="zh-CN" w:bidi="ar-SA"/>
                    </w:rPr>
                  </w:pPr>
                  <w:r>
                    <w:rPr>
                      <w:rStyle w:val="32"/>
                      <w:rFonts w:hint="eastAsia" w:ascii="宋体" w:hAnsi="宋体" w:eastAsia="宋体" w:cs="Times New Roman"/>
                      <w:color w:val="auto"/>
                      <w:kern w:val="2"/>
                      <w:sz w:val="21"/>
                      <w:szCs w:val="21"/>
                      <w:lang w:val="en-US" w:eastAsia="zh-CN" w:bidi="ar-SA"/>
                    </w:rPr>
                    <w:t>（3）全面执行《挥发性有机物无组织排放控制标准》。</w:t>
                  </w:r>
                </w:p>
                <w:p w14:paraId="08C95D43">
                  <w:pPr>
                    <w:pStyle w:val="94"/>
                    <w:widowControl/>
                    <w:shd w:val="clear" w:color="auto" w:fill="FFFFFF"/>
                    <w:spacing w:line="240" w:lineRule="auto"/>
                    <w:ind w:firstLine="0" w:firstLineChars="0"/>
                    <w:jc w:val="left"/>
                    <w:rPr>
                      <w:rStyle w:val="32"/>
                      <w:rFonts w:hint="eastAsia" w:ascii="宋体" w:hAnsi="宋体" w:eastAsia="宋体" w:cs="Times New Roman"/>
                      <w:color w:val="auto"/>
                      <w:kern w:val="2"/>
                      <w:sz w:val="21"/>
                      <w:szCs w:val="21"/>
                      <w:lang w:val="en-US" w:eastAsia="zh-CN" w:bidi="ar-SA"/>
                    </w:rPr>
                  </w:pPr>
                  <w:r>
                    <w:rPr>
                      <w:rStyle w:val="32"/>
                      <w:rFonts w:hint="eastAsia" w:ascii="宋体" w:hAnsi="宋体" w:eastAsia="宋体" w:cs="Times New Roman"/>
                      <w:color w:val="auto"/>
                      <w:kern w:val="2"/>
                      <w:sz w:val="21"/>
                      <w:szCs w:val="21"/>
                      <w:lang w:val="en-US" w:eastAsia="zh-CN" w:bidi="ar-SA"/>
                    </w:rPr>
                    <w:t>2.项目产生的生产废水由企业自行处理达到《污水综合排放标准》三级或相应的行业排放标准后排入园区污水处理厂处理达到《城镇污水处理厂污染物排放标准》一级A标或更严格标准后排放。</w:t>
                  </w:r>
                </w:p>
                <w:p w14:paraId="42740418">
                  <w:pPr>
                    <w:pStyle w:val="94"/>
                    <w:widowControl/>
                    <w:shd w:val="clear" w:color="auto" w:fill="FFFFFF"/>
                    <w:spacing w:line="240" w:lineRule="auto"/>
                    <w:ind w:firstLine="0" w:firstLineChars="0"/>
                    <w:jc w:val="left"/>
                    <w:rPr>
                      <w:rStyle w:val="32"/>
                      <w:rFonts w:hint="eastAsia" w:ascii="宋体" w:hAnsi="宋体" w:eastAsia="宋体" w:cs="Times New Roman"/>
                      <w:color w:val="auto"/>
                      <w:kern w:val="2"/>
                      <w:sz w:val="21"/>
                      <w:szCs w:val="21"/>
                      <w:lang w:val="en-US" w:eastAsia="zh-CN" w:bidi="ar-SA"/>
                    </w:rPr>
                  </w:pPr>
                  <w:r>
                    <w:rPr>
                      <w:rStyle w:val="32"/>
                      <w:rFonts w:hint="eastAsia" w:ascii="宋体" w:hAnsi="宋体" w:eastAsia="宋体" w:cs="Times New Roman"/>
                      <w:color w:val="auto"/>
                      <w:kern w:val="2"/>
                      <w:sz w:val="21"/>
                      <w:szCs w:val="21"/>
                      <w:lang w:val="en-US" w:eastAsia="zh-CN" w:bidi="ar-SA"/>
                    </w:rPr>
                    <w:t>3.其他参照遂宁市总体准入要求-工业重点管控单元。</w:t>
                  </w:r>
                </w:p>
                <w:p w14:paraId="2B013870">
                  <w:pPr>
                    <w:pStyle w:val="94"/>
                    <w:widowControl/>
                    <w:shd w:val="clear" w:color="auto" w:fill="FFFFFF"/>
                    <w:spacing w:line="240" w:lineRule="auto"/>
                    <w:ind w:firstLine="0" w:firstLineChars="0"/>
                    <w:jc w:val="left"/>
                    <w:rPr>
                      <w:rStyle w:val="32"/>
                      <w:rFonts w:hint="eastAsia" w:ascii="宋体" w:hAnsi="宋体" w:eastAsia="宋体" w:cs="Times New Roman"/>
                      <w:color w:val="auto"/>
                      <w:kern w:val="2"/>
                      <w:sz w:val="21"/>
                      <w:szCs w:val="21"/>
                      <w:lang w:val="en-US" w:eastAsia="zh-CN" w:bidi="ar-SA"/>
                    </w:rPr>
                  </w:pPr>
                  <w:r>
                    <w:rPr>
                      <w:rStyle w:val="32"/>
                      <w:rFonts w:hint="eastAsia" w:ascii="宋体" w:hAnsi="宋体" w:eastAsia="宋体" w:cs="Times New Roman"/>
                      <w:color w:val="auto"/>
                      <w:kern w:val="2"/>
                      <w:sz w:val="21"/>
                      <w:szCs w:val="21"/>
                      <w:lang w:val="en-US" w:eastAsia="zh-CN" w:bidi="ar-SA"/>
                    </w:rPr>
                    <w:t>污染物排放绩效水平准入要求</w:t>
                  </w:r>
                </w:p>
                <w:p w14:paraId="5A52D426">
                  <w:pPr>
                    <w:pStyle w:val="94"/>
                    <w:widowControl/>
                    <w:shd w:val="clear" w:color="auto" w:fill="FFFFFF"/>
                    <w:spacing w:line="240" w:lineRule="auto"/>
                    <w:ind w:firstLine="0" w:firstLineChars="0"/>
                    <w:jc w:val="left"/>
                    <w:rPr>
                      <w:rStyle w:val="32"/>
                      <w:rFonts w:hint="eastAsia" w:ascii="宋体" w:hAnsi="宋体" w:eastAsia="宋体" w:cs="宋体"/>
                      <w:color w:val="auto"/>
                      <w:kern w:val="0"/>
                      <w:sz w:val="21"/>
                      <w:szCs w:val="21"/>
                      <w:lang w:val="en-US" w:eastAsia="zh-CN" w:bidi="ar-SA"/>
                    </w:rPr>
                  </w:pPr>
                  <w:r>
                    <w:rPr>
                      <w:rStyle w:val="32"/>
                      <w:rFonts w:hint="eastAsia" w:ascii="宋体" w:hAnsi="宋体" w:eastAsia="宋体" w:cs="Times New Roman"/>
                      <w:color w:val="auto"/>
                      <w:kern w:val="2"/>
                      <w:sz w:val="21"/>
                      <w:szCs w:val="21"/>
                      <w:lang w:val="en-US" w:eastAsia="zh-CN" w:bidi="ar-SA"/>
                    </w:rPr>
                    <w:t>参照遂宁市总体准入要求-工业重点管控单元</w:t>
                  </w:r>
                </w:p>
              </w:tc>
              <w:tc>
                <w:tcPr>
                  <w:tcW w:w="618" w:type="pct"/>
                  <w:noWrap w:val="0"/>
                  <w:vAlign w:val="center"/>
                </w:tcPr>
                <w:p w14:paraId="4AD49F94">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center"/>
                    <w:rPr>
                      <w:rFonts w:hint="default" w:ascii="宋体" w:hAnsi="宋体" w:eastAsia="宋体" w:cs="宋体"/>
                      <w:bCs w:val="0"/>
                      <w:color w:val="auto"/>
                      <w:kern w:val="2"/>
                      <w:sz w:val="21"/>
                      <w:szCs w:val="21"/>
                      <w:vertAlign w:val="baseline"/>
                      <w:lang w:val="en-US" w:eastAsia="zh-CN" w:bidi="ar-SA"/>
                    </w:rPr>
                  </w:pPr>
                  <w:r>
                    <w:rPr>
                      <w:rFonts w:hint="eastAsia" w:ascii="宋体" w:hAnsi="宋体" w:eastAsia="宋体" w:cs="宋体"/>
                      <w:bCs w:val="0"/>
                      <w:color w:val="auto"/>
                      <w:kern w:val="2"/>
                      <w:sz w:val="21"/>
                      <w:szCs w:val="21"/>
                      <w:vertAlign w:val="baseline"/>
                      <w:lang w:val="en-US" w:eastAsia="zh-CN" w:bidi="ar-SA"/>
                    </w:rPr>
                    <w:t>项目厂区实行雨污分流，项目本身无废气产生，废水仅有生活污水，产生的生活污水经化粪池处理</w:t>
                  </w:r>
                  <w:r>
                    <w:rPr>
                      <w:rStyle w:val="32"/>
                      <w:rFonts w:hint="eastAsia" w:ascii="宋体" w:hAnsi="宋体" w:eastAsia="宋体" w:cs="Times New Roman"/>
                      <w:color w:val="auto"/>
                      <w:kern w:val="2"/>
                      <w:sz w:val="21"/>
                      <w:szCs w:val="21"/>
                      <w:lang w:val="en-US" w:eastAsia="zh-CN" w:bidi="ar-SA"/>
                    </w:rPr>
                    <w:t>达到《污水综合排放标准》三级</w:t>
                  </w:r>
                  <w:r>
                    <w:rPr>
                      <w:rFonts w:hint="eastAsia" w:ascii="宋体" w:hAnsi="宋体" w:eastAsia="宋体" w:cs="宋体"/>
                      <w:bCs w:val="0"/>
                      <w:color w:val="auto"/>
                      <w:kern w:val="2"/>
                      <w:sz w:val="21"/>
                      <w:szCs w:val="21"/>
                      <w:vertAlign w:val="baseline"/>
                      <w:lang w:val="en-US" w:eastAsia="zh-CN" w:bidi="ar-SA"/>
                    </w:rPr>
                    <w:t>后排入龙眼井污水处理厂处理。</w:t>
                  </w:r>
                </w:p>
              </w:tc>
              <w:tc>
                <w:tcPr>
                  <w:tcW w:w="278" w:type="pct"/>
                  <w:tcBorders>
                    <w:right w:val="nil"/>
                  </w:tcBorders>
                  <w:noWrap w:val="0"/>
                  <w:vAlign w:val="center"/>
                </w:tcPr>
                <w:p w14:paraId="16BB6831">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21"/>
                      <w:szCs w:val="21"/>
                      <w:vertAlign w:val="baseline"/>
                      <w:lang w:val="en-US" w:eastAsia="zh-CN" w:bidi="ar-SA"/>
                    </w:rPr>
                  </w:pPr>
                  <w:r>
                    <w:rPr>
                      <w:rFonts w:hint="eastAsia" w:ascii="宋体" w:hAnsi="宋体" w:eastAsia="宋体" w:cs="宋体"/>
                      <w:bCs w:val="0"/>
                      <w:color w:val="auto"/>
                      <w:kern w:val="2"/>
                      <w:sz w:val="21"/>
                      <w:szCs w:val="21"/>
                      <w:vertAlign w:val="baseline"/>
                      <w:lang w:val="en-US" w:eastAsia="zh-CN" w:bidi="ar-SA"/>
                    </w:rPr>
                    <w:t>符合</w:t>
                  </w:r>
                </w:p>
              </w:tc>
            </w:tr>
            <w:tr w14:paraId="7FD7E1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jc w:val="center"/>
              </w:trPr>
              <w:tc>
                <w:tcPr>
                  <w:tcW w:w="677" w:type="pct"/>
                  <w:vMerge w:val="continue"/>
                  <w:tcBorders>
                    <w:left w:val="nil"/>
                    <w:right w:val="single" w:color="auto" w:sz="4" w:space="0"/>
                  </w:tcBorders>
                  <w:noWrap w:val="0"/>
                  <w:vAlign w:val="center"/>
                </w:tcPr>
                <w:p w14:paraId="335F2055">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21"/>
                      <w:szCs w:val="21"/>
                      <w:vertAlign w:val="baseline"/>
                      <w:lang w:val="en-US" w:eastAsia="zh-CN" w:bidi="ar-SA"/>
                    </w:rPr>
                  </w:pPr>
                </w:p>
              </w:tc>
              <w:tc>
                <w:tcPr>
                  <w:tcW w:w="237" w:type="pct"/>
                  <w:vMerge w:val="continue"/>
                  <w:tcBorders>
                    <w:left w:val="single" w:color="auto" w:sz="4" w:space="0"/>
                  </w:tcBorders>
                  <w:noWrap w:val="0"/>
                  <w:vAlign w:val="center"/>
                </w:tcPr>
                <w:p w14:paraId="5BBD7FFE">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21"/>
                      <w:szCs w:val="21"/>
                      <w:vertAlign w:val="baseline"/>
                      <w:lang w:val="en-US" w:eastAsia="zh-CN" w:bidi="ar-SA"/>
                    </w:rPr>
                  </w:pPr>
                </w:p>
              </w:tc>
              <w:tc>
                <w:tcPr>
                  <w:tcW w:w="386" w:type="pct"/>
                  <w:noWrap w:val="0"/>
                  <w:vAlign w:val="center"/>
                </w:tcPr>
                <w:p w14:paraId="6155B5AE">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21"/>
                      <w:szCs w:val="21"/>
                      <w:vertAlign w:val="baseline"/>
                      <w:lang w:val="en-US" w:eastAsia="zh-CN" w:bidi="ar-SA"/>
                    </w:rPr>
                  </w:pPr>
                  <w:r>
                    <w:rPr>
                      <w:rFonts w:hint="eastAsia" w:ascii="宋体" w:hAnsi="宋体" w:eastAsia="宋体" w:cs="宋体"/>
                      <w:bCs w:val="0"/>
                      <w:color w:val="auto"/>
                      <w:kern w:val="2"/>
                      <w:sz w:val="21"/>
                      <w:szCs w:val="21"/>
                      <w:vertAlign w:val="baseline"/>
                      <w:lang w:val="en-US" w:eastAsia="zh-CN" w:bidi="ar-SA"/>
                    </w:rPr>
                    <w:t>环境风险防控</w:t>
                  </w:r>
                </w:p>
              </w:tc>
              <w:tc>
                <w:tcPr>
                  <w:tcW w:w="2802" w:type="pct"/>
                  <w:noWrap w:val="0"/>
                  <w:vAlign w:val="center"/>
                </w:tcPr>
                <w:p w14:paraId="5AE9B6ED">
                  <w:pPr>
                    <w:pStyle w:val="94"/>
                    <w:widowControl/>
                    <w:shd w:val="clear" w:color="auto" w:fill="FFFFFF"/>
                    <w:spacing w:line="240" w:lineRule="auto"/>
                    <w:ind w:firstLine="0" w:firstLineChars="0"/>
                    <w:jc w:val="left"/>
                    <w:rPr>
                      <w:rStyle w:val="32"/>
                      <w:rFonts w:ascii="宋体" w:hAnsi="宋体" w:eastAsia="宋体" w:cs="Times New Roman"/>
                      <w:color w:val="auto"/>
                      <w:kern w:val="2"/>
                      <w:sz w:val="21"/>
                      <w:szCs w:val="21"/>
                      <w:lang w:val="en-US" w:eastAsia="zh-CN" w:bidi="ar-SA"/>
                    </w:rPr>
                  </w:pPr>
                  <w:r>
                    <w:rPr>
                      <w:rStyle w:val="32"/>
                      <w:rFonts w:hint="eastAsia" w:ascii="宋体" w:hAnsi="宋体" w:eastAsia="宋体" w:cs="Times New Roman"/>
                      <w:color w:val="auto"/>
                      <w:kern w:val="2"/>
                      <w:sz w:val="21"/>
                      <w:szCs w:val="21"/>
                      <w:lang w:val="en-US" w:eastAsia="zh-CN" w:bidi="ar-SA"/>
                    </w:rPr>
                    <w:t>严格管控类农用地管控要求</w:t>
                  </w:r>
                </w:p>
                <w:p w14:paraId="4091F26E">
                  <w:pPr>
                    <w:pStyle w:val="94"/>
                    <w:widowControl/>
                    <w:shd w:val="clear" w:color="auto" w:fill="FFFFFF"/>
                    <w:spacing w:line="240" w:lineRule="auto"/>
                    <w:ind w:firstLine="0" w:firstLineChars="0"/>
                    <w:jc w:val="left"/>
                    <w:rPr>
                      <w:rStyle w:val="32"/>
                      <w:rFonts w:hint="eastAsia" w:ascii="宋体" w:hAnsi="宋体" w:eastAsia="宋体" w:cs="Times New Roman"/>
                      <w:color w:val="auto"/>
                      <w:kern w:val="2"/>
                      <w:sz w:val="21"/>
                      <w:szCs w:val="21"/>
                      <w:lang w:val="en-US" w:eastAsia="zh-CN" w:bidi="ar-SA"/>
                    </w:rPr>
                  </w:pPr>
                  <w:r>
                    <w:rPr>
                      <w:rStyle w:val="32"/>
                      <w:rFonts w:hint="eastAsia" w:ascii="宋体" w:hAnsi="宋体" w:eastAsia="宋体" w:cs="Times New Roman"/>
                      <w:color w:val="auto"/>
                      <w:kern w:val="2"/>
                      <w:sz w:val="21"/>
                      <w:szCs w:val="21"/>
                      <w:lang w:val="en-US" w:eastAsia="zh-CN" w:bidi="ar-SA"/>
                    </w:rPr>
                    <w:t>参照遂宁市总体准入要求-工业重点管控单元</w:t>
                  </w:r>
                </w:p>
                <w:p w14:paraId="651F86A1">
                  <w:pPr>
                    <w:pStyle w:val="94"/>
                    <w:widowControl/>
                    <w:shd w:val="clear" w:color="auto" w:fill="FFFFFF"/>
                    <w:spacing w:line="240" w:lineRule="auto"/>
                    <w:ind w:firstLine="0" w:firstLineChars="0"/>
                    <w:jc w:val="left"/>
                    <w:rPr>
                      <w:rStyle w:val="32"/>
                      <w:rFonts w:hint="eastAsia" w:ascii="宋体" w:hAnsi="宋体" w:eastAsia="宋体" w:cs="Times New Roman"/>
                      <w:color w:val="auto"/>
                      <w:kern w:val="2"/>
                      <w:sz w:val="21"/>
                      <w:szCs w:val="21"/>
                      <w:lang w:val="en-US" w:eastAsia="zh-CN" w:bidi="ar-SA"/>
                    </w:rPr>
                  </w:pPr>
                  <w:r>
                    <w:rPr>
                      <w:rStyle w:val="32"/>
                      <w:rFonts w:hint="eastAsia" w:ascii="宋体" w:hAnsi="宋体" w:eastAsia="宋体" w:cs="Times New Roman"/>
                      <w:color w:val="auto"/>
                      <w:kern w:val="2"/>
                      <w:sz w:val="21"/>
                      <w:szCs w:val="21"/>
                      <w:lang w:val="en-US" w:eastAsia="zh-CN" w:bidi="ar-SA"/>
                    </w:rPr>
                    <w:t>安全利用类农用地管控要求</w:t>
                  </w:r>
                </w:p>
                <w:p w14:paraId="10DC06C6">
                  <w:pPr>
                    <w:pStyle w:val="94"/>
                    <w:widowControl/>
                    <w:shd w:val="clear" w:color="auto" w:fill="FFFFFF"/>
                    <w:spacing w:line="240" w:lineRule="auto"/>
                    <w:ind w:firstLine="0" w:firstLineChars="0"/>
                    <w:jc w:val="left"/>
                    <w:rPr>
                      <w:rStyle w:val="32"/>
                      <w:rFonts w:hint="eastAsia" w:ascii="宋体" w:hAnsi="宋体" w:eastAsia="宋体" w:cs="Times New Roman"/>
                      <w:color w:val="auto"/>
                      <w:kern w:val="2"/>
                      <w:sz w:val="21"/>
                      <w:szCs w:val="21"/>
                      <w:lang w:val="en-US" w:eastAsia="zh-CN" w:bidi="ar-SA"/>
                    </w:rPr>
                  </w:pPr>
                  <w:r>
                    <w:rPr>
                      <w:rStyle w:val="32"/>
                      <w:rFonts w:hint="eastAsia" w:ascii="宋体" w:hAnsi="宋体" w:eastAsia="宋体" w:cs="Times New Roman"/>
                      <w:color w:val="auto"/>
                      <w:kern w:val="2"/>
                      <w:sz w:val="21"/>
                      <w:szCs w:val="21"/>
                      <w:lang w:val="en-US" w:eastAsia="zh-CN" w:bidi="ar-SA"/>
                    </w:rPr>
                    <w:t>参照遂宁市总体准入要求-工业重点管控单元</w:t>
                  </w:r>
                </w:p>
                <w:p w14:paraId="136EAB84">
                  <w:pPr>
                    <w:pStyle w:val="94"/>
                    <w:widowControl/>
                    <w:shd w:val="clear" w:color="auto" w:fill="FFFFFF"/>
                    <w:spacing w:line="240" w:lineRule="auto"/>
                    <w:ind w:firstLine="0" w:firstLineChars="0"/>
                    <w:jc w:val="left"/>
                    <w:rPr>
                      <w:rStyle w:val="32"/>
                      <w:rFonts w:hint="eastAsia" w:ascii="宋体" w:hAnsi="宋体" w:eastAsia="宋体" w:cs="Times New Roman"/>
                      <w:color w:val="auto"/>
                      <w:kern w:val="2"/>
                      <w:sz w:val="21"/>
                      <w:szCs w:val="21"/>
                      <w:lang w:val="en-US" w:eastAsia="zh-CN" w:bidi="ar-SA"/>
                    </w:rPr>
                  </w:pPr>
                  <w:r>
                    <w:rPr>
                      <w:rStyle w:val="32"/>
                      <w:rFonts w:hint="eastAsia" w:ascii="宋体" w:hAnsi="宋体" w:eastAsia="宋体" w:cs="Times New Roman"/>
                      <w:color w:val="auto"/>
                      <w:kern w:val="2"/>
                      <w:sz w:val="21"/>
                      <w:szCs w:val="21"/>
                      <w:lang w:val="en-US" w:eastAsia="zh-CN" w:bidi="ar-SA"/>
                    </w:rPr>
                    <w:t>污染地块管控要求</w:t>
                  </w:r>
                </w:p>
                <w:p w14:paraId="77C93BDD">
                  <w:pPr>
                    <w:pStyle w:val="94"/>
                    <w:widowControl/>
                    <w:shd w:val="clear" w:color="auto" w:fill="FFFFFF"/>
                    <w:spacing w:line="240" w:lineRule="auto"/>
                    <w:ind w:firstLine="0" w:firstLineChars="0"/>
                    <w:jc w:val="left"/>
                    <w:rPr>
                      <w:rStyle w:val="32"/>
                      <w:rFonts w:hint="eastAsia" w:ascii="宋体" w:hAnsi="宋体" w:eastAsia="宋体" w:cs="Times New Roman"/>
                      <w:color w:val="auto"/>
                      <w:kern w:val="2"/>
                      <w:sz w:val="21"/>
                      <w:szCs w:val="21"/>
                      <w:lang w:val="en-US" w:eastAsia="zh-CN" w:bidi="ar-SA"/>
                    </w:rPr>
                  </w:pPr>
                  <w:r>
                    <w:rPr>
                      <w:rStyle w:val="32"/>
                      <w:rFonts w:hint="eastAsia" w:ascii="宋体" w:hAnsi="宋体" w:eastAsia="宋体" w:cs="Times New Roman"/>
                      <w:color w:val="auto"/>
                      <w:kern w:val="2"/>
                      <w:sz w:val="21"/>
                      <w:szCs w:val="21"/>
                      <w:lang w:val="en-US" w:eastAsia="zh-CN" w:bidi="ar-SA"/>
                    </w:rPr>
                    <w:t>参照遂宁市总体准入要求-工业重点管控单元</w:t>
                  </w:r>
                </w:p>
                <w:p w14:paraId="3384CD3C">
                  <w:pPr>
                    <w:pStyle w:val="94"/>
                    <w:widowControl/>
                    <w:shd w:val="clear" w:color="auto" w:fill="FFFFFF"/>
                    <w:spacing w:line="240" w:lineRule="auto"/>
                    <w:ind w:firstLine="0" w:firstLineChars="0"/>
                    <w:jc w:val="left"/>
                    <w:rPr>
                      <w:rStyle w:val="32"/>
                      <w:rFonts w:hint="eastAsia" w:ascii="宋体" w:hAnsi="宋体" w:eastAsia="宋体" w:cs="Times New Roman"/>
                      <w:color w:val="auto"/>
                      <w:kern w:val="2"/>
                      <w:sz w:val="21"/>
                      <w:szCs w:val="21"/>
                      <w:lang w:val="en-US" w:eastAsia="zh-CN" w:bidi="ar-SA"/>
                    </w:rPr>
                  </w:pPr>
                  <w:r>
                    <w:rPr>
                      <w:rStyle w:val="32"/>
                      <w:rFonts w:hint="eastAsia" w:ascii="宋体" w:hAnsi="宋体" w:eastAsia="宋体" w:cs="Times New Roman"/>
                      <w:color w:val="auto"/>
                      <w:kern w:val="2"/>
                      <w:sz w:val="21"/>
                      <w:szCs w:val="21"/>
                      <w:lang w:val="en-US" w:eastAsia="zh-CN" w:bidi="ar-SA"/>
                    </w:rPr>
                    <w:t>园区环境风险防控要求</w:t>
                  </w:r>
                </w:p>
                <w:p w14:paraId="3F4C1315">
                  <w:pPr>
                    <w:pStyle w:val="94"/>
                    <w:widowControl/>
                    <w:shd w:val="clear" w:color="auto" w:fill="FFFFFF"/>
                    <w:spacing w:line="240" w:lineRule="auto"/>
                    <w:ind w:firstLine="0" w:firstLineChars="0"/>
                    <w:jc w:val="left"/>
                    <w:rPr>
                      <w:rStyle w:val="32"/>
                      <w:rFonts w:hint="eastAsia" w:ascii="宋体" w:hAnsi="宋体" w:eastAsia="宋体" w:cs="Times New Roman"/>
                      <w:color w:val="auto"/>
                      <w:kern w:val="2"/>
                      <w:sz w:val="21"/>
                      <w:szCs w:val="21"/>
                      <w:lang w:val="en-US" w:eastAsia="zh-CN" w:bidi="ar-SA"/>
                    </w:rPr>
                  </w:pPr>
                  <w:r>
                    <w:rPr>
                      <w:rStyle w:val="32"/>
                      <w:rFonts w:hint="eastAsia" w:ascii="宋体" w:hAnsi="宋体" w:eastAsia="宋体" w:cs="Times New Roman"/>
                      <w:color w:val="auto"/>
                      <w:kern w:val="2"/>
                      <w:sz w:val="21"/>
                      <w:szCs w:val="21"/>
                      <w:lang w:val="en-US" w:eastAsia="zh-CN" w:bidi="ar-SA"/>
                    </w:rPr>
                    <w:t>1.强化园区环境风险管控。建立健全多级环境风险防控体系，落实环境风险防范措施，完善园区环境风险应急预案，严格落实园区事故废水、废液收集、阻断、处置措施，杜绝事故废水、废液等入河，避免对下游“琼江翘嘴红鲌省级水产种质资源保护区”造成影响，确保环境安全。</w:t>
                  </w:r>
                </w:p>
                <w:p w14:paraId="153B17CE">
                  <w:pPr>
                    <w:pStyle w:val="94"/>
                    <w:widowControl/>
                    <w:shd w:val="clear" w:color="auto" w:fill="FFFFFF"/>
                    <w:spacing w:line="240" w:lineRule="auto"/>
                    <w:ind w:firstLine="0" w:firstLineChars="0"/>
                    <w:jc w:val="left"/>
                    <w:rPr>
                      <w:rStyle w:val="32"/>
                      <w:rFonts w:hint="eastAsia" w:ascii="宋体" w:hAnsi="宋体" w:eastAsia="宋体" w:cs="Times New Roman"/>
                      <w:color w:val="auto"/>
                      <w:kern w:val="2"/>
                      <w:sz w:val="21"/>
                      <w:szCs w:val="21"/>
                      <w:lang w:val="en-US" w:eastAsia="zh-CN" w:bidi="ar-SA"/>
                    </w:rPr>
                  </w:pPr>
                  <w:r>
                    <w:rPr>
                      <w:rStyle w:val="32"/>
                      <w:rFonts w:hint="eastAsia" w:ascii="宋体" w:hAnsi="宋体" w:eastAsia="宋体" w:cs="Times New Roman"/>
                      <w:color w:val="auto"/>
                      <w:kern w:val="2"/>
                      <w:sz w:val="21"/>
                      <w:szCs w:val="21"/>
                      <w:lang w:val="en-US" w:eastAsia="zh-CN" w:bidi="ar-SA"/>
                    </w:rPr>
                    <w:t>2、强化尚未稳定达标小流域内化工园区污染防治及风险防控。琼江流域内的化工园区对主要超标污染物实施倍量替代。强化面源治理，鼓励水质尚未稳定达标控制单元内化工园区率先推进园区初期雨水污染控制，新建片区严格落实雨污分流。强化园区环境风险防控，根据企业、园区环境风险评价，衔接琼江“一河一策一图”环境应急响应方案，建立健全企业、园区、流域三级环境风险防控及应急体系，定期开展应急演练并完善环境应急物资库及应急处置设施，实现“事故废水不出涉事企业、不出园区管网、不进园区周边水系”的风险防控目标。</w:t>
                  </w:r>
                </w:p>
                <w:p w14:paraId="5B17D488">
                  <w:pPr>
                    <w:pStyle w:val="94"/>
                    <w:widowControl/>
                    <w:shd w:val="clear" w:color="auto" w:fill="FFFFFF"/>
                    <w:spacing w:line="240" w:lineRule="auto"/>
                    <w:ind w:firstLine="0" w:firstLineChars="0"/>
                    <w:jc w:val="left"/>
                    <w:rPr>
                      <w:rStyle w:val="32"/>
                      <w:rFonts w:hint="eastAsia" w:ascii="宋体" w:hAnsi="宋体" w:eastAsia="宋体" w:cs="Times New Roman"/>
                      <w:color w:val="auto"/>
                      <w:kern w:val="2"/>
                      <w:sz w:val="21"/>
                      <w:szCs w:val="21"/>
                      <w:lang w:val="en-US" w:eastAsia="zh-CN" w:bidi="ar-SA"/>
                    </w:rPr>
                  </w:pPr>
                  <w:r>
                    <w:rPr>
                      <w:rStyle w:val="32"/>
                      <w:rFonts w:hint="eastAsia" w:ascii="宋体" w:hAnsi="宋体" w:eastAsia="宋体" w:cs="Times New Roman"/>
                      <w:color w:val="auto"/>
                      <w:kern w:val="2"/>
                      <w:sz w:val="21"/>
                      <w:szCs w:val="21"/>
                      <w:lang w:val="en-US" w:eastAsia="zh-CN" w:bidi="ar-SA"/>
                    </w:rPr>
                    <w:t>3.其他参照遂宁市总体准入要求-工业重点管控单元</w:t>
                  </w:r>
                </w:p>
                <w:p w14:paraId="1B119C8F">
                  <w:pPr>
                    <w:pStyle w:val="94"/>
                    <w:widowControl/>
                    <w:shd w:val="clear" w:color="auto" w:fill="FFFFFF"/>
                    <w:spacing w:line="240" w:lineRule="auto"/>
                    <w:ind w:firstLine="0" w:firstLineChars="0"/>
                    <w:jc w:val="left"/>
                    <w:rPr>
                      <w:rStyle w:val="32"/>
                      <w:rFonts w:hint="eastAsia" w:ascii="宋体" w:hAnsi="宋体" w:eastAsia="宋体" w:cs="Times New Roman"/>
                      <w:color w:val="auto"/>
                      <w:kern w:val="2"/>
                      <w:sz w:val="21"/>
                      <w:szCs w:val="21"/>
                      <w:lang w:val="en-US" w:eastAsia="zh-CN" w:bidi="ar-SA"/>
                    </w:rPr>
                  </w:pPr>
                  <w:r>
                    <w:rPr>
                      <w:rStyle w:val="32"/>
                      <w:rFonts w:hint="eastAsia" w:ascii="宋体" w:hAnsi="宋体" w:eastAsia="宋体" w:cs="Times New Roman"/>
                      <w:color w:val="auto"/>
                      <w:kern w:val="2"/>
                      <w:sz w:val="21"/>
                      <w:szCs w:val="21"/>
                      <w:lang w:val="en-US" w:eastAsia="zh-CN" w:bidi="ar-SA"/>
                    </w:rPr>
                    <w:t>企业环境风险防控要求</w:t>
                  </w:r>
                </w:p>
                <w:p w14:paraId="0F23AF5A">
                  <w:pPr>
                    <w:pStyle w:val="94"/>
                    <w:widowControl/>
                    <w:shd w:val="clear" w:color="auto" w:fill="FFFFFF"/>
                    <w:spacing w:line="240" w:lineRule="auto"/>
                    <w:ind w:firstLine="0" w:firstLineChars="0"/>
                    <w:jc w:val="left"/>
                    <w:rPr>
                      <w:rStyle w:val="32"/>
                      <w:rFonts w:hint="eastAsia" w:ascii="宋体" w:hAnsi="宋体" w:eastAsia="宋体" w:cs="Times New Roman"/>
                      <w:color w:val="auto"/>
                      <w:kern w:val="2"/>
                      <w:sz w:val="21"/>
                      <w:szCs w:val="21"/>
                      <w:lang w:val="en-US" w:eastAsia="zh-CN" w:bidi="ar-SA"/>
                    </w:rPr>
                  </w:pPr>
                  <w:r>
                    <w:rPr>
                      <w:rStyle w:val="32"/>
                      <w:rFonts w:hint="eastAsia" w:ascii="宋体" w:hAnsi="宋体" w:eastAsia="宋体" w:cs="Times New Roman"/>
                      <w:color w:val="auto"/>
                      <w:kern w:val="2"/>
                      <w:sz w:val="21"/>
                      <w:szCs w:val="21"/>
                      <w:lang w:val="en-US" w:eastAsia="zh-CN" w:bidi="ar-SA"/>
                    </w:rPr>
                    <w:t>参照遂宁市总体准入要求-工业重点管控单元</w:t>
                  </w:r>
                </w:p>
                <w:p w14:paraId="716F1292">
                  <w:pPr>
                    <w:pStyle w:val="94"/>
                    <w:widowControl/>
                    <w:shd w:val="clear" w:color="auto" w:fill="FFFFFF"/>
                    <w:spacing w:line="240" w:lineRule="auto"/>
                    <w:ind w:firstLine="0" w:firstLineChars="0"/>
                    <w:jc w:val="left"/>
                    <w:rPr>
                      <w:rStyle w:val="32"/>
                      <w:rFonts w:hint="eastAsia" w:ascii="宋体" w:hAnsi="宋体" w:eastAsia="宋体" w:cs="Times New Roman"/>
                      <w:color w:val="auto"/>
                      <w:kern w:val="2"/>
                      <w:sz w:val="21"/>
                      <w:szCs w:val="21"/>
                      <w:lang w:val="en-US" w:eastAsia="zh-CN" w:bidi="ar-SA"/>
                    </w:rPr>
                  </w:pPr>
                  <w:r>
                    <w:rPr>
                      <w:rStyle w:val="32"/>
                      <w:rFonts w:hint="eastAsia" w:ascii="宋体" w:hAnsi="宋体" w:eastAsia="宋体" w:cs="Times New Roman"/>
                      <w:color w:val="auto"/>
                      <w:kern w:val="2"/>
                      <w:sz w:val="21"/>
                      <w:szCs w:val="21"/>
                      <w:lang w:val="en-US" w:eastAsia="zh-CN" w:bidi="ar-SA"/>
                    </w:rPr>
                    <w:t>其他环境风险防控要求</w:t>
                  </w:r>
                </w:p>
                <w:p w14:paraId="3BA7B3AE">
                  <w:pPr>
                    <w:pStyle w:val="78"/>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center"/>
                    <w:rPr>
                      <w:rFonts w:hint="eastAsia" w:ascii="宋体" w:hAnsi="宋体" w:eastAsia="宋体" w:cs="宋体"/>
                      <w:bCs w:val="0"/>
                      <w:color w:val="auto"/>
                      <w:kern w:val="2"/>
                      <w:sz w:val="21"/>
                      <w:szCs w:val="21"/>
                      <w:vertAlign w:val="baseline"/>
                      <w:lang w:val="en-US" w:eastAsia="zh-CN" w:bidi="ar-SA"/>
                    </w:rPr>
                  </w:pPr>
                  <w:r>
                    <w:rPr>
                      <w:rStyle w:val="32"/>
                      <w:rFonts w:hint="eastAsia" w:ascii="宋体" w:hAnsi="宋体" w:eastAsia="宋体" w:cs="Times New Roman"/>
                      <w:color w:val="auto"/>
                      <w:kern w:val="2"/>
                      <w:sz w:val="21"/>
                      <w:szCs w:val="21"/>
                      <w:lang w:val="en-US" w:eastAsia="zh-CN" w:bidi="ar-SA"/>
                    </w:rPr>
                    <w:t>/</w:t>
                  </w:r>
                </w:p>
              </w:tc>
              <w:tc>
                <w:tcPr>
                  <w:tcW w:w="618" w:type="pct"/>
                  <w:noWrap w:val="0"/>
                  <w:vAlign w:val="center"/>
                </w:tcPr>
                <w:p w14:paraId="72DD77FE">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bCs w:val="0"/>
                      <w:color w:val="auto"/>
                      <w:kern w:val="2"/>
                      <w:sz w:val="21"/>
                      <w:szCs w:val="21"/>
                      <w:vertAlign w:val="baseline"/>
                      <w:lang w:val="en-US" w:eastAsia="zh-CN" w:bidi="ar-SA"/>
                    </w:rPr>
                  </w:pPr>
                  <w:r>
                    <w:rPr>
                      <w:rFonts w:hint="eastAsia" w:ascii="宋体" w:hAnsi="宋体" w:eastAsia="宋体" w:cs="宋体"/>
                      <w:bCs w:val="0"/>
                      <w:color w:val="auto"/>
                      <w:kern w:val="2"/>
                      <w:sz w:val="21"/>
                      <w:szCs w:val="21"/>
                      <w:vertAlign w:val="baseline"/>
                      <w:lang w:val="en-US" w:eastAsia="zh-CN" w:bidi="ar-SA"/>
                    </w:rPr>
                    <w:t>本项目属于电动摩托车项目，项目的建设满足环境风险管控要求。</w:t>
                  </w:r>
                </w:p>
              </w:tc>
              <w:tc>
                <w:tcPr>
                  <w:tcW w:w="278" w:type="pct"/>
                  <w:tcBorders>
                    <w:right w:val="nil"/>
                  </w:tcBorders>
                  <w:noWrap w:val="0"/>
                  <w:vAlign w:val="center"/>
                </w:tcPr>
                <w:p w14:paraId="402E3A93">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sz w:val="21"/>
                      <w:szCs w:val="21"/>
                      <w:lang w:val="en-US" w:eastAsia="zh-CN"/>
                    </w:rPr>
                    <w:t>符合</w:t>
                  </w:r>
                </w:p>
              </w:tc>
            </w:tr>
            <w:tr w14:paraId="56E298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jc w:val="center"/>
              </w:trPr>
              <w:tc>
                <w:tcPr>
                  <w:tcW w:w="677" w:type="pct"/>
                  <w:vMerge w:val="continue"/>
                  <w:tcBorders>
                    <w:left w:val="nil"/>
                    <w:right w:val="single" w:color="auto" w:sz="4" w:space="0"/>
                  </w:tcBorders>
                  <w:noWrap w:val="0"/>
                  <w:vAlign w:val="center"/>
                </w:tcPr>
                <w:p w14:paraId="709FDBF5">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21"/>
                      <w:szCs w:val="21"/>
                      <w:vertAlign w:val="baseline"/>
                      <w:lang w:val="en-US" w:eastAsia="zh-CN" w:bidi="ar-SA"/>
                    </w:rPr>
                  </w:pPr>
                </w:p>
              </w:tc>
              <w:tc>
                <w:tcPr>
                  <w:tcW w:w="237" w:type="pct"/>
                  <w:vMerge w:val="continue"/>
                  <w:tcBorders>
                    <w:left w:val="single" w:color="auto" w:sz="4" w:space="0"/>
                    <w:bottom w:val="single" w:color="auto" w:sz="4" w:space="0"/>
                  </w:tcBorders>
                  <w:noWrap w:val="0"/>
                  <w:vAlign w:val="center"/>
                </w:tcPr>
                <w:p w14:paraId="2CDB02C8">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21"/>
                      <w:szCs w:val="21"/>
                      <w:vertAlign w:val="baseline"/>
                      <w:lang w:val="en-US" w:eastAsia="zh-CN" w:bidi="ar-SA"/>
                    </w:rPr>
                  </w:pPr>
                </w:p>
              </w:tc>
              <w:tc>
                <w:tcPr>
                  <w:tcW w:w="386" w:type="pct"/>
                  <w:noWrap w:val="0"/>
                  <w:vAlign w:val="center"/>
                </w:tcPr>
                <w:p w14:paraId="652C69E6">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21"/>
                      <w:szCs w:val="21"/>
                      <w:vertAlign w:val="baseline"/>
                      <w:lang w:val="en-US" w:eastAsia="zh-CN" w:bidi="ar-SA"/>
                    </w:rPr>
                  </w:pPr>
                  <w:r>
                    <w:rPr>
                      <w:rFonts w:hint="eastAsia" w:ascii="宋体" w:hAnsi="宋体" w:eastAsia="宋体" w:cs="宋体"/>
                      <w:bCs w:val="0"/>
                      <w:color w:val="auto"/>
                      <w:kern w:val="2"/>
                      <w:sz w:val="21"/>
                      <w:szCs w:val="21"/>
                      <w:vertAlign w:val="baseline"/>
                      <w:lang w:val="en-US" w:eastAsia="zh-CN" w:bidi="ar-SA"/>
                    </w:rPr>
                    <w:t>资源开发利用效率要求</w:t>
                  </w:r>
                </w:p>
              </w:tc>
              <w:tc>
                <w:tcPr>
                  <w:tcW w:w="2802" w:type="pct"/>
                  <w:noWrap w:val="0"/>
                  <w:vAlign w:val="center"/>
                </w:tcPr>
                <w:p w14:paraId="7A1A8DF0">
                  <w:pPr>
                    <w:pStyle w:val="94"/>
                    <w:widowControl/>
                    <w:shd w:val="clear" w:color="auto" w:fill="FFFFFF"/>
                    <w:spacing w:line="240" w:lineRule="auto"/>
                    <w:ind w:firstLine="0" w:firstLineChars="0"/>
                    <w:jc w:val="left"/>
                    <w:rPr>
                      <w:rStyle w:val="32"/>
                      <w:rFonts w:ascii="宋体" w:hAnsi="宋体" w:eastAsia="宋体" w:cs="Times New Roman"/>
                      <w:color w:val="auto"/>
                      <w:kern w:val="2"/>
                      <w:sz w:val="21"/>
                      <w:szCs w:val="21"/>
                      <w:lang w:val="en-US" w:eastAsia="zh-CN" w:bidi="ar-SA"/>
                    </w:rPr>
                  </w:pPr>
                  <w:r>
                    <w:rPr>
                      <w:rStyle w:val="32"/>
                      <w:rFonts w:hint="eastAsia" w:ascii="宋体" w:hAnsi="宋体" w:eastAsia="宋体" w:cs="Times New Roman"/>
                      <w:color w:val="auto"/>
                      <w:kern w:val="2"/>
                      <w:sz w:val="21"/>
                      <w:szCs w:val="21"/>
                      <w:lang w:val="en-US" w:eastAsia="zh-CN" w:bidi="ar-SA"/>
                    </w:rPr>
                    <w:t>水资源利用效率要求</w:t>
                  </w:r>
                </w:p>
                <w:p w14:paraId="2E5C8AFC">
                  <w:pPr>
                    <w:pStyle w:val="94"/>
                    <w:widowControl/>
                    <w:shd w:val="clear" w:color="auto" w:fill="FFFFFF"/>
                    <w:spacing w:line="240" w:lineRule="auto"/>
                    <w:ind w:firstLine="0" w:firstLineChars="0"/>
                    <w:jc w:val="left"/>
                    <w:rPr>
                      <w:rStyle w:val="32"/>
                      <w:rFonts w:hint="eastAsia" w:ascii="宋体" w:hAnsi="宋体" w:eastAsia="宋体" w:cs="Times New Roman"/>
                      <w:color w:val="auto"/>
                      <w:kern w:val="2"/>
                      <w:sz w:val="21"/>
                      <w:szCs w:val="21"/>
                      <w:lang w:val="en-US" w:eastAsia="zh-CN" w:bidi="ar-SA"/>
                    </w:rPr>
                  </w:pPr>
                  <w:r>
                    <w:rPr>
                      <w:rStyle w:val="32"/>
                      <w:rFonts w:hint="eastAsia" w:ascii="宋体" w:hAnsi="宋体" w:eastAsia="宋体" w:cs="Times New Roman"/>
                      <w:color w:val="auto"/>
                      <w:kern w:val="2"/>
                      <w:sz w:val="21"/>
                      <w:szCs w:val="21"/>
                      <w:lang w:val="en-US" w:eastAsia="zh-CN" w:bidi="ar-SA"/>
                    </w:rPr>
                    <w:t>参照遂宁市总体准入要求-工业重点管控单元</w:t>
                  </w:r>
                </w:p>
                <w:p w14:paraId="3463A558">
                  <w:pPr>
                    <w:pStyle w:val="94"/>
                    <w:widowControl/>
                    <w:shd w:val="clear" w:color="auto" w:fill="FFFFFF"/>
                    <w:spacing w:line="240" w:lineRule="auto"/>
                    <w:ind w:firstLine="0" w:firstLineChars="0"/>
                    <w:jc w:val="left"/>
                    <w:rPr>
                      <w:rStyle w:val="32"/>
                      <w:rFonts w:hint="eastAsia" w:ascii="宋体" w:hAnsi="宋体" w:eastAsia="宋体" w:cs="Times New Roman"/>
                      <w:color w:val="auto"/>
                      <w:kern w:val="2"/>
                      <w:sz w:val="21"/>
                      <w:szCs w:val="21"/>
                      <w:lang w:val="en-US" w:eastAsia="zh-CN" w:bidi="ar-SA"/>
                    </w:rPr>
                  </w:pPr>
                  <w:r>
                    <w:rPr>
                      <w:rStyle w:val="32"/>
                      <w:rFonts w:hint="eastAsia" w:ascii="宋体" w:hAnsi="宋体" w:eastAsia="宋体" w:cs="Times New Roman"/>
                      <w:color w:val="auto"/>
                      <w:kern w:val="2"/>
                      <w:sz w:val="21"/>
                      <w:szCs w:val="21"/>
                      <w:lang w:val="en-US" w:eastAsia="zh-CN" w:bidi="ar-SA"/>
                    </w:rPr>
                    <w:t>地下水开采要求</w:t>
                  </w:r>
                </w:p>
                <w:p w14:paraId="4F13ED3C">
                  <w:pPr>
                    <w:pStyle w:val="94"/>
                    <w:widowControl/>
                    <w:shd w:val="clear" w:color="auto" w:fill="FFFFFF"/>
                    <w:spacing w:line="240" w:lineRule="auto"/>
                    <w:ind w:firstLine="0" w:firstLineChars="0"/>
                    <w:jc w:val="left"/>
                    <w:rPr>
                      <w:rStyle w:val="32"/>
                      <w:rFonts w:hint="eastAsia" w:ascii="宋体" w:hAnsi="宋体" w:eastAsia="宋体" w:cs="Times New Roman"/>
                      <w:color w:val="auto"/>
                      <w:kern w:val="2"/>
                      <w:sz w:val="21"/>
                      <w:szCs w:val="21"/>
                      <w:lang w:val="en-US" w:eastAsia="zh-CN" w:bidi="ar-SA"/>
                    </w:rPr>
                  </w:pPr>
                  <w:r>
                    <w:rPr>
                      <w:rStyle w:val="32"/>
                      <w:rFonts w:hint="eastAsia" w:ascii="宋体" w:hAnsi="宋体" w:eastAsia="宋体" w:cs="Times New Roman"/>
                      <w:color w:val="auto"/>
                      <w:kern w:val="2"/>
                      <w:sz w:val="21"/>
                      <w:szCs w:val="21"/>
                      <w:lang w:val="en-US" w:eastAsia="zh-CN" w:bidi="ar-SA"/>
                    </w:rPr>
                    <w:t>（1）安居区2030年地下水开采控制量保持在0.08亿m3以内。（2）全面建设节水型社会，达到合理高效用水。</w:t>
                  </w:r>
                </w:p>
                <w:p w14:paraId="1A5CB284">
                  <w:pPr>
                    <w:pStyle w:val="94"/>
                    <w:widowControl/>
                    <w:shd w:val="clear" w:color="auto" w:fill="FFFFFF"/>
                    <w:spacing w:line="240" w:lineRule="auto"/>
                    <w:ind w:firstLine="0" w:firstLineChars="0"/>
                    <w:jc w:val="left"/>
                    <w:rPr>
                      <w:rStyle w:val="32"/>
                      <w:rFonts w:hint="eastAsia" w:ascii="宋体" w:hAnsi="宋体" w:eastAsia="宋体" w:cs="Times New Roman"/>
                      <w:color w:val="auto"/>
                      <w:kern w:val="2"/>
                      <w:sz w:val="21"/>
                      <w:szCs w:val="21"/>
                      <w:lang w:val="en-US" w:eastAsia="zh-CN" w:bidi="ar-SA"/>
                    </w:rPr>
                  </w:pPr>
                  <w:r>
                    <w:rPr>
                      <w:rStyle w:val="32"/>
                      <w:rFonts w:hint="eastAsia" w:ascii="宋体" w:hAnsi="宋体" w:eastAsia="宋体" w:cs="Times New Roman"/>
                      <w:color w:val="auto"/>
                      <w:kern w:val="2"/>
                      <w:sz w:val="21"/>
                      <w:szCs w:val="21"/>
                      <w:lang w:val="en-US" w:eastAsia="zh-CN" w:bidi="ar-SA"/>
                    </w:rPr>
                    <w:t>能源利用效率要求</w:t>
                  </w:r>
                </w:p>
                <w:p w14:paraId="62818A8D">
                  <w:pPr>
                    <w:pStyle w:val="94"/>
                    <w:widowControl/>
                    <w:shd w:val="clear" w:color="auto" w:fill="FFFFFF"/>
                    <w:spacing w:line="240" w:lineRule="auto"/>
                    <w:ind w:firstLine="0" w:firstLineChars="0"/>
                    <w:jc w:val="left"/>
                    <w:rPr>
                      <w:rStyle w:val="32"/>
                      <w:rFonts w:hint="eastAsia" w:ascii="宋体" w:hAnsi="宋体" w:eastAsia="宋体" w:cs="Times New Roman"/>
                      <w:color w:val="auto"/>
                      <w:kern w:val="2"/>
                      <w:sz w:val="21"/>
                      <w:szCs w:val="21"/>
                      <w:lang w:val="en-US" w:eastAsia="zh-CN" w:bidi="ar-SA"/>
                    </w:rPr>
                  </w:pPr>
                  <w:r>
                    <w:rPr>
                      <w:rStyle w:val="32"/>
                      <w:rFonts w:hint="eastAsia" w:ascii="宋体" w:hAnsi="宋体" w:eastAsia="宋体" w:cs="Times New Roman"/>
                      <w:color w:val="auto"/>
                      <w:kern w:val="2"/>
                      <w:sz w:val="21"/>
                      <w:szCs w:val="21"/>
                      <w:lang w:val="en-US" w:eastAsia="zh-CN" w:bidi="ar-SA"/>
                    </w:rPr>
                    <w:t>参照遂宁市总体准入要求-工业重点管控单元</w:t>
                  </w:r>
                </w:p>
                <w:p w14:paraId="7BBCB5DF">
                  <w:pPr>
                    <w:pStyle w:val="94"/>
                    <w:widowControl/>
                    <w:shd w:val="clear" w:color="auto" w:fill="FFFFFF"/>
                    <w:spacing w:line="240" w:lineRule="auto"/>
                    <w:ind w:firstLine="0" w:firstLineChars="0"/>
                    <w:jc w:val="left"/>
                    <w:rPr>
                      <w:rStyle w:val="32"/>
                      <w:rFonts w:hint="eastAsia" w:ascii="宋体" w:hAnsi="宋体" w:eastAsia="宋体" w:cs="Times New Roman"/>
                      <w:color w:val="auto"/>
                      <w:kern w:val="2"/>
                      <w:sz w:val="21"/>
                      <w:szCs w:val="21"/>
                      <w:lang w:val="en-US" w:eastAsia="zh-CN" w:bidi="ar-SA"/>
                    </w:rPr>
                  </w:pPr>
                  <w:r>
                    <w:rPr>
                      <w:rStyle w:val="32"/>
                      <w:rFonts w:hint="eastAsia" w:ascii="宋体" w:hAnsi="宋体" w:eastAsia="宋体" w:cs="Times New Roman"/>
                      <w:color w:val="auto"/>
                      <w:kern w:val="2"/>
                      <w:sz w:val="21"/>
                      <w:szCs w:val="21"/>
                      <w:lang w:val="en-US" w:eastAsia="zh-CN" w:bidi="ar-SA"/>
                    </w:rPr>
                    <w:t>其他资源利用效率要求</w:t>
                  </w:r>
                </w:p>
                <w:p w14:paraId="0CD0E02D">
                  <w:pPr>
                    <w:pStyle w:val="78"/>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center"/>
                    <w:rPr>
                      <w:rStyle w:val="32"/>
                      <w:rFonts w:hint="eastAsia" w:ascii="宋体" w:hAnsi="宋体" w:eastAsia="宋体" w:cs="Times New Roman"/>
                      <w:color w:val="auto"/>
                      <w:kern w:val="2"/>
                      <w:sz w:val="21"/>
                      <w:szCs w:val="21"/>
                      <w:lang w:val="en-US" w:eastAsia="zh-CN" w:bidi="ar-SA"/>
                    </w:rPr>
                  </w:pPr>
                  <w:r>
                    <w:rPr>
                      <w:rStyle w:val="32"/>
                      <w:rFonts w:hint="eastAsia" w:ascii="宋体" w:hAnsi="宋体" w:eastAsia="宋体" w:cs="Times New Roman"/>
                      <w:color w:val="auto"/>
                      <w:kern w:val="2"/>
                      <w:sz w:val="21"/>
                      <w:szCs w:val="21"/>
                      <w:lang w:val="en-US" w:eastAsia="zh-CN" w:bidi="ar-SA"/>
                    </w:rPr>
                    <w:t>禁燃区管控要求：参照遂宁市总体准入要求-工业重点管控单元</w:t>
                  </w:r>
                </w:p>
              </w:tc>
              <w:tc>
                <w:tcPr>
                  <w:tcW w:w="618" w:type="pct"/>
                  <w:noWrap w:val="0"/>
                  <w:vAlign w:val="center"/>
                </w:tcPr>
                <w:p w14:paraId="7F118106">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bCs w:val="0"/>
                      <w:color w:val="auto"/>
                      <w:kern w:val="2"/>
                      <w:sz w:val="21"/>
                      <w:szCs w:val="21"/>
                      <w:vertAlign w:val="baseline"/>
                      <w:lang w:val="en-US" w:eastAsia="zh-CN" w:bidi="ar-SA"/>
                    </w:rPr>
                  </w:pPr>
                  <w:r>
                    <w:rPr>
                      <w:rFonts w:hint="eastAsia" w:ascii="宋体" w:hAnsi="宋体" w:cs="宋体"/>
                      <w:bCs w:val="0"/>
                      <w:color w:val="auto"/>
                      <w:kern w:val="2"/>
                      <w:sz w:val="21"/>
                      <w:szCs w:val="21"/>
                      <w:vertAlign w:val="baseline"/>
                      <w:lang w:val="en-US" w:eastAsia="zh-CN" w:bidi="ar-SA"/>
                    </w:rPr>
                    <w:t>本项目属于</w:t>
                  </w:r>
                  <w:r>
                    <w:rPr>
                      <w:rFonts w:hint="eastAsia" w:ascii="宋体" w:hAnsi="宋体" w:eastAsia="宋体" w:cs="宋体"/>
                      <w:bCs w:val="0"/>
                      <w:color w:val="auto"/>
                      <w:kern w:val="2"/>
                      <w:sz w:val="21"/>
                      <w:szCs w:val="21"/>
                      <w:vertAlign w:val="baseline"/>
                      <w:lang w:val="en-US" w:eastAsia="zh-CN" w:bidi="ar-SA"/>
                    </w:rPr>
                    <w:t>电动摩托车项目，项目属于园区重点鼓励项目，项目的建设不属于禁止和限制开发</w:t>
                  </w:r>
                  <w:r>
                    <w:rPr>
                      <w:rFonts w:hint="eastAsia" w:ascii="宋体" w:hAnsi="宋体" w:cs="宋体"/>
                      <w:bCs w:val="0"/>
                      <w:color w:val="auto"/>
                      <w:kern w:val="2"/>
                      <w:sz w:val="21"/>
                      <w:szCs w:val="21"/>
                      <w:vertAlign w:val="baseline"/>
                      <w:lang w:val="en-US" w:eastAsia="zh-CN" w:bidi="ar-SA"/>
                    </w:rPr>
                    <w:t>的</w:t>
                  </w:r>
                  <w:r>
                    <w:rPr>
                      <w:rFonts w:hint="eastAsia" w:ascii="宋体" w:hAnsi="宋体" w:eastAsia="宋体" w:cs="宋体"/>
                      <w:bCs w:val="0"/>
                      <w:color w:val="auto"/>
                      <w:kern w:val="2"/>
                      <w:sz w:val="21"/>
                      <w:szCs w:val="21"/>
                      <w:vertAlign w:val="baseline"/>
                      <w:lang w:val="en-US" w:eastAsia="zh-CN" w:bidi="ar-SA"/>
                    </w:rPr>
                    <w:t>项目，同样不属于“两高一低”项目，项目不涉及锅炉，使用能源为清洁能源电能。</w:t>
                  </w:r>
                </w:p>
              </w:tc>
              <w:tc>
                <w:tcPr>
                  <w:tcW w:w="278" w:type="pct"/>
                  <w:tcBorders>
                    <w:right w:val="nil"/>
                  </w:tcBorders>
                  <w:noWrap w:val="0"/>
                  <w:vAlign w:val="center"/>
                </w:tcPr>
                <w:p w14:paraId="5E01E017">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sz w:val="21"/>
                      <w:szCs w:val="21"/>
                      <w:lang w:val="en-US" w:eastAsia="zh-CN"/>
                    </w:rPr>
                    <w:t>符合</w:t>
                  </w:r>
                </w:p>
              </w:tc>
            </w:tr>
          </w:tbl>
          <w:p w14:paraId="0DBFBBEE">
            <w:pPr>
              <w:pStyle w:val="78"/>
              <w:ind w:left="0" w:leftChars="0" w:firstLine="0" w:firstLineChars="0"/>
              <w:rPr>
                <w:rFonts w:hint="default" w:ascii="Times New Roman" w:hAnsi="Times New Roman" w:eastAsia="宋体" w:cs="Times New Roman"/>
                <w:color w:val="auto"/>
                <w:sz w:val="21"/>
                <w:szCs w:val="21"/>
                <w:lang w:val="en-US" w:eastAsia="zh-CN"/>
              </w:rPr>
            </w:pPr>
          </w:p>
        </w:tc>
      </w:tr>
    </w:tbl>
    <w:p w14:paraId="6D14AE69">
      <w:pPr>
        <w:pStyle w:val="12"/>
        <w:rPr>
          <w:color w:val="auto"/>
        </w:rPr>
        <w:sectPr>
          <w:pgSz w:w="16838" w:h="11905" w:orient="landscape"/>
          <w:pgMar w:top="1531" w:right="1701" w:bottom="1531" w:left="1701" w:header="851" w:footer="1077" w:gutter="0"/>
          <w:pgBorders>
            <w:top w:val="none" w:sz="0" w:space="0"/>
            <w:left w:val="none" w:sz="0" w:space="0"/>
            <w:bottom w:val="none" w:sz="0" w:space="0"/>
            <w:right w:val="none" w:sz="0" w:space="0"/>
          </w:pgBorders>
          <w:pgNumType w:fmt="decimal"/>
          <w:cols w:space="0" w:num="1"/>
          <w:rtlGutter w:val="0"/>
          <w:docGrid w:linePitch="312" w:charSpace="0"/>
        </w:sectPr>
      </w:pPr>
    </w:p>
    <w:tbl>
      <w:tblPr>
        <w:tblStyle w:val="30"/>
        <w:tblW w:w="946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357"/>
        <w:gridCol w:w="8111"/>
      </w:tblGrid>
      <w:tr w14:paraId="11A1F8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57" w:type="dxa"/>
            <w:noWrap w:val="0"/>
            <w:vAlign w:val="center"/>
          </w:tcPr>
          <w:p w14:paraId="602F8E1A">
            <w:pPr>
              <w:autoSpaceDE w:val="0"/>
              <w:autoSpaceDN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其他符合性分析</w:t>
            </w:r>
          </w:p>
        </w:tc>
        <w:tc>
          <w:tcPr>
            <w:tcW w:w="8111" w:type="dxa"/>
            <w:noWrap w:val="0"/>
            <w:vAlign w:val="center"/>
          </w:tcPr>
          <w:p w14:paraId="08B74BDB">
            <w:pPr>
              <w:spacing w:line="360" w:lineRule="auto"/>
              <w:rPr>
                <w:rFonts w:hint="eastAsia" w:ascii="Times New Roman" w:hAnsi="Times New Roman" w:eastAsia="宋体" w:cs="Times New Roman"/>
                <w:b/>
                <w:bCs w:val="0"/>
                <w:color w:val="auto"/>
                <w:sz w:val="21"/>
                <w:szCs w:val="21"/>
                <w:lang w:val="en-US" w:eastAsia="zh-CN"/>
              </w:rPr>
            </w:pPr>
            <w:r>
              <w:rPr>
                <w:rFonts w:hint="eastAsia" w:cs="Times New Roman"/>
                <w:b/>
                <w:bCs w:val="0"/>
                <w:color w:val="auto"/>
                <w:sz w:val="21"/>
                <w:szCs w:val="21"/>
                <w:lang w:val="en-US" w:eastAsia="zh-CN"/>
              </w:rPr>
              <w:t>7</w:t>
            </w:r>
            <w:r>
              <w:rPr>
                <w:rFonts w:hint="eastAsia" w:ascii="Times New Roman" w:hAnsi="Times New Roman" w:eastAsia="宋体" w:cs="Times New Roman"/>
                <w:b/>
                <w:bCs w:val="0"/>
                <w:color w:val="auto"/>
                <w:sz w:val="21"/>
                <w:szCs w:val="21"/>
                <w:lang w:val="en-US" w:eastAsia="zh-CN"/>
              </w:rPr>
              <w:t>、选址合理性分析</w:t>
            </w:r>
          </w:p>
          <w:p w14:paraId="171F59AF">
            <w:pPr>
              <w:spacing w:line="360" w:lineRule="auto"/>
              <w:ind w:firstLine="420" w:firstLineChars="200"/>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①用地现状</w:t>
            </w:r>
          </w:p>
          <w:p w14:paraId="0CF2D8E2">
            <w:pPr>
              <w:spacing w:line="360" w:lineRule="auto"/>
              <w:ind w:firstLine="420" w:firstLineChars="200"/>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根据现场调查，项目拟选址厂址为规划待开发空地，场平工作已完成，无遗留环境问题。</w:t>
            </w:r>
          </w:p>
          <w:p w14:paraId="73D8D3CE">
            <w:pPr>
              <w:spacing w:line="360" w:lineRule="auto"/>
              <w:ind w:firstLine="420" w:firstLineChars="200"/>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②外环境概况</w:t>
            </w:r>
          </w:p>
          <w:p w14:paraId="264AFB61">
            <w:pPr>
              <w:spacing w:line="360" w:lineRule="auto"/>
              <w:ind w:firstLine="420" w:firstLineChars="200"/>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本项目选址于</w:t>
            </w:r>
            <w:r>
              <w:rPr>
                <w:rFonts w:hint="eastAsia" w:ascii="宋体" w:hAnsi="宋体" w:eastAsia="宋体" w:cs="宋体"/>
                <w:b w:val="0"/>
                <w:bCs/>
                <w:color w:val="auto"/>
                <w:szCs w:val="24"/>
                <w:lang w:val="en-US" w:eastAsia="zh-CN"/>
              </w:rPr>
              <w:t>安居区工业集中发展区装备制造产业园</w:t>
            </w:r>
            <w:r>
              <w:rPr>
                <w:rFonts w:hint="eastAsia" w:ascii="Times New Roman" w:hAnsi="Times New Roman" w:eastAsia="宋体" w:cs="Times New Roman"/>
                <w:b w:val="0"/>
                <w:bCs/>
                <w:color w:val="auto"/>
                <w:sz w:val="21"/>
                <w:szCs w:val="21"/>
                <w:lang w:val="en-US" w:eastAsia="zh-CN"/>
              </w:rPr>
              <w:t>，外环境关系如下：</w:t>
            </w:r>
          </w:p>
          <w:p w14:paraId="53C0502A">
            <w:pPr>
              <w:spacing w:line="360" w:lineRule="auto"/>
              <w:ind w:firstLine="422" w:firstLineChars="200"/>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bCs w:val="0"/>
                <w:color w:val="auto"/>
                <w:sz w:val="21"/>
                <w:szCs w:val="21"/>
                <w:lang w:val="en-US" w:eastAsia="zh-CN"/>
              </w:rPr>
              <w:t>北侧：</w:t>
            </w:r>
            <w:r>
              <w:rPr>
                <w:rFonts w:hint="eastAsia" w:ascii="Times New Roman" w:hAnsi="Times New Roman" w:eastAsia="宋体" w:cs="Times New Roman"/>
                <w:b w:val="0"/>
                <w:bCs/>
                <w:color w:val="auto"/>
                <w:sz w:val="21"/>
                <w:szCs w:val="21"/>
                <w:lang w:val="en-US" w:eastAsia="zh-CN"/>
              </w:rPr>
              <w:t>距本项目厂界北侧约</w:t>
            </w:r>
            <w:r>
              <w:rPr>
                <w:rFonts w:hint="eastAsia" w:cs="Times New Roman"/>
                <w:b w:val="0"/>
                <w:bCs/>
                <w:color w:val="auto"/>
                <w:sz w:val="21"/>
                <w:szCs w:val="21"/>
                <w:lang w:val="en-US" w:eastAsia="zh-CN"/>
              </w:rPr>
              <w:t>593</w:t>
            </w:r>
            <w:r>
              <w:rPr>
                <w:rFonts w:hint="eastAsia" w:ascii="Times New Roman" w:hAnsi="Times New Roman" w:eastAsia="宋体" w:cs="Times New Roman"/>
                <w:b w:val="0"/>
                <w:bCs/>
                <w:color w:val="auto"/>
                <w:sz w:val="21"/>
                <w:szCs w:val="21"/>
                <w:lang w:val="en-US" w:eastAsia="zh-CN"/>
              </w:rPr>
              <w:t>m为</w:t>
            </w:r>
            <w:r>
              <w:rPr>
                <w:rFonts w:hint="eastAsia" w:cs="Times New Roman"/>
                <w:b w:val="0"/>
                <w:bCs/>
                <w:color w:val="auto"/>
                <w:sz w:val="21"/>
                <w:szCs w:val="21"/>
                <w:lang w:val="en-US" w:eastAsia="zh-CN"/>
              </w:rPr>
              <w:t>江淮汽车储运公司；</w:t>
            </w:r>
            <w:r>
              <w:rPr>
                <w:rFonts w:hint="eastAsia" w:ascii="Times New Roman" w:hAnsi="Times New Roman" w:eastAsia="宋体" w:cs="Times New Roman"/>
                <w:b w:val="0"/>
                <w:bCs/>
                <w:color w:val="auto"/>
                <w:sz w:val="21"/>
                <w:szCs w:val="21"/>
                <w:lang w:val="en-US" w:eastAsia="zh-CN"/>
              </w:rPr>
              <w:t>北侧约</w:t>
            </w:r>
            <w:r>
              <w:rPr>
                <w:rFonts w:hint="eastAsia" w:cs="Times New Roman"/>
                <w:b w:val="0"/>
                <w:bCs/>
                <w:color w:val="auto"/>
                <w:sz w:val="21"/>
                <w:szCs w:val="21"/>
                <w:lang w:val="en-US" w:eastAsia="zh-CN"/>
              </w:rPr>
              <w:t>600</w:t>
            </w:r>
            <w:r>
              <w:rPr>
                <w:rFonts w:hint="eastAsia" w:ascii="Times New Roman" w:hAnsi="Times New Roman" w:eastAsia="宋体" w:cs="Times New Roman"/>
                <w:b w:val="0"/>
                <w:bCs/>
                <w:color w:val="auto"/>
                <w:sz w:val="21"/>
                <w:szCs w:val="21"/>
                <w:lang w:val="en-US" w:eastAsia="zh-CN"/>
              </w:rPr>
              <w:t>m为</w:t>
            </w:r>
            <w:r>
              <w:rPr>
                <w:rFonts w:hint="eastAsia" w:cs="Times New Roman"/>
                <w:b w:val="0"/>
                <w:bCs/>
                <w:color w:val="auto"/>
                <w:sz w:val="21"/>
                <w:szCs w:val="21"/>
                <w:lang w:val="en-US" w:eastAsia="zh-CN"/>
              </w:rPr>
              <w:t>万宸塑业（麻将机生产企业）</w:t>
            </w:r>
            <w:r>
              <w:rPr>
                <w:rFonts w:hint="eastAsia" w:ascii="Times New Roman" w:hAnsi="Times New Roman" w:eastAsia="宋体" w:cs="Times New Roman"/>
                <w:b w:val="0"/>
                <w:bCs/>
                <w:color w:val="auto"/>
                <w:sz w:val="21"/>
                <w:szCs w:val="21"/>
                <w:lang w:val="en-US" w:eastAsia="zh-CN"/>
              </w:rPr>
              <w:t>；东北侧约</w:t>
            </w:r>
            <w:r>
              <w:rPr>
                <w:rFonts w:hint="eastAsia" w:cs="Times New Roman"/>
                <w:b w:val="0"/>
                <w:bCs/>
                <w:color w:val="auto"/>
                <w:sz w:val="21"/>
                <w:szCs w:val="21"/>
                <w:lang w:val="en-US" w:eastAsia="zh-CN"/>
              </w:rPr>
              <w:t>620</w:t>
            </w:r>
            <w:r>
              <w:rPr>
                <w:rFonts w:hint="eastAsia" w:ascii="Times New Roman" w:hAnsi="Times New Roman" w:eastAsia="宋体" w:cs="Times New Roman"/>
                <w:b w:val="0"/>
                <w:bCs/>
                <w:color w:val="auto"/>
                <w:sz w:val="21"/>
                <w:szCs w:val="21"/>
                <w:lang w:val="en-US" w:eastAsia="zh-CN"/>
              </w:rPr>
              <w:t>m为</w:t>
            </w:r>
            <w:r>
              <w:rPr>
                <w:rFonts w:hint="eastAsia" w:cs="Times New Roman"/>
                <w:b w:val="0"/>
                <w:bCs/>
                <w:color w:val="auto"/>
                <w:sz w:val="21"/>
                <w:szCs w:val="21"/>
                <w:lang w:val="en-US" w:eastAsia="zh-CN"/>
              </w:rPr>
              <w:t>宣和麻将公司（麻将机生产企业）</w:t>
            </w:r>
            <w:r>
              <w:rPr>
                <w:rFonts w:hint="eastAsia" w:ascii="Times New Roman" w:hAnsi="Times New Roman" w:eastAsia="宋体" w:cs="Times New Roman"/>
                <w:b w:val="0"/>
                <w:bCs/>
                <w:color w:val="auto"/>
                <w:sz w:val="21"/>
                <w:szCs w:val="21"/>
                <w:lang w:val="en-US" w:eastAsia="zh-CN"/>
              </w:rPr>
              <w:t>；</w:t>
            </w:r>
          </w:p>
          <w:p w14:paraId="5CE98D38">
            <w:pPr>
              <w:spacing w:line="360" w:lineRule="auto"/>
              <w:ind w:firstLine="422" w:firstLineChars="200"/>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bCs w:val="0"/>
                <w:color w:val="auto"/>
                <w:sz w:val="21"/>
                <w:szCs w:val="21"/>
                <w:lang w:val="en-US" w:eastAsia="zh-CN"/>
              </w:rPr>
              <w:t>东侧：</w:t>
            </w:r>
            <w:r>
              <w:rPr>
                <w:rFonts w:hint="eastAsia" w:ascii="Times New Roman" w:hAnsi="Times New Roman" w:eastAsia="宋体" w:cs="Times New Roman"/>
                <w:b w:val="0"/>
                <w:bCs/>
                <w:color w:val="auto"/>
                <w:sz w:val="21"/>
                <w:szCs w:val="21"/>
                <w:lang w:val="en-US" w:eastAsia="zh-CN"/>
              </w:rPr>
              <w:t>项目东侧隔胡琴路为四川政宇电动摩托车公司，项目东侧约160m为四川凯希蜀宇摩托车有限责任公司（电动摩托车生产企业）；</w:t>
            </w:r>
          </w:p>
          <w:p w14:paraId="3293FD7A">
            <w:pPr>
              <w:spacing w:line="360" w:lineRule="auto"/>
              <w:ind w:firstLine="422" w:firstLineChars="200"/>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bCs w:val="0"/>
                <w:color w:val="auto"/>
                <w:sz w:val="21"/>
                <w:szCs w:val="21"/>
                <w:lang w:val="en-US" w:eastAsia="zh-CN"/>
              </w:rPr>
              <w:t>西侧：</w:t>
            </w:r>
            <w:r>
              <w:rPr>
                <w:rFonts w:hint="eastAsia" w:ascii="Times New Roman" w:hAnsi="Times New Roman" w:eastAsia="宋体" w:cs="Times New Roman"/>
                <w:b w:val="0"/>
                <w:bCs/>
                <w:color w:val="auto"/>
                <w:sz w:val="21"/>
                <w:szCs w:val="21"/>
                <w:lang w:val="en-US" w:eastAsia="zh-CN"/>
              </w:rPr>
              <w:t>项目西侧约</w:t>
            </w:r>
            <w:r>
              <w:rPr>
                <w:rFonts w:hint="eastAsia" w:cs="Times New Roman"/>
                <w:b w:val="0"/>
                <w:bCs/>
                <w:color w:val="auto"/>
                <w:sz w:val="21"/>
                <w:szCs w:val="21"/>
                <w:lang w:val="en-US" w:eastAsia="zh-CN"/>
              </w:rPr>
              <w:t>380</w:t>
            </w:r>
            <w:r>
              <w:rPr>
                <w:rFonts w:hint="eastAsia" w:ascii="Times New Roman" w:hAnsi="Times New Roman" w:eastAsia="宋体" w:cs="Times New Roman"/>
                <w:b w:val="0"/>
                <w:bCs/>
                <w:color w:val="auto"/>
                <w:sz w:val="21"/>
                <w:szCs w:val="21"/>
                <w:lang w:val="en-US" w:eastAsia="zh-CN"/>
              </w:rPr>
              <w:t>m为</w:t>
            </w:r>
            <w:r>
              <w:rPr>
                <w:rFonts w:hint="eastAsia" w:ascii="宋体" w:hAnsi="宋体" w:eastAsia="宋体" w:cs="宋体"/>
                <w:b w:val="0"/>
                <w:bCs/>
                <w:color w:val="auto"/>
                <w:szCs w:val="24"/>
                <w:lang w:val="en-US" w:eastAsia="zh-CN"/>
              </w:rPr>
              <w:t>工业园区中的食品工业园，是各类食品生产企业和包装企业，分别为阿宁食品、国润食品、金旺食品、思润食品、七里川、永益轩、陆媛希包装等，</w:t>
            </w:r>
            <w:r>
              <w:rPr>
                <w:rFonts w:hint="eastAsia" w:cs="Times New Roman"/>
                <w:b w:val="0"/>
                <w:bCs/>
                <w:color w:val="auto"/>
                <w:sz w:val="21"/>
                <w:szCs w:val="21"/>
                <w:lang w:val="en-US" w:eastAsia="zh-CN"/>
              </w:rPr>
              <w:t>距离西侧</w:t>
            </w:r>
            <w:r>
              <w:rPr>
                <w:rFonts w:hint="eastAsia" w:ascii="Times New Roman" w:hAnsi="Times New Roman" w:eastAsia="宋体" w:cs="Times New Roman"/>
                <w:b w:val="0"/>
                <w:bCs/>
                <w:color w:val="auto"/>
                <w:sz w:val="21"/>
                <w:szCs w:val="21"/>
                <w:lang w:val="en-US" w:eastAsia="zh-CN"/>
              </w:rPr>
              <w:t>约</w:t>
            </w:r>
            <w:r>
              <w:rPr>
                <w:rFonts w:hint="eastAsia" w:cs="Times New Roman"/>
                <w:b w:val="0"/>
                <w:bCs/>
                <w:color w:val="auto"/>
                <w:sz w:val="21"/>
                <w:szCs w:val="21"/>
                <w:lang w:val="en-US" w:eastAsia="zh-CN"/>
              </w:rPr>
              <w:t>390</w:t>
            </w:r>
            <w:r>
              <w:rPr>
                <w:rFonts w:hint="eastAsia" w:ascii="Times New Roman" w:hAnsi="Times New Roman" w:eastAsia="宋体" w:cs="Times New Roman"/>
                <w:b w:val="0"/>
                <w:bCs/>
                <w:color w:val="auto"/>
                <w:sz w:val="21"/>
                <w:szCs w:val="21"/>
                <w:lang w:val="en-US" w:eastAsia="zh-CN"/>
              </w:rPr>
              <w:t>m</w:t>
            </w:r>
            <w:r>
              <w:rPr>
                <w:rFonts w:hint="eastAsia" w:cs="Times New Roman"/>
                <w:b w:val="0"/>
                <w:bCs/>
                <w:color w:val="auto"/>
                <w:sz w:val="21"/>
                <w:szCs w:val="21"/>
                <w:lang w:val="en-US" w:eastAsia="zh-CN"/>
              </w:rPr>
              <w:t>～780</w:t>
            </w:r>
            <w:r>
              <w:rPr>
                <w:rFonts w:hint="eastAsia" w:ascii="Times New Roman" w:hAnsi="Times New Roman" w:eastAsia="宋体" w:cs="Times New Roman"/>
                <w:b w:val="0"/>
                <w:bCs/>
                <w:color w:val="auto"/>
                <w:sz w:val="21"/>
                <w:szCs w:val="21"/>
                <w:lang w:val="en-US" w:eastAsia="zh-CN"/>
              </w:rPr>
              <w:t>m</w:t>
            </w:r>
            <w:r>
              <w:rPr>
                <w:rFonts w:hint="eastAsia" w:cs="Times New Roman"/>
                <w:b w:val="0"/>
                <w:bCs/>
                <w:color w:val="auto"/>
                <w:sz w:val="21"/>
                <w:szCs w:val="21"/>
                <w:lang w:val="en-US" w:eastAsia="zh-CN"/>
              </w:rPr>
              <w:t>不等</w:t>
            </w:r>
            <w:r>
              <w:rPr>
                <w:rFonts w:hint="eastAsia" w:ascii="Times New Roman" w:hAnsi="Times New Roman" w:eastAsia="宋体" w:cs="Times New Roman"/>
                <w:b w:val="0"/>
                <w:bCs/>
                <w:color w:val="auto"/>
                <w:sz w:val="21"/>
                <w:szCs w:val="21"/>
                <w:lang w:val="en-US" w:eastAsia="zh-CN"/>
              </w:rPr>
              <w:t>；华控监测中心，现为空置状态</w:t>
            </w:r>
          </w:p>
          <w:p w14:paraId="063CD060">
            <w:pPr>
              <w:spacing w:line="360" w:lineRule="auto"/>
              <w:ind w:firstLine="422" w:firstLineChars="200"/>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bCs w:val="0"/>
                <w:color w:val="auto"/>
                <w:sz w:val="21"/>
                <w:szCs w:val="21"/>
                <w:lang w:val="en-US" w:eastAsia="zh-CN"/>
              </w:rPr>
              <w:t>南侧：</w:t>
            </w:r>
            <w:r>
              <w:rPr>
                <w:rFonts w:hint="eastAsia" w:ascii="Times New Roman" w:hAnsi="Times New Roman" w:eastAsia="宋体" w:cs="Times New Roman"/>
                <w:b w:val="0"/>
                <w:bCs/>
                <w:color w:val="auto"/>
                <w:sz w:val="21"/>
                <w:szCs w:val="21"/>
                <w:lang w:val="en-US" w:eastAsia="zh-CN"/>
              </w:rPr>
              <w:t>项目南侧</w:t>
            </w:r>
            <w:r>
              <w:rPr>
                <w:rFonts w:hint="eastAsia" w:cs="Times New Roman"/>
                <w:b w:val="0"/>
                <w:bCs/>
                <w:color w:val="auto"/>
                <w:sz w:val="21"/>
                <w:szCs w:val="21"/>
                <w:lang w:val="en-US" w:eastAsia="zh-CN"/>
              </w:rPr>
              <w:t>隔潮新路</w:t>
            </w:r>
            <w:r>
              <w:rPr>
                <w:rFonts w:hint="eastAsia" w:ascii="Times New Roman" w:hAnsi="Times New Roman" w:eastAsia="宋体" w:cs="Times New Roman"/>
                <w:b w:val="0"/>
                <w:bCs/>
                <w:color w:val="auto"/>
                <w:sz w:val="21"/>
                <w:szCs w:val="21"/>
                <w:lang w:val="en-US" w:eastAsia="zh-CN"/>
              </w:rPr>
              <w:t>为</w:t>
            </w:r>
            <w:r>
              <w:rPr>
                <w:rFonts w:hint="eastAsia" w:ascii="宋体" w:hAnsi="宋体" w:eastAsia="宋体" w:cs="宋体"/>
                <w:bCs w:val="0"/>
                <w:color w:val="auto"/>
                <w:kern w:val="2"/>
                <w:sz w:val="21"/>
                <w:szCs w:val="21"/>
                <w:vertAlign w:val="baseline"/>
                <w:lang w:val="en-US" w:eastAsia="zh-CN" w:bidi="ar-SA"/>
              </w:rPr>
              <w:t>四川坤天新能源科技有限公司（电池制造）</w:t>
            </w:r>
            <w:r>
              <w:rPr>
                <w:rFonts w:hint="eastAsia" w:ascii="Times New Roman" w:hAnsi="Times New Roman" w:eastAsia="宋体" w:cs="Times New Roman"/>
                <w:b w:val="0"/>
                <w:bCs/>
                <w:color w:val="auto"/>
                <w:sz w:val="21"/>
                <w:szCs w:val="21"/>
                <w:lang w:val="en-US" w:eastAsia="zh-CN"/>
              </w:rPr>
              <w:t>；南侧约</w:t>
            </w:r>
            <w:r>
              <w:rPr>
                <w:rFonts w:hint="eastAsia" w:cs="Times New Roman"/>
                <w:b w:val="0"/>
                <w:bCs/>
                <w:color w:val="auto"/>
                <w:sz w:val="21"/>
                <w:szCs w:val="21"/>
                <w:lang w:val="en-US" w:eastAsia="zh-CN"/>
              </w:rPr>
              <w:t>244</w:t>
            </w:r>
            <w:r>
              <w:rPr>
                <w:rFonts w:hint="eastAsia" w:ascii="Times New Roman" w:hAnsi="Times New Roman" w:eastAsia="宋体" w:cs="Times New Roman"/>
                <w:b w:val="0"/>
                <w:bCs/>
                <w:color w:val="auto"/>
                <w:sz w:val="21"/>
                <w:szCs w:val="21"/>
                <w:lang w:val="en-US" w:eastAsia="zh-CN"/>
              </w:rPr>
              <w:t>m为纵港智造城</w:t>
            </w:r>
            <w:r>
              <w:rPr>
                <w:rFonts w:hint="eastAsia" w:cs="Times New Roman"/>
                <w:b w:val="0"/>
                <w:bCs/>
                <w:color w:val="auto"/>
                <w:sz w:val="21"/>
                <w:szCs w:val="21"/>
                <w:lang w:val="en-US" w:eastAsia="zh-CN"/>
              </w:rPr>
              <w:t>，</w:t>
            </w:r>
            <w:r>
              <w:rPr>
                <w:rFonts w:hint="eastAsia" w:ascii="Times New Roman" w:hAnsi="Times New Roman" w:eastAsia="宋体" w:cs="Times New Roman"/>
                <w:b w:val="0"/>
                <w:bCs/>
                <w:color w:val="auto"/>
                <w:sz w:val="21"/>
                <w:szCs w:val="21"/>
                <w:lang w:val="en-US" w:eastAsia="zh-CN"/>
              </w:rPr>
              <w:t>纵港智造城内为各类理牌机及各类配件生产企业；</w:t>
            </w:r>
            <w:r>
              <w:rPr>
                <w:rFonts w:hint="eastAsia" w:cs="Times New Roman"/>
                <w:b w:val="0"/>
                <w:bCs/>
                <w:color w:val="auto"/>
                <w:sz w:val="21"/>
                <w:szCs w:val="21"/>
                <w:lang w:val="en-US" w:eastAsia="zh-CN"/>
              </w:rPr>
              <w:t>东南</w:t>
            </w:r>
            <w:r>
              <w:rPr>
                <w:rFonts w:hint="eastAsia" w:ascii="Times New Roman" w:hAnsi="Times New Roman" w:eastAsia="宋体" w:cs="Times New Roman"/>
                <w:b w:val="0"/>
                <w:bCs/>
                <w:color w:val="auto"/>
                <w:sz w:val="21"/>
                <w:szCs w:val="21"/>
                <w:lang w:val="en-US" w:eastAsia="zh-CN"/>
              </w:rPr>
              <w:t>侧约</w:t>
            </w:r>
            <w:r>
              <w:rPr>
                <w:rFonts w:hint="eastAsia" w:cs="Times New Roman"/>
                <w:b w:val="0"/>
                <w:bCs/>
                <w:color w:val="auto"/>
                <w:sz w:val="21"/>
                <w:szCs w:val="21"/>
                <w:lang w:val="en-US" w:eastAsia="zh-CN"/>
              </w:rPr>
              <w:t>330</w:t>
            </w:r>
            <w:r>
              <w:rPr>
                <w:rFonts w:hint="eastAsia" w:ascii="Times New Roman" w:hAnsi="Times New Roman" w:eastAsia="宋体" w:cs="Times New Roman"/>
                <w:b w:val="0"/>
                <w:bCs/>
                <w:color w:val="auto"/>
                <w:sz w:val="21"/>
                <w:szCs w:val="21"/>
                <w:lang w:val="en-US" w:eastAsia="zh-CN"/>
              </w:rPr>
              <w:t>m为</w:t>
            </w:r>
            <w:r>
              <w:rPr>
                <w:rFonts w:hint="default" w:ascii="Times New Roman" w:hAnsi="Times New Roman" w:eastAsia="宋体" w:cs="Times New Roman"/>
                <w:b w:val="0"/>
                <w:bCs/>
                <w:color w:val="auto"/>
                <w:sz w:val="21"/>
                <w:szCs w:val="21"/>
                <w:lang w:val="en-US" w:eastAsia="zh-CN"/>
              </w:rPr>
              <w:fldChar w:fldCharType="begin"/>
            </w:r>
            <w:r>
              <w:rPr>
                <w:rFonts w:hint="default" w:ascii="Times New Roman" w:hAnsi="Times New Roman" w:eastAsia="宋体" w:cs="Times New Roman"/>
                <w:b w:val="0"/>
                <w:bCs/>
                <w:color w:val="auto"/>
                <w:sz w:val="21"/>
                <w:szCs w:val="21"/>
                <w:lang w:val="en-US" w:eastAsia="zh-CN"/>
              </w:rPr>
              <w:instrText xml:space="preserve"> HYPERLINK "https://aiqicha.baidu.com/detail/compinfo?pid=xlTM-TogKuTw3Bs2uv-85d-v6Ubp43B2Ywmd&amp;pd=aen&amp;from=ps&amp;query=%E5%B9%BF%E5%8F%91%E8%BE%90%E7%85%A7" \t "https://www.baidu.com/_blank" </w:instrText>
            </w:r>
            <w:r>
              <w:rPr>
                <w:rFonts w:hint="default" w:ascii="Times New Roman" w:hAnsi="Times New Roman" w:eastAsia="宋体" w:cs="Times New Roman"/>
                <w:b w:val="0"/>
                <w:bCs/>
                <w:color w:val="auto"/>
                <w:sz w:val="21"/>
                <w:szCs w:val="21"/>
                <w:lang w:val="en-US" w:eastAsia="zh-CN"/>
              </w:rPr>
              <w:fldChar w:fldCharType="separate"/>
            </w:r>
            <w:r>
              <w:rPr>
                <w:rFonts w:hint="default" w:ascii="Times New Roman" w:hAnsi="Times New Roman" w:eastAsia="宋体" w:cs="Times New Roman"/>
                <w:b w:val="0"/>
                <w:bCs/>
                <w:color w:val="auto"/>
                <w:sz w:val="21"/>
                <w:szCs w:val="21"/>
                <w:lang w:val="en-US" w:eastAsia="zh-CN"/>
              </w:rPr>
              <w:t>四川广发辐照科技有限公司</w:t>
            </w:r>
            <w:r>
              <w:rPr>
                <w:rFonts w:hint="default" w:ascii="Times New Roman" w:hAnsi="Times New Roman" w:eastAsia="宋体" w:cs="Times New Roman"/>
                <w:b w:val="0"/>
                <w:bCs/>
                <w:color w:val="auto"/>
                <w:sz w:val="21"/>
                <w:szCs w:val="21"/>
                <w:lang w:val="en-US" w:eastAsia="zh-CN"/>
              </w:rPr>
              <w:fldChar w:fldCharType="end"/>
            </w:r>
            <w:r>
              <w:rPr>
                <w:rFonts w:hint="eastAsia" w:cs="Times New Roman"/>
                <w:b w:val="0"/>
                <w:bCs/>
                <w:color w:val="auto"/>
                <w:sz w:val="21"/>
                <w:szCs w:val="21"/>
                <w:lang w:val="en-US" w:eastAsia="zh-CN"/>
              </w:rPr>
              <w:t>；东南</w:t>
            </w:r>
            <w:r>
              <w:rPr>
                <w:rFonts w:hint="eastAsia" w:ascii="Times New Roman" w:hAnsi="Times New Roman" w:eastAsia="宋体" w:cs="Times New Roman"/>
                <w:b w:val="0"/>
                <w:bCs/>
                <w:color w:val="auto"/>
                <w:sz w:val="21"/>
                <w:szCs w:val="21"/>
                <w:lang w:val="en-US" w:eastAsia="zh-CN"/>
              </w:rPr>
              <w:t>侧约445m为华控监测中心，现为空置状态</w:t>
            </w:r>
            <w:r>
              <w:rPr>
                <w:rFonts w:hint="eastAsia" w:cs="Times New Roman"/>
                <w:b w:val="0"/>
                <w:bCs/>
                <w:color w:val="auto"/>
                <w:sz w:val="21"/>
                <w:szCs w:val="21"/>
                <w:lang w:val="en-US" w:eastAsia="zh-CN"/>
              </w:rPr>
              <w:t>；南侧约460～700</w:t>
            </w:r>
            <w:r>
              <w:rPr>
                <w:rFonts w:hint="eastAsia" w:ascii="Times New Roman" w:hAnsi="Times New Roman" w:eastAsia="宋体" w:cs="Times New Roman"/>
                <w:b w:val="0"/>
                <w:bCs/>
                <w:color w:val="auto"/>
                <w:sz w:val="21"/>
                <w:szCs w:val="21"/>
                <w:lang w:val="en-US" w:eastAsia="zh-CN"/>
              </w:rPr>
              <w:t>m为虹尊</w:t>
            </w:r>
            <w:r>
              <w:rPr>
                <w:rFonts w:hint="eastAsia" w:cs="Times New Roman"/>
                <w:b w:val="0"/>
                <w:bCs/>
                <w:color w:val="auto"/>
                <w:sz w:val="21"/>
                <w:szCs w:val="21"/>
                <w:lang w:val="en-US" w:eastAsia="zh-CN"/>
              </w:rPr>
              <w:t>、</w:t>
            </w:r>
            <w:r>
              <w:rPr>
                <w:rFonts w:hint="eastAsia" w:ascii="Times New Roman" w:hAnsi="Times New Roman" w:eastAsia="宋体" w:cs="Times New Roman"/>
                <w:b w:val="0"/>
                <w:bCs/>
                <w:color w:val="auto"/>
                <w:sz w:val="21"/>
                <w:szCs w:val="21"/>
                <w:lang w:val="en-US" w:eastAsia="zh-CN"/>
              </w:rPr>
              <w:t>双胜</w:t>
            </w:r>
            <w:r>
              <w:rPr>
                <w:rFonts w:hint="eastAsia" w:cs="Times New Roman"/>
                <w:b w:val="0"/>
                <w:bCs/>
                <w:color w:val="auto"/>
                <w:sz w:val="21"/>
                <w:szCs w:val="21"/>
                <w:lang w:val="en-US" w:eastAsia="zh-CN"/>
              </w:rPr>
              <w:t>、驿兴传飞等电动摩托车生产企业和欧贝、遂兴科技等</w:t>
            </w:r>
            <w:r>
              <w:rPr>
                <w:rFonts w:hint="eastAsia" w:ascii="Times New Roman" w:hAnsi="Times New Roman" w:eastAsia="宋体" w:cs="Times New Roman"/>
                <w:b w:val="0"/>
                <w:bCs/>
                <w:color w:val="auto"/>
                <w:sz w:val="21"/>
                <w:szCs w:val="21"/>
                <w:lang w:val="en-US" w:eastAsia="zh-CN"/>
              </w:rPr>
              <w:t>机械</w:t>
            </w:r>
            <w:r>
              <w:rPr>
                <w:rFonts w:hint="eastAsia" w:cs="Times New Roman"/>
                <w:b w:val="0"/>
                <w:bCs/>
                <w:color w:val="auto"/>
                <w:sz w:val="21"/>
                <w:szCs w:val="21"/>
                <w:lang w:val="en-US" w:eastAsia="zh-CN"/>
              </w:rPr>
              <w:t>制造</w:t>
            </w:r>
            <w:r>
              <w:rPr>
                <w:rFonts w:hint="eastAsia" w:ascii="Times New Roman" w:hAnsi="Times New Roman" w:eastAsia="宋体" w:cs="Times New Roman"/>
                <w:b w:val="0"/>
                <w:bCs/>
                <w:color w:val="auto"/>
                <w:sz w:val="21"/>
                <w:szCs w:val="21"/>
                <w:lang w:val="en-US" w:eastAsia="zh-CN"/>
              </w:rPr>
              <w:t>企业；</w:t>
            </w:r>
          </w:p>
          <w:p w14:paraId="0C0AF567">
            <w:pPr>
              <w:spacing w:line="360" w:lineRule="auto"/>
              <w:ind w:firstLine="422" w:firstLineChars="200"/>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bCs w:val="0"/>
                <w:color w:val="auto"/>
                <w:sz w:val="21"/>
                <w:szCs w:val="21"/>
                <w:lang w:val="en-US" w:eastAsia="zh-CN"/>
              </w:rPr>
              <w:t>周边敏感点：</w:t>
            </w:r>
            <w:r>
              <w:rPr>
                <w:rFonts w:hint="eastAsia" w:ascii="Times New Roman" w:hAnsi="Times New Roman" w:eastAsia="宋体" w:cs="Times New Roman"/>
                <w:b w:val="0"/>
                <w:bCs/>
                <w:color w:val="auto"/>
                <w:sz w:val="21"/>
                <w:szCs w:val="21"/>
                <w:lang w:val="en-US" w:eastAsia="zh-CN"/>
              </w:rPr>
              <w:t>根据现场调查，项目周边主要为工业、企业，500m范围内</w:t>
            </w:r>
            <w:r>
              <w:rPr>
                <w:rFonts w:hint="eastAsia" w:cs="Times New Roman"/>
                <w:b w:val="0"/>
                <w:bCs/>
                <w:color w:val="auto"/>
                <w:sz w:val="21"/>
                <w:szCs w:val="21"/>
                <w:lang w:val="en-US" w:eastAsia="zh-CN"/>
              </w:rPr>
              <w:t>无敏感点</w:t>
            </w:r>
            <w:r>
              <w:rPr>
                <w:rFonts w:hint="eastAsia" w:ascii="Times New Roman" w:hAnsi="Times New Roman" w:eastAsia="宋体" w:cs="Times New Roman"/>
                <w:b w:val="0"/>
                <w:bCs/>
                <w:color w:val="auto"/>
                <w:sz w:val="21"/>
                <w:szCs w:val="21"/>
                <w:lang w:val="en-US" w:eastAsia="zh-CN"/>
              </w:rPr>
              <w:t>。</w:t>
            </w:r>
          </w:p>
          <w:p w14:paraId="01336774">
            <w:pPr>
              <w:spacing w:line="360" w:lineRule="auto"/>
              <w:ind w:firstLine="420" w:firstLineChars="200"/>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本项目外环境情况见下表所示。</w:t>
            </w:r>
          </w:p>
          <w:p w14:paraId="288A10C7">
            <w:pPr>
              <w:snapToGrid w:val="0"/>
              <w:spacing w:before="120" w:beforeLines="50"/>
              <w:jc w:val="center"/>
              <w:rPr>
                <w:rFonts w:hint="eastAsia"/>
                <w:b/>
                <w:color w:val="auto"/>
                <w:sz w:val="21"/>
                <w:szCs w:val="21"/>
                <w:lang w:val="en-US" w:eastAsia="zh-CN"/>
              </w:rPr>
            </w:pPr>
            <w:r>
              <w:rPr>
                <w:rFonts w:hint="eastAsia"/>
                <w:b/>
                <w:color w:val="auto"/>
                <w:sz w:val="21"/>
                <w:szCs w:val="21"/>
                <w:lang w:val="en-US" w:eastAsia="zh-CN"/>
              </w:rPr>
              <w:t>表1-7   项目周边外环境关系情况一览表</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5"/>
              <w:gridCol w:w="2454"/>
              <w:gridCol w:w="899"/>
              <w:gridCol w:w="1314"/>
              <w:gridCol w:w="1314"/>
              <w:gridCol w:w="1316"/>
            </w:tblGrid>
            <w:tr w14:paraId="3F2D0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noWrap w:val="0"/>
                  <w:vAlign w:val="center"/>
                </w:tcPr>
                <w:p w14:paraId="131194AE">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序号</w:t>
                  </w:r>
                </w:p>
              </w:tc>
              <w:tc>
                <w:tcPr>
                  <w:tcW w:w="1556" w:type="pct"/>
                  <w:noWrap w:val="0"/>
                  <w:vAlign w:val="center"/>
                </w:tcPr>
                <w:p w14:paraId="67B0AF37">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外环境关系</w:t>
                  </w:r>
                </w:p>
              </w:tc>
              <w:tc>
                <w:tcPr>
                  <w:tcW w:w="570" w:type="pct"/>
                  <w:noWrap w:val="0"/>
                  <w:vAlign w:val="center"/>
                </w:tcPr>
                <w:p w14:paraId="19789D61">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方位</w:t>
                  </w:r>
                </w:p>
              </w:tc>
              <w:tc>
                <w:tcPr>
                  <w:tcW w:w="833" w:type="pct"/>
                  <w:noWrap w:val="0"/>
                  <w:vAlign w:val="center"/>
                </w:tcPr>
                <w:p w14:paraId="6CDF8A1B">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规模</w:t>
                  </w:r>
                </w:p>
              </w:tc>
              <w:tc>
                <w:tcPr>
                  <w:tcW w:w="833" w:type="pct"/>
                  <w:noWrap w:val="0"/>
                  <w:vAlign w:val="center"/>
                </w:tcPr>
                <w:p w14:paraId="07AE4E4B">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与本项目厂界距离（m）</w:t>
                  </w:r>
                </w:p>
              </w:tc>
              <w:tc>
                <w:tcPr>
                  <w:tcW w:w="834" w:type="pct"/>
                  <w:noWrap w:val="0"/>
                  <w:vAlign w:val="center"/>
                </w:tcPr>
                <w:p w14:paraId="1DD57B12">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备注</w:t>
                  </w:r>
                </w:p>
              </w:tc>
            </w:tr>
            <w:tr w14:paraId="75CC6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noWrap w:val="0"/>
                  <w:vAlign w:val="center"/>
                </w:tcPr>
                <w:p w14:paraId="212B8D22">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1</w:t>
                  </w:r>
                </w:p>
              </w:tc>
              <w:tc>
                <w:tcPr>
                  <w:tcW w:w="1556" w:type="pct"/>
                  <w:noWrap w:val="0"/>
                  <w:vAlign w:val="center"/>
                </w:tcPr>
                <w:p w14:paraId="41DEDFA9">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江淮汽车储运公司</w:t>
                  </w:r>
                </w:p>
              </w:tc>
              <w:tc>
                <w:tcPr>
                  <w:tcW w:w="570" w:type="pct"/>
                  <w:noWrap w:val="0"/>
                  <w:vAlign w:val="center"/>
                </w:tcPr>
                <w:p w14:paraId="6850D37E">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北</w:t>
                  </w:r>
                </w:p>
              </w:tc>
              <w:tc>
                <w:tcPr>
                  <w:tcW w:w="833" w:type="pct"/>
                  <w:noWrap w:val="0"/>
                  <w:vAlign w:val="center"/>
                </w:tcPr>
                <w:p w14:paraId="5D40B664">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员工约50人</w:t>
                  </w:r>
                </w:p>
              </w:tc>
              <w:tc>
                <w:tcPr>
                  <w:tcW w:w="833" w:type="pct"/>
                  <w:noWrap w:val="0"/>
                  <w:vAlign w:val="center"/>
                </w:tcPr>
                <w:p w14:paraId="1E45BAC9">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593</w:t>
                  </w:r>
                </w:p>
              </w:tc>
              <w:tc>
                <w:tcPr>
                  <w:tcW w:w="834" w:type="pct"/>
                  <w:noWrap w:val="0"/>
                  <w:vAlign w:val="center"/>
                </w:tcPr>
                <w:p w14:paraId="52087E75">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物流公司</w:t>
                  </w:r>
                </w:p>
              </w:tc>
            </w:tr>
            <w:tr w14:paraId="201B0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noWrap w:val="0"/>
                  <w:vAlign w:val="center"/>
                </w:tcPr>
                <w:p w14:paraId="7C47E302">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2</w:t>
                  </w:r>
                </w:p>
              </w:tc>
              <w:tc>
                <w:tcPr>
                  <w:tcW w:w="1556" w:type="pct"/>
                  <w:noWrap w:val="0"/>
                  <w:vAlign w:val="center"/>
                </w:tcPr>
                <w:p w14:paraId="14333B78">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万宸塑业</w:t>
                  </w:r>
                </w:p>
              </w:tc>
              <w:tc>
                <w:tcPr>
                  <w:tcW w:w="570" w:type="pct"/>
                  <w:noWrap w:val="0"/>
                  <w:vAlign w:val="center"/>
                </w:tcPr>
                <w:p w14:paraId="24F38775">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北</w:t>
                  </w:r>
                </w:p>
              </w:tc>
              <w:tc>
                <w:tcPr>
                  <w:tcW w:w="833" w:type="pct"/>
                  <w:noWrap w:val="0"/>
                  <w:vAlign w:val="center"/>
                </w:tcPr>
                <w:p w14:paraId="6B30454E">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员工约150人</w:t>
                  </w:r>
                </w:p>
              </w:tc>
              <w:tc>
                <w:tcPr>
                  <w:tcW w:w="833" w:type="pct"/>
                  <w:noWrap w:val="0"/>
                  <w:vAlign w:val="center"/>
                </w:tcPr>
                <w:p w14:paraId="5242D071">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600</w:t>
                  </w:r>
                </w:p>
              </w:tc>
              <w:tc>
                <w:tcPr>
                  <w:tcW w:w="834" w:type="pct"/>
                  <w:noWrap w:val="0"/>
                  <w:vAlign w:val="center"/>
                </w:tcPr>
                <w:p w14:paraId="70CDB303">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麻将机生产企业</w:t>
                  </w:r>
                </w:p>
              </w:tc>
            </w:tr>
            <w:tr w14:paraId="57644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noWrap w:val="0"/>
                  <w:vAlign w:val="center"/>
                </w:tcPr>
                <w:p w14:paraId="53374EE8">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3</w:t>
                  </w:r>
                </w:p>
              </w:tc>
              <w:tc>
                <w:tcPr>
                  <w:tcW w:w="1556" w:type="pct"/>
                  <w:noWrap w:val="0"/>
                  <w:vAlign w:val="center"/>
                </w:tcPr>
                <w:p w14:paraId="69635298">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宣和麻将</w:t>
                  </w:r>
                </w:p>
              </w:tc>
              <w:tc>
                <w:tcPr>
                  <w:tcW w:w="570" w:type="pct"/>
                  <w:noWrap w:val="0"/>
                  <w:vAlign w:val="center"/>
                </w:tcPr>
                <w:p w14:paraId="02873DD5">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东北</w:t>
                  </w:r>
                </w:p>
              </w:tc>
              <w:tc>
                <w:tcPr>
                  <w:tcW w:w="833" w:type="pct"/>
                  <w:noWrap w:val="0"/>
                  <w:vAlign w:val="center"/>
                </w:tcPr>
                <w:p w14:paraId="6B5A5B00">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员工约100人</w:t>
                  </w:r>
                </w:p>
              </w:tc>
              <w:tc>
                <w:tcPr>
                  <w:tcW w:w="833" w:type="pct"/>
                  <w:noWrap w:val="0"/>
                  <w:vAlign w:val="center"/>
                </w:tcPr>
                <w:p w14:paraId="109B463F">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620</w:t>
                  </w:r>
                </w:p>
              </w:tc>
              <w:tc>
                <w:tcPr>
                  <w:tcW w:w="834" w:type="pct"/>
                  <w:noWrap w:val="0"/>
                  <w:vAlign w:val="center"/>
                </w:tcPr>
                <w:p w14:paraId="2387C4D5">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麻将机生产企业</w:t>
                  </w:r>
                </w:p>
              </w:tc>
            </w:tr>
            <w:tr w14:paraId="71A94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noWrap w:val="0"/>
                  <w:vAlign w:val="center"/>
                </w:tcPr>
                <w:p w14:paraId="5ACF9687">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4</w:t>
                  </w:r>
                </w:p>
              </w:tc>
              <w:tc>
                <w:tcPr>
                  <w:tcW w:w="1556" w:type="pct"/>
                  <w:noWrap w:val="0"/>
                  <w:vAlign w:val="center"/>
                </w:tcPr>
                <w:p w14:paraId="384F62C6">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四川政宇</w:t>
                  </w:r>
                </w:p>
              </w:tc>
              <w:tc>
                <w:tcPr>
                  <w:tcW w:w="570" w:type="pct"/>
                  <w:noWrap w:val="0"/>
                  <w:vAlign w:val="center"/>
                </w:tcPr>
                <w:p w14:paraId="2ADDAFE7">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东</w:t>
                  </w:r>
                </w:p>
              </w:tc>
              <w:tc>
                <w:tcPr>
                  <w:tcW w:w="833" w:type="pct"/>
                  <w:noWrap w:val="0"/>
                  <w:vAlign w:val="center"/>
                </w:tcPr>
                <w:p w14:paraId="21557288">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员工约100人</w:t>
                  </w:r>
                </w:p>
              </w:tc>
              <w:tc>
                <w:tcPr>
                  <w:tcW w:w="833" w:type="pct"/>
                  <w:noWrap w:val="0"/>
                  <w:vAlign w:val="center"/>
                </w:tcPr>
                <w:p w14:paraId="68D4FC8D">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45</w:t>
                  </w:r>
                </w:p>
              </w:tc>
              <w:tc>
                <w:tcPr>
                  <w:tcW w:w="834" w:type="pct"/>
                  <w:vMerge w:val="restart"/>
                  <w:noWrap w:val="0"/>
                  <w:vAlign w:val="center"/>
                </w:tcPr>
                <w:p w14:paraId="79CD5D5B">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电动摩托车生产企业</w:t>
                  </w:r>
                </w:p>
              </w:tc>
            </w:tr>
            <w:tr w14:paraId="0921B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noWrap w:val="0"/>
                  <w:vAlign w:val="center"/>
                </w:tcPr>
                <w:p w14:paraId="20BAFAF0">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5</w:t>
                  </w:r>
                </w:p>
              </w:tc>
              <w:tc>
                <w:tcPr>
                  <w:tcW w:w="1556" w:type="pct"/>
                  <w:noWrap w:val="0"/>
                  <w:vAlign w:val="center"/>
                </w:tcPr>
                <w:p w14:paraId="30B3BAF5">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凯希蜀宇</w:t>
                  </w:r>
                </w:p>
              </w:tc>
              <w:tc>
                <w:tcPr>
                  <w:tcW w:w="570" w:type="pct"/>
                  <w:noWrap w:val="0"/>
                  <w:vAlign w:val="center"/>
                </w:tcPr>
                <w:p w14:paraId="03B544BB">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东</w:t>
                  </w:r>
                </w:p>
              </w:tc>
              <w:tc>
                <w:tcPr>
                  <w:tcW w:w="833" w:type="pct"/>
                  <w:noWrap w:val="0"/>
                  <w:vAlign w:val="center"/>
                </w:tcPr>
                <w:p w14:paraId="3EFBA5D0">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员工约100人</w:t>
                  </w:r>
                </w:p>
              </w:tc>
              <w:tc>
                <w:tcPr>
                  <w:tcW w:w="833" w:type="pct"/>
                  <w:noWrap w:val="0"/>
                  <w:vAlign w:val="center"/>
                </w:tcPr>
                <w:p w14:paraId="2A438432">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156</w:t>
                  </w:r>
                </w:p>
              </w:tc>
              <w:tc>
                <w:tcPr>
                  <w:tcW w:w="834" w:type="pct"/>
                  <w:vMerge w:val="continue"/>
                  <w:noWrap w:val="0"/>
                  <w:vAlign w:val="center"/>
                </w:tcPr>
                <w:p w14:paraId="235CACC6">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18"/>
                      <w:szCs w:val="18"/>
                      <w:vertAlign w:val="baseline"/>
                      <w:lang w:val="en-US" w:eastAsia="zh-CN" w:bidi="ar-SA"/>
                    </w:rPr>
                  </w:pPr>
                </w:p>
              </w:tc>
            </w:tr>
            <w:tr w14:paraId="7AF22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noWrap w:val="0"/>
                  <w:vAlign w:val="center"/>
                </w:tcPr>
                <w:p w14:paraId="091228C0">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6</w:t>
                  </w:r>
                </w:p>
              </w:tc>
              <w:tc>
                <w:tcPr>
                  <w:tcW w:w="1556" w:type="pct"/>
                  <w:noWrap w:val="0"/>
                  <w:vAlign w:val="center"/>
                </w:tcPr>
                <w:p w14:paraId="1D450A45">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阿宁食品</w:t>
                  </w:r>
                </w:p>
              </w:tc>
              <w:tc>
                <w:tcPr>
                  <w:tcW w:w="570" w:type="pct"/>
                  <w:noWrap w:val="0"/>
                  <w:vAlign w:val="center"/>
                </w:tcPr>
                <w:p w14:paraId="2188638C">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西北</w:t>
                  </w:r>
                </w:p>
              </w:tc>
              <w:tc>
                <w:tcPr>
                  <w:tcW w:w="833" w:type="pct"/>
                  <w:noWrap w:val="0"/>
                  <w:vAlign w:val="center"/>
                </w:tcPr>
                <w:p w14:paraId="61E28451">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员工约400人</w:t>
                  </w:r>
                </w:p>
              </w:tc>
              <w:tc>
                <w:tcPr>
                  <w:tcW w:w="833" w:type="pct"/>
                  <w:noWrap w:val="0"/>
                  <w:vAlign w:val="center"/>
                </w:tcPr>
                <w:p w14:paraId="538977F7">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400</w:t>
                  </w:r>
                </w:p>
              </w:tc>
              <w:tc>
                <w:tcPr>
                  <w:tcW w:w="834" w:type="pct"/>
                  <w:vMerge w:val="restart"/>
                  <w:noWrap w:val="0"/>
                  <w:vAlign w:val="center"/>
                </w:tcPr>
                <w:p w14:paraId="682A96DC">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食品企业</w:t>
                  </w:r>
                </w:p>
              </w:tc>
            </w:tr>
            <w:tr w14:paraId="2D1A0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noWrap w:val="0"/>
                  <w:vAlign w:val="center"/>
                </w:tcPr>
                <w:p w14:paraId="6D9DF4E6">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7</w:t>
                  </w:r>
                </w:p>
              </w:tc>
              <w:tc>
                <w:tcPr>
                  <w:tcW w:w="1556" w:type="pct"/>
                  <w:noWrap w:val="0"/>
                  <w:vAlign w:val="center"/>
                </w:tcPr>
                <w:p w14:paraId="6458461D">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国润食品</w:t>
                  </w:r>
                </w:p>
              </w:tc>
              <w:tc>
                <w:tcPr>
                  <w:tcW w:w="570" w:type="pct"/>
                  <w:noWrap w:val="0"/>
                  <w:vAlign w:val="center"/>
                </w:tcPr>
                <w:p w14:paraId="55909302">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西</w:t>
                  </w:r>
                </w:p>
              </w:tc>
              <w:tc>
                <w:tcPr>
                  <w:tcW w:w="833" w:type="pct"/>
                  <w:noWrap w:val="0"/>
                  <w:vAlign w:val="center"/>
                </w:tcPr>
                <w:p w14:paraId="4930E352">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员工约100人</w:t>
                  </w:r>
                </w:p>
              </w:tc>
              <w:tc>
                <w:tcPr>
                  <w:tcW w:w="833" w:type="pct"/>
                  <w:noWrap w:val="0"/>
                  <w:vAlign w:val="center"/>
                </w:tcPr>
                <w:p w14:paraId="5D959EC8">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385</w:t>
                  </w:r>
                </w:p>
              </w:tc>
              <w:tc>
                <w:tcPr>
                  <w:tcW w:w="834" w:type="pct"/>
                  <w:vMerge w:val="continue"/>
                  <w:noWrap w:val="0"/>
                  <w:vAlign w:val="center"/>
                </w:tcPr>
                <w:p w14:paraId="4EF65F9C">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18"/>
                      <w:szCs w:val="18"/>
                      <w:vertAlign w:val="baseline"/>
                      <w:lang w:val="en-US" w:eastAsia="zh-CN" w:bidi="ar-SA"/>
                    </w:rPr>
                  </w:pPr>
                </w:p>
              </w:tc>
            </w:tr>
            <w:tr w14:paraId="233F4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noWrap w:val="0"/>
                  <w:vAlign w:val="center"/>
                </w:tcPr>
                <w:p w14:paraId="79161D0A">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8</w:t>
                  </w:r>
                </w:p>
              </w:tc>
              <w:tc>
                <w:tcPr>
                  <w:tcW w:w="1556" w:type="pct"/>
                  <w:noWrap w:val="0"/>
                  <w:vAlign w:val="center"/>
                </w:tcPr>
                <w:p w14:paraId="51B7A41D">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思润食品</w:t>
                  </w:r>
                </w:p>
              </w:tc>
              <w:tc>
                <w:tcPr>
                  <w:tcW w:w="570" w:type="pct"/>
                  <w:noWrap w:val="0"/>
                  <w:vAlign w:val="center"/>
                </w:tcPr>
                <w:p w14:paraId="030D7738">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西北</w:t>
                  </w:r>
                </w:p>
              </w:tc>
              <w:tc>
                <w:tcPr>
                  <w:tcW w:w="833" w:type="pct"/>
                  <w:noWrap w:val="0"/>
                  <w:vAlign w:val="center"/>
                </w:tcPr>
                <w:p w14:paraId="5A04B1D5">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员工约150人</w:t>
                  </w:r>
                </w:p>
              </w:tc>
              <w:tc>
                <w:tcPr>
                  <w:tcW w:w="833" w:type="pct"/>
                  <w:noWrap w:val="0"/>
                  <w:vAlign w:val="center"/>
                </w:tcPr>
                <w:p w14:paraId="2280E86C">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750</w:t>
                  </w:r>
                </w:p>
              </w:tc>
              <w:tc>
                <w:tcPr>
                  <w:tcW w:w="834" w:type="pct"/>
                  <w:vMerge w:val="continue"/>
                  <w:noWrap w:val="0"/>
                  <w:vAlign w:val="center"/>
                </w:tcPr>
                <w:p w14:paraId="35FB6617">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18"/>
                      <w:szCs w:val="18"/>
                      <w:vertAlign w:val="baseline"/>
                      <w:lang w:val="en-US" w:eastAsia="zh-CN" w:bidi="ar-SA"/>
                    </w:rPr>
                  </w:pPr>
                </w:p>
              </w:tc>
            </w:tr>
            <w:tr w14:paraId="18733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noWrap w:val="0"/>
                  <w:vAlign w:val="center"/>
                </w:tcPr>
                <w:p w14:paraId="580FA860">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9</w:t>
                  </w:r>
                </w:p>
              </w:tc>
              <w:tc>
                <w:tcPr>
                  <w:tcW w:w="1556" w:type="pct"/>
                  <w:noWrap w:val="0"/>
                  <w:vAlign w:val="center"/>
                </w:tcPr>
                <w:p w14:paraId="0FF73A3E">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金旺食品</w:t>
                  </w:r>
                </w:p>
              </w:tc>
              <w:tc>
                <w:tcPr>
                  <w:tcW w:w="570" w:type="pct"/>
                  <w:noWrap w:val="0"/>
                  <w:vAlign w:val="center"/>
                </w:tcPr>
                <w:p w14:paraId="306F4C66">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西北</w:t>
                  </w:r>
                </w:p>
              </w:tc>
              <w:tc>
                <w:tcPr>
                  <w:tcW w:w="833" w:type="pct"/>
                  <w:noWrap w:val="0"/>
                  <w:vAlign w:val="center"/>
                </w:tcPr>
                <w:p w14:paraId="4F539D04">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员工约200人</w:t>
                  </w:r>
                </w:p>
              </w:tc>
              <w:tc>
                <w:tcPr>
                  <w:tcW w:w="833" w:type="pct"/>
                  <w:noWrap w:val="0"/>
                  <w:vAlign w:val="center"/>
                </w:tcPr>
                <w:p w14:paraId="10D2C07F">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624</w:t>
                  </w:r>
                </w:p>
              </w:tc>
              <w:tc>
                <w:tcPr>
                  <w:tcW w:w="834" w:type="pct"/>
                  <w:vMerge w:val="continue"/>
                  <w:noWrap w:val="0"/>
                  <w:vAlign w:val="center"/>
                </w:tcPr>
                <w:p w14:paraId="608FCE5C">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18"/>
                      <w:szCs w:val="18"/>
                      <w:vertAlign w:val="baseline"/>
                      <w:lang w:val="en-US" w:eastAsia="zh-CN" w:bidi="ar-SA"/>
                    </w:rPr>
                  </w:pPr>
                </w:p>
              </w:tc>
            </w:tr>
            <w:tr w14:paraId="14DDE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noWrap w:val="0"/>
                  <w:vAlign w:val="center"/>
                </w:tcPr>
                <w:p w14:paraId="181EAAEB">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10</w:t>
                  </w:r>
                </w:p>
              </w:tc>
              <w:tc>
                <w:tcPr>
                  <w:tcW w:w="1556" w:type="pct"/>
                  <w:noWrap w:val="0"/>
                  <w:vAlign w:val="center"/>
                </w:tcPr>
                <w:p w14:paraId="666409CE">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七里川</w:t>
                  </w:r>
                </w:p>
              </w:tc>
              <w:tc>
                <w:tcPr>
                  <w:tcW w:w="570" w:type="pct"/>
                  <w:noWrap w:val="0"/>
                  <w:vAlign w:val="center"/>
                </w:tcPr>
                <w:p w14:paraId="3A7BEC6B">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西</w:t>
                  </w:r>
                </w:p>
              </w:tc>
              <w:tc>
                <w:tcPr>
                  <w:tcW w:w="833" w:type="pct"/>
                  <w:noWrap w:val="0"/>
                  <w:vAlign w:val="center"/>
                </w:tcPr>
                <w:p w14:paraId="682E2CE4">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员工约150人</w:t>
                  </w:r>
                </w:p>
              </w:tc>
              <w:tc>
                <w:tcPr>
                  <w:tcW w:w="833" w:type="pct"/>
                  <w:noWrap w:val="0"/>
                  <w:vAlign w:val="center"/>
                </w:tcPr>
                <w:p w14:paraId="3904615D">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730</w:t>
                  </w:r>
                </w:p>
              </w:tc>
              <w:tc>
                <w:tcPr>
                  <w:tcW w:w="834" w:type="pct"/>
                  <w:vMerge w:val="continue"/>
                  <w:noWrap w:val="0"/>
                  <w:vAlign w:val="center"/>
                </w:tcPr>
                <w:p w14:paraId="10BB74B1">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18"/>
                      <w:szCs w:val="18"/>
                      <w:vertAlign w:val="baseline"/>
                      <w:lang w:val="en-US" w:eastAsia="zh-CN" w:bidi="ar-SA"/>
                    </w:rPr>
                  </w:pPr>
                </w:p>
              </w:tc>
            </w:tr>
            <w:tr w14:paraId="5C0F8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noWrap w:val="0"/>
                  <w:vAlign w:val="center"/>
                </w:tcPr>
                <w:p w14:paraId="01DB5B7C">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11</w:t>
                  </w:r>
                </w:p>
              </w:tc>
              <w:tc>
                <w:tcPr>
                  <w:tcW w:w="1556" w:type="pct"/>
                  <w:noWrap w:val="0"/>
                  <w:vAlign w:val="center"/>
                </w:tcPr>
                <w:p w14:paraId="11CFC41F">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永益轩</w:t>
                  </w:r>
                </w:p>
              </w:tc>
              <w:tc>
                <w:tcPr>
                  <w:tcW w:w="570" w:type="pct"/>
                  <w:noWrap w:val="0"/>
                  <w:vAlign w:val="center"/>
                </w:tcPr>
                <w:p w14:paraId="6FF366C1">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西</w:t>
                  </w:r>
                </w:p>
              </w:tc>
              <w:tc>
                <w:tcPr>
                  <w:tcW w:w="833" w:type="pct"/>
                  <w:noWrap w:val="0"/>
                  <w:vAlign w:val="center"/>
                </w:tcPr>
                <w:p w14:paraId="6F5E1204">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员工约200人</w:t>
                  </w:r>
                </w:p>
              </w:tc>
              <w:tc>
                <w:tcPr>
                  <w:tcW w:w="833" w:type="pct"/>
                  <w:noWrap w:val="0"/>
                  <w:vAlign w:val="center"/>
                </w:tcPr>
                <w:p w14:paraId="2A47745D">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575</w:t>
                  </w:r>
                </w:p>
              </w:tc>
              <w:tc>
                <w:tcPr>
                  <w:tcW w:w="834" w:type="pct"/>
                  <w:vMerge w:val="continue"/>
                  <w:noWrap w:val="0"/>
                  <w:vAlign w:val="center"/>
                </w:tcPr>
                <w:p w14:paraId="54075DD4">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18"/>
                      <w:szCs w:val="18"/>
                      <w:vertAlign w:val="baseline"/>
                      <w:lang w:val="en-US" w:eastAsia="zh-CN" w:bidi="ar-SA"/>
                    </w:rPr>
                  </w:pPr>
                </w:p>
              </w:tc>
            </w:tr>
            <w:tr w14:paraId="10BB5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noWrap w:val="0"/>
                  <w:vAlign w:val="center"/>
                </w:tcPr>
                <w:p w14:paraId="1AD62C74">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12</w:t>
                  </w:r>
                </w:p>
              </w:tc>
              <w:tc>
                <w:tcPr>
                  <w:tcW w:w="1556" w:type="pct"/>
                  <w:noWrap w:val="0"/>
                  <w:vAlign w:val="center"/>
                </w:tcPr>
                <w:p w14:paraId="75F07A07">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陆媛希包装</w:t>
                  </w:r>
                </w:p>
              </w:tc>
              <w:tc>
                <w:tcPr>
                  <w:tcW w:w="570" w:type="pct"/>
                  <w:noWrap w:val="0"/>
                  <w:vAlign w:val="center"/>
                </w:tcPr>
                <w:p w14:paraId="760C499D">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西</w:t>
                  </w:r>
                </w:p>
              </w:tc>
              <w:tc>
                <w:tcPr>
                  <w:tcW w:w="833" w:type="pct"/>
                  <w:noWrap w:val="0"/>
                  <w:vAlign w:val="center"/>
                </w:tcPr>
                <w:p w14:paraId="070FE028">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员工约50人</w:t>
                  </w:r>
                </w:p>
              </w:tc>
              <w:tc>
                <w:tcPr>
                  <w:tcW w:w="833" w:type="pct"/>
                  <w:noWrap w:val="0"/>
                  <w:vAlign w:val="center"/>
                </w:tcPr>
                <w:p w14:paraId="151B35B5">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572</w:t>
                  </w:r>
                </w:p>
              </w:tc>
              <w:tc>
                <w:tcPr>
                  <w:tcW w:w="834" w:type="pct"/>
                  <w:noWrap w:val="0"/>
                  <w:vAlign w:val="center"/>
                </w:tcPr>
                <w:p w14:paraId="57A8F16B">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包装企业</w:t>
                  </w:r>
                </w:p>
              </w:tc>
            </w:tr>
            <w:tr w14:paraId="3D7F2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noWrap w:val="0"/>
                  <w:vAlign w:val="center"/>
                </w:tcPr>
                <w:p w14:paraId="5ED94EBD">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13</w:t>
                  </w:r>
                </w:p>
              </w:tc>
              <w:tc>
                <w:tcPr>
                  <w:tcW w:w="1556" w:type="pct"/>
                  <w:noWrap w:val="0"/>
                  <w:vAlign w:val="center"/>
                </w:tcPr>
                <w:p w14:paraId="2D7C6D54">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正源康柠檬</w:t>
                  </w:r>
                </w:p>
              </w:tc>
              <w:tc>
                <w:tcPr>
                  <w:tcW w:w="570" w:type="pct"/>
                  <w:noWrap w:val="0"/>
                  <w:vAlign w:val="center"/>
                </w:tcPr>
                <w:p w14:paraId="4991C18B">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西</w:t>
                  </w:r>
                </w:p>
              </w:tc>
              <w:tc>
                <w:tcPr>
                  <w:tcW w:w="833" w:type="pct"/>
                  <w:noWrap w:val="0"/>
                  <w:vAlign w:val="center"/>
                </w:tcPr>
                <w:p w14:paraId="4145CC87">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员工约200人</w:t>
                  </w:r>
                </w:p>
              </w:tc>
              <w:tc>
                <w:tcPr>
                  <w:tcW w:w="833" w:type="pct"/>
                  <w:noWrap w:val="0"/>
                  <w:vAlign w:val="center"/>
                </w:tcPr>
                <w:p w14:paraId="23D6AEFA">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380</w:t>
                  </w:r>
                </w:p>
              </w:tc>
              <w:tc>
                <w:tcPr>
                  <w:tcW w:w="834" w:type="pct"/>
                  <w:noWrap w:val="0"/>
                  <w:vAlign w:val="center"/>
                </w:tcPr>
                <w:p w14:paraId="3E66BE25">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食品企业</w:t>
                  </w:r>
                </w:p>
              </w:tc>
            </w:tr>
            <w:tr w14:paraId="42A1E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noWrap w:val="0"/>
                  <w:vAlign w:val="center"/>
                </w:tcPr>
                <w:p w14:paraId="70E1A0B9">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14</w:t>
                  </w:r>
                </w:p>
              </w:tc>
              <w:tc>
                <w:tcPr>
                  <w:tcW w:w="1556" w:type="pct"/>
                  <w:noWrap w:val="0"/>
                  <w:vAlign w:val="center"/>
                </w:tcPr>
                <w:p w14:paraId="65516633">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吉盛印铁</w:t>
                  </w:r>
                </w:p>
              </w:tc>
              <w:tc>
                <w:tcPr>
                  <w:tcW w:w="570" w:type="pct"/>
                  <w:noWrap w:val="0"/>
                  <w:vAlign w:val="center"/>
                </w:tcPr>
                <w:p w14:paraId="71AE1517">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西</w:t>
                  </w:r>
                </w:p>
              </w:tc>
              <w:tc>
                <w:tcPr>
                  <w:tcW w:w="833" w:type="pct"/>
                  <w:noWrap w:val="0"/>
                  <w:vAlign w:val="center"/>
                </w:tcPr>
                <w:p w14:paraId="4D60E26E">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员工约100人</w:t>
                  </w:r>
                </w:p>
              </w:tc>
              <w:tc>
                <w:tcPr>
                  <w:tcW w:w="833" w:type="pct"/>
                  <w:noWrap w:val="0"/>
                  <w:vAlign w:val="center"/>
                </w:tcPr>
                <w:p w14:paraId="43F9ACFD">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400</w:t>
                  </w:r>
                </w:p>
              </w:tc>
              <w:tc>
                <w:tcPr>
                  <w:tcW w:w="834" w:type="pct"/>
                  <w:noWrap w:val="0"/>
                  <w:vAlign w:val="center"/>
                </w:tcPr>
                <w:p w14:paraId="06CA6EBE">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包装企业</w:t>
                  </w:r>
                </w:p>
              </w:tc>
            </w:tr>
            <w:tr w14:paraId="75E91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noWrap w:val="0"/>
                  <w:vAlign w:val="center"/>
                </w:tcPr>
                <w:p w14:paraId="565859C6">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15</w:t>
                  </w:r>
                </w:p>
              </w:tc>
              <w:tc>
                <w:tcPr>
                  <w:tcW w:w="1556" w:type="pct"/>
                  <w:noWrap w:val="0"/>
                  <w:vAlign w:val="center"/>
                </w:tcPr>
                <w:p w14:paraId="509FDF54">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华翔玻陶制品</w:t>
                  </w:r>
                </w:p>
              </w:tc>
              <w:tc>
                <w:tcPr>
                  <w:tcW w:w="570" w:type="pct"/>
                  <w:noWrap w:val="0"/>
                  <w:vAlign w:val="center"/>
                </w:tcPr>
                <w:p w14:paraId="4BA1E27D">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西</w:t>
                  </w:r>
                </w:p>
              </w:tc>
              <w:tc>
                <w:tcPr>
                  <w:tcW w:w="833" w:type="pct"/>
                  <w:noWrap w:val="0"/>
                  <w:vAlign w:val="center"/>
                </w:tcPr>
                <w:p w14:paraId="7744D36B">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员工约70人</w:t>
                  </w:r>
                </w:p>
              </w:tc>
              <w:tc>
                <w:tcPr>
                  <w:tcW w:w="833" w:type="pct"/>
                  <w:noWrap w:val="0"/>
                  <w:vAlign w:val="center"/>
                </w:tcPr>
                <w:p w14:paraId="16070572">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580</w:t>
                  </w:r>
                </w:p>
              </w:tc>
              <w:tc>
                <w:tcPr>
                  <w:tcW w:w="834" w:type="pct"/>
                  <w:noWrap w:val="0"/>
                  <w:vAlign w:val="center"/>
                </w:tcPr>
                <w:p w14:paraId="4DEA39CE">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包装企业</w:t>
                  </w:r>
                </w:p>
              </w:tc>
            </w:tr>
            <w:tr w14:paraId="6F1F6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noWrap w:val="0"/>
                  <w:vAlign w:val="center"/>
                </w:tcPr>
                <w:p w14:paraId="5868DF93">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16</w:t>
                  </w:r>
                </w:p>
              </w:tc>
              <w:tc>
                <w:tcPr>
                  <w:tcW w:w="1556" w:type="pct"/>
                  <w:noWrap w:val="0"/>
                  <w:vAlign w:val="center"/>
                </w:tcPr>
                <w:p w14:paraId="754ABD06">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纵港智造城</w:t>
                  </w:r>
                </w:p>
              </w:tc>
              <w:tc>
                <w:tcPr>
                  <w:tcW w:w="570" w:type="pct"/>
                  <w:noWrap w:val="0"/>
                  <w:vAlign w:val="center"/>
                </w:tcPr>
                <w:p w14:paraId="7570E566">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南</w:t>
                  </w:r>
                </w:p>
              </w:tc>
              <w:tc>
                <w:tcPr>
                  <w:tcW w:w="833" w:type="pct"/>
                  <w:noWrap w:val="0"/>
                  <w:vAlign w:val="center"/>
                </w:tcPr>
                <w:p w14:paraId="64CE6338">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员工约300人</w:t>
                  </w:r>
                </w:p>
              </w:tc>
              <w:tc>
                <w:tcPr>
                  <w:tcW w:w="833" w:type="pct"/>
                  <w:noWrap w:val="0"/>
                  <w:vAlign w:val="center"/>
                </w:tcPr>
                <w:p w14:paraId="31AFC428">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244</w:t>
                  </w:r>
                </w:p>
              </w:tc>
              <w:tc>
                <w:tcPr>
                  <w:tcW w:w="834" w:type="pct"/>
                  <w:noWrap w:val="0"/>
                  <w:vAlign w:val="center"/>
                </w:tcPr>
                <w:p w14:paraId="20EC4CBE">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麻将及配件生产企业</w:t>
                  </w:r>
                </w:p>
              </w:tc>
            </w:tr>
            <w:tr w14:paraId="69115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1" w:type="pct"/>
                  <w:noWrap w:val="0"/>
                  <w:vAlign w:val="center"/>
                </w:tcPr>
                <w:p w14:paraId="16960D39">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17</w:t>
                  </w:r>
                </w:p>
              </w:tc>
              <w:tc>
                <w:tcPr>
                  <w:tcW w:w="1556" w:type="pct"/>
                  <w:noWrap w:val="0"/>
                  <w:vAlign w:val="center"/>
                </w:tcPr>
                <w:p w14:paraId="243656E9">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18"/>
                      <w:szCs w:val="18"/>
                      <w:vertAlign w:val="baseline"/>
                      <w:lang w:val="en-US" w:eastAsia="zh-CN" w:bidi="ar-SA"/>
                    </w:rPr>
                  </w:pPr>
                  <w:r>
                    <w:rPr>
                      <w:rFonts w:hint="default" w:ascii="宋体" w:hAnsi="宋体" w:eastAsia="宋体" w:cs="宋体"/>
                      <w:bCs w:val="0"/>
                      <w:color w:val="auto"/>
                      <w:kern w:val="2"/>
                      <w:sz w:val="18"/>
                      <w:szCs w:val="18"/>
                      <w:vertAlign w:val="baseline"/>
                      <w:lang w:val="en-US" w:eastAsia="zh-CN" w:bidi="ar-SA"/>
                    </w:rPr>
                    <w:fldChar w:fldCharType="begin"/>
                  </w:r>
                  <w:r>
                    <w:rPr>
                      <w:rFonts w:hint="default" w:ascii="宋体" w:hAnsi="宋体" w:eastAsia="宋体" w:cs="宋体"/>
                      <w:bCs w:val="0"/>
                      <w:color w:val="auto"/>
                      <w:kern w:val="2"/>
                      <w:sz w:val="18"/>
                      <w:szCs w:val="18"/>
                      <w:vertAlign w:val="baseline"/>
                      <w:lang w:val="en-US" w:eastAsia="zh-CN" w:bidi="ar-SA"/>
                    </w:rPr>
                    <w:instrText xml:space="preserve"> HYPERLINK "https://aiqicha.baidu.com/detail/compinfo?pid=xlTM-TogKuTw3Bs2uv-85d-v6Ubp43B2Ywmd&amp;pd=aen&amp;from=ps&amp;query=%E5%B9%BF%E5%8F%91%E8%BE%90%E7%85%A7" \t "https://www.baidu.com/_blank" </w:instrText>
                  </w:r>
                  <w:r>
                    <w:rPr>
                      <w:rFonts w:hint="default" w:ascii="宋体" w:hAnsi="宋体" w:eastAsia="宋体" w:cs="宋体"/>
                      <w:bCs w:val="0"/>
                      <w:color w:val="auto"/>
                      <w:kern w:val="2"/>
                      <w:sz w:val="18"/>
                      <w:szCs w:val="18"/>
                      <w:vertAlign w:val="baseline"/>
                      <w:lang w:val="en-US" w:eastAsia="zh-CN" w:bidi="ar-SA"/>
                    </w:rPr>
                    <w:fldChar w:fldCharType="separate"/>
                  </w:r>
                  <w:r>
                    <w:rPr>
                      <w:rFonts w:hint="default" w:ascii="宋体" w:hAnsi="宋体" w:eastAsia="宋体" w:cs="宋体"/>
                      <w:bCs w:val="0"/>
                      <w:color w:val="auto"/>
                      <w:kern w:val="2"/>
                      <w:sz w:val="18"/>
                      <w:szCs w:val="18"/>
                      <w:vertAlign w:val="baseline"/>
                      <w:lang w:val="en-US" w:eastAsia="zh-CN" w:bidi="ar-SA"/>
                    </w:rPr>
                    <w:t>四川广发辐照科技有限公司</w:t>
                  </w:r>
                  <w:r>
                    <w:rPr>
                      <w:rFonts w:hint="default" w:ascii="宋体" w:hAnsi="宋体" w:eastAsia="宋体" w:cs="宋体"/>
                      <w:bCs w:val="0"/>
                      <w:color w:val="auto"/>
                      <w:kern w:val="2"/>
                      <w:sz w:val="18"/>
                      <w:szCs w:val="18"/>
                      <w:vertAlign w:val="baseline"/>
                      <w:lang w:val="en-US" w:eastAsia="zh-CN" w:bidi="ar-SA"/>
                    </w:rPr>
                    <w:fldChar w:fldCharType="end"/>
                  </w:r>
                </w:p>
              </w:tc>
              <w:tc>
                <w:tcPr>
                  <w:tcW w:w="570" w:type="pct"/>
                  <w:noWrap w:val="0"/>
                  <w:vAlign w:val="center"/>
                </w:tcPr>
                <w:p w14:paraId="5CF6C9E8">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东南</w:t>
                  </w:r>
                </w:p>
              </w:tc>
              <w:tc>
                <w:tcPr>
                  <w:tcW w:w="833" w:type="pct"/>
                  <w:noWrap w:val="0"/>
                  <w:vAlign w:val="center"/>
                </w:tcPr>
                <w:p w14:paraId="258936F4">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员工约70人</w:t>
                  </w:r>
                </w:p>
              </w:tc>
              <w:tc>
                <w:tcPr>
                  <w:tcW w:w="833" w:type="pct"/>
                  <w:noWrap w:val="0"/>
                  <w:vAlign w:val="center"/>
                </w:tcPr>
                <w:p w14:paraId="52C97446">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330</w:t>
                  </w:r>
                </w:p>
              </w:tc>
              <w:tc>
                <w:tcPr>
                  <w:tcW w:w="834" w:type="pct"/>
                  <w:noWrap w:val="0"/>
                  <w:vAlign w:val="center"/>
                </w:tcPr>
                <w:p w14:paraId="267911EE">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食品辐照公司</w:t>
                  </w:r>
                </w:p>
              </w:tc>
            </w:tr>
            <w:tr w14:paraId="63209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371" w:type="pct"/>
                  <w:noWrap w:val="0"/>
                  <w:vAlign w:val="center"/>
                </w:tcPr>
                <w:p w14:paraId="7389328A">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18</w:t>
                  </w:r>
                </w:p>
              </w:tc>
              <w:tc>
                <w:tcPr>
                  <w:tcW w:w="1556" w:type="pct"/>
                  <w:noWrap w:val="0"/>
                  <w:vAlign w:val="center"/>
                </w:tcPr>
                <w:p w14:paraId="140E3A04">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四川坤天新能源科技有限公司</w:t>
                  </w:r>
                </w:p>
              </w:tc>
              <w:tc>
                <w:tcPr>
                  <w:tcW w:w="570" w:type="pct"/>
                  <w:noWrap w:val="0"/>
                  <w:vAlign w:val="center"/>
                </w:tcPr>
                <w:p w14:paraId="02B8899D">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南</w:t>
                  </w:r>
                </w:p>
              </w:tc>
              <w:tc>
                <w:tcPr>
                  <w:tcW w:w="833" w:type="pct"/>
                  <w:noWrap w:val="0"/>
                  <w:vAlign w:val="center"/>
                </w:tcPr>
                <w:p w14:paraId="02C51BEB">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员工约200人</w:t>
                  </w:r>
                </w:p>
              </w:tc>
              <w:tc>
                <w:tcPr>
                  <w:tcW w:w="833" w:type="pct"/>
                  <w:noWrap w:val="0"/>
                  <w:vAlign w:val="center"/>
                </w:tcPr>
                <w:p w14:paraId="7D164F93">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50</w:t>
                  </w:r>
                </w:p>
              </w:tc>
              <w:tc>
                <w:tcPr>
                  <w:tcW w:w="834" w:type="pct"/>
                  <w:noWrap w:val="0"/>
                  <w:vAlign w:val="center"/>
                </w:tcPr>
                <w:p w14:paraId="01E9A91E">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电池制造</w:t>
                  </w:r>
                </w:p>
              </w:tc>
            </w:tr>
            <w:tr w14:paraId="098DD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noWrap w:val="0"/>
                  <w:vAlign w:val="center"/>
                </w:tcPr>
                <w:p w14:paraId="4E19A5BB">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19</w:t>
                  </w:r>
                </w:p>
              </w:tc>
              <w:tc>
                <w:tcPr>
                  <w:tcW w:w="1556" w:type="pct"/>
                  <w:noWrap w:val="0"/>
                  <w:vAlign w:val="center"/>
                </w:tcPr>
                <w:p w14:paraId="2CB59902">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虹尊方圆</w:t>
                  </w:r>
                </w:p>
              </w:tc>
              <w:tc>
                <w:tcPr>
                  <w:tcW w:w="570" w:type="pct"/>
                  <w:noWrap w:val="0"/>
                  <w:vAlign w:val="center"/>
                </w:tcPr>
                <w:p w14:paraId="584F92FC">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南</w:t>
                  </w:r>
                </w:p>
              </w:tc>
              <w:tc>
                <w:tcPr>
                  <w:tcW w:w="833" w:type="pct"/>
                  <w:noWrap w:val="0"/>
                  <w:vAlign w:val="center"/>
                </w:tcPr>
                <w:p w14:paraId="20E9DFB2">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员工约80人</w:t>
                  </w:r>
                </w:p>
              </w:tc>
              <w:tc>
                <w:tcPr>
                  <w:tcW w:w="833" w:type="pct"/>
                  <w:noWrap w:val="0"/>
                  <w:vAlign w:val="center"/>
                </w:tcPr>
                <w:p w14:paraId="5AB13669">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460</w:t>
                  </w:r>
                </w:p>
              </w:tc>
              <w:tc>
                <w:tcPr>
                  <w:tcW w:w="834" w:type="pct"/>
                  <w:vMerge w:val="restart"/>
                  <w:noWrap w:val="0"/>
                  <w:vAlign w:val="center"/>
                </w:tcPr>
                <w:p w14:paraId="25A3B6DB">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电动摩托车生产企业</w:t>
                  </w:r>
                </w:p>
              </w:tc>
            </w:tr>
            <w:tr w14:paraId="05476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noWrap w:val="0"/>
                  <w:vAlign w:val="center"/>
                </w:tcPr>
                <w:p w14:paraId="03EA2808">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20</w:t>
                  </w:r>
                </w:p>
              </w:tc>
              <w:tc>
                <w:tcPr>
                  <w:tcW w:w="1556" w:type="pct"/>
                  <w:noWrap w:val="0"/>
                  <w:vAlign w:val="center"/>
                </w:tcPr>
                <w:p w14:paraId="35438196">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双胜电动车</w:t>
                  </w:r>
                </w:p>
              </w:tc>
              <w:tc>
                <w:tcPr>
                  <w:tcW w:w="570" w:type="pct"/>
                  <w:noWrap w:val="0"/>
                  <w:vAlign w:val="center"/>
                </w:tcPr>
                <w:p w14:paraId="37A1519E">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南</w:t>
                  </w:r>
                </w:p>
              </w:tc>
              <w:tc>
                <w:tcPr>
                  <w:tcW w:w="833" w:type="pct"/>
                  <w:noWrap w:val="0"/>
                  <w:vAlign w:val="center"/>
                </w:tcPr>
                <w:p w14:paraId="76F5B553">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员工约100人</w:t>
                  </w:r>
                </w:p>
              </w:tc>
              <w:tc>
                <w:tcPr>
                  <w:tcW w:w="833" w:type="pct"/>
                  <w:noWrap w:val="0"/>
                  <w:vAlign w:val="center"/>
                </w:tcPr>
                <w:p w14:paraId="583B6BBF">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600</w:t>
                  </w:r>
                </w:p>
              </w:tc>
              <w:tc>
                <w:tcPr>
                  <w:tcW w:w="834" w:type="pct"/>
                  <w:vMerge w:val="continue"/>
                  <w:noWrap w:val="0"/>
                  <w:vAlign w:val="center"/>
                </w:tcPr>
                <w:p w14:paraId="62BB20D7">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bCs w:val="0"/>
                      <w:color w:val="auto"/>
                      <w:kern w:val="2"/>
                      <w:sz w:val="18"/>
                      <w:szCs w:val="18"/>
                      <w:vertAlign w:val="baseline"/>
                      <w:lang w:val="en-US" w:eastAsia="zh-CN" w:bidi="ar-SA"/>
                    </w:rPr>
                  </w:pPr>
                </w:p>
              </w:tc>
            </w:tr>
            <w:tr w14:paraId="742CC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noWrap w:val="0"/>
                  <w:vAlign w:val="center"/>
                </w:tcPr>
                <w:p w14:paraId="5C36CA6F">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21</w:t>
                  </w:r>
                </w:p>
              </w:tc>
              <w:tc>
                <w:tcPr>
                  <w:tcW w:w="1556" w:type="pct"/>
                  <w:noWrap w:val="0"/>
                  <w:vAlign w:val="center"/>
                </w:tcPr>
                <w:p w14:paraId="1DEECC57">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欧贝机械</w:t>
                  </w:r>
                </w:p>
              </w:tc>
              <w:tc>
                <w:tcPr>
                  <w:tcW w:w="570" w:type="pct"/>
                  <w:noWrap w:val="0"/>
                  <w:vAlign w:val="center"/>
                </w:tcPr>
                <w:p w14:paraId="2F6775E3">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西南</w:t>
                  </w:r>
                </w:p>
              </w:tc>
              <w:tc>
                <w:tcPr>
                  <w:tcW w:w="833" w:type="pct"/>
                  <w:noWrap w:val="0"/>
                  <w:vAlign w:val="center"/>
                </w:tcPr>
                <w:p w14:paraId="6A04CBF9">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员工约40人</w:t>
                  </w:r>
                </w:p>
              </w:tc>
              <w:tc>
                <w:tcPr>
                  <w:tcW w:w="833" w:type="pct"/>
                  <w:noWrap w:val="0"/>
                  <w:vAlign w:val="center"/>
                </w:tcPr>
                <w:p w14:paraId="5DE71A7D">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550</w:t>
                  </w:r>
                </w:p>
              </w:tc>
              <w:tc>
                <w:tcPr>
                  <w:tcW w:w="834" w:type="pct"/>
                  <w:noWrap w:val="0"/>
                  <w:vAlign w:val="center"/>
                </w:tcPr>
                <w:p w14:paraId="65656A4D">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机械制造</w:t>
                  </w:r>
                </w:p>
              </w:tc>
            </w:tr>
            <w:tr w14:paraId="5850A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noWrap w:val="0"/>
                  <w:vAlign w:val="center"/>
                </w:tcPr>
                <w:p w14:paraId="7FD625B2">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22</w:t>
                  </w:r>
                </w:p>
              </w:tc>
              <w:tc>
                <w:tcPr>
                  <w:tcW w:w="1556" w:type="pct"/>
                  <w:noWrap w:val="0"/>
                  <w:vAlign w:val="center"/>
                </w:tcPr>
                <w:p w14:paraId="2E88402C">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驿兴传飞</w:t>
                  </w:r>
                </w:p>
              </w:tc>
              <w:tc>
                <w:tcPr>
                  <w:tcW w:w="570" w:type="pct"/>
                  <w:noWrap w:val="0"/>
                  <w:vAlign w:val="center"/>
                </w:tcPr>
                <w:p w14:paraId="5BD25A54">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西南</w:t>
                  </w:r>
                </w:p>
              </w:tc>
              <w:tc>
                <w:tcPr>
                  <w:tcW w:w="833" w:type="pct"/>
                  <w:noWrap w:val="0"/>
                  <w:vAlign w:val="center"/>
                </w:tcPr>
                <w:p w14:paraId="0A0993D6">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员工约100人</w:t>
                  </w:r>
                </w:p>
              </w:tc>
              <w:tc>
                <w:tcPr>
                  <w:tcW w:w="833" w:type="pct"/>
                  <w:noWrap w:val="0"/>
                  <w:vAlign w:val="center"/>
                </w:tcPr>
                <w:p w14:paraId="3E26F5F2">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480</w:t>
                  </w:r>
                </w:p>
              </w:tc>
              <w:tc>
                <w:tcPr>
                  <w:tcW w:w="834" w:type="pct"/>
                  <w:noWrap w:val="0"/>
                  <w:vAlign w:val="center"/>
                </w:tcPr>
                <w:p w14:paraId="1F3887E8">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电动摩托车生产企业</w:t>
                  </w:r>
                </w:p>
              </w:tc>
            </w:tr>
            <w:tr w14:paraId="56A38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noWrap w:val="0"/>
                  <w:vAlign w:val="center"/>
                </w:tcPr>
                <w:p w14:paraId="36FD108C">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23</w:t>
                  </w:r>
                </w:p>
              </w:tc>
              <w:tc>
                <w:tcPr>
                  <w:tcW w:w="1556" w:type="pct"/>
                  <w:noWrap w:val="0"/>
                  <w:vAlign w:val="center"/>
                </w:tcPr>
                <w:p w14:paraId="244D3175">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遂兴科技</w:t>
                  </w:r>
                </w:p>
              </w:tc>
              <w:tc>
                <w:tcPr>
                  <w:tcW w:w="570" w:type="pct"/>
                  <w:noWrap w:val="0"/>
                  <w:vAlign w:val="center"/>
                </w:tcPr>
                <w:p w14:paraId="32BA2D65">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西南</w:t>
                  </w:r>
                </w:p>
              </w:tc>
              <w:tc>
                <w:tcPr>
                  <w:tcW w:w="833" w:type="pct"/>
                  <w:noWrap w:val="0"/>
                  <w:vAlign w:val="center"/>
                </w:tcPr>
                <w:p w14:paraId="4C614D60">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员工约100人</w:t>
                  </w:r>
                </w:p>
              </w:tc>
              <w:tc>
                <w:tcPr>
                  <w:tcW w:w="833" w:type="pct"/>
                  <w:noWrap w:val="0"/>
                  <w:vAlign w:val="center"/>
                </w:tcPr>
                <w:p w14:paraId="449C234A">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680</w:t>
                  </w:r>
                </w:p>
              </w:tc>
              <w:tc>
                <w:tcPr>
                  <w:tcW w:w="834" w:type="pct"/>
                  <w:noWrap w:val="0"/>
                  <w:vAlign w:val="center"/>
                </w:tcPr>
                <w:p w14:paraId="22AB4F0C">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机械制造</w:t>
                  </w:r>
                </w:p>
              </w:tc>
            </w:tr>
            <w:tr w14:paraId="5ED36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noWrap w:val="0"/>
                  <w:vAlign w:val="center"/>
                </w:tcPr>
                <w:p w14:paraId="75E527C7">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24</w:t>
                  </w:r>
                </w:p>
              </w:tc>
              <w:tc>
                <w:tcPr>
                  <w:tcW w:w="1556" w:type="pct"/>
                  <w:noWrap w:val="0"/>
                  <w:vAlign w:val="center"/>
                </w:tcPr>
                <w:p w14:paraId="79CF0007">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玉丰河</w:t>
                  </w:r>
                </w:p>
              </w:tc>
              <w:tc>
                <w:tcPr>
                  <w:tcW w:w="570" w:type="pct"/>
                  <w:noWrap w:val="0"/>
                  <w:vAlign w:val="center"/>
                </w:tcPr>
                <w:p w14:paraId="0F1D9563">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西北</w:t>
                  </w:r>
                </w:p>
              </w:tc>
              <w:tc>
                <w:tcPr>
                  <w:tcW w:w="833" w:type="pct"/>
                  <w:noWrap w:val="0"/>
                  <w:vAlign w:val="center"/>
                </w:tcPr>
                <w:p w14:paraId="5B701CEB">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w:t>
                  </w:r>
                </w:p>
              </w:tc>
              <w:tc>
                <w:tcPr>
                  <w:tcW w:w="833" w:type="pct"/>
                  <w:noWrap w:val="0"/>
                  <w:vAlign w:val="center"/>
                </w:tcPr>
                <w:p w14:paraId="5C4B1541">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1194</w:t>
                  </w:r>
                </w:p>
              </w:tc>
              <w:tc>
                <w:tcPr>
                  <w:tcW w:w="834" w:type="pct"/>
                  <w:noWrap w:val="0"/>
                  <w:vAlign w:val="center"/>
                </w:tcPr>
                <w:p w14:paraId="3DB80E89">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河流</w:t>
                  </w:r>
                </w:p>
              </w:tc>
            </w:tr>
            <w:tr w14:paraId="01283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noWrap w:val="0"/>
                  <w:vAlign w:val="center"/>
                </w:tcPr>
                <w:p w14:paraId="76D0E027">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25</w:t>
                  </w:r>
                </w:p>
              </w:tc>
              <w:tc>
                <w:tcPr>
                  <w:tcW w:w="1556" w:type="pct"/>
                  <w:noWrap w:val="0"/>
                  <w:vAlign w:val="center"/>
                </w:tcPr>
                <w:p w14:paraId="3FE91F7E">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琼江</w:t>
                  </w:r>
                </w:p>
              </w:tc>
              <w:tc>
                <w:tcPr>
                  <w:tcW w:w="570" w:type="pct"/>
                  <w:noWrap w:val="0"/>
                  <w:vAlign w:val="center"/>
                </w:tcPr>
                <w:p w14:paraId="583413DF">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南</w:t>
                  </w:r>
                </w:p>
              </w:tc>
              <w:tc>
                <w:tcPr>
                  <w:tcW w:w="833" w:type="pct"/>
                  <w:noWrap w:val="0"/>
                  <w:vAlign w:val="center"/>
                </w:tcPr>
                <w:p w14:paraId="018A2B9F">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w:t>
                  </w:r>
                </w:p>
              </w:tc>
              <w:tc>
                <w:tcPr>
                  <w:tcW w:w="833" w:type="pct"/>
                  <w:noWrap w:val="0"/>
                  <w:vAlign w:val="center"/>
                </w:tcPr>
                <w:p w14:paraId="5F8A504B">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2110</w:t>
                  </w:r>
                </w:p>
              </w:tc>
              <w:tc>
                <w:tcPr>
                  <w:tcW w:w="834" w:type="pct"/>
                  <w:noWrap w:val="0"/>
                  <w:vAlign w:val="center"/>
                </w:tcPr>
                <w:p w14:paraId="699CD28E">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Cs w:val="0"/>
                      <w:color w:val="auto"/>
                      <w:kern w:val="2"/>
                      <w:sz w:val="18"/>
                      <w:szCs w:val="18"/>
                      <w:vertAlign w:val="baseline"/>
                      <w:lang w:val="en-US" w:eastAsia="zh-CN" w:bidi="ar-SA"/>
                    </w:rPr>
                  </w:pPr>
                  <w:r>
                    <w:rPr>
                      <w:rFonts w:hint="eastAsia" w:ascii="宋体" w:hAnsi="宋体" w:eastAsia="宋体" w:cs="宋体"/>
                      <w:bCs w:val="0"/>
                      <w:color w:val="auto"/>
                      <w:kern w:val="2"/>
                      <w:sz w:val="18"/>
                      <w:szCs w:val="18"/>
                      <w:vertAlign w:val="baseline"/>
                      <w:lang w:val="en-US" w:eastAsia="zh-CN" w:bidi="ar-SA"/>
                    </w:rPr>
                    <w:t>河流</w:t>
                  </w:r>
                </w:p>
              </w:tc>
            </w:tr>
          </w:tbl>
          <w:p w14:paraId="0F960895">
            <w:pPr>
              <w:spacing w:line="360" w:lineRule="auto"/>
              <w:ind w:firstLine="420" w:firstLineChars="200"/>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由上可知，本项目选址于安居区工业集中发展区装备制造产业园，项目厂界四周200m范围内主要为电动摩托车生产企业</w:t>
            </w:r>
            <w:r>
              <w:rPr>
                <w:rFonts w:hint="eastAsia" w:cs="Times New Roman"/>
                <w:b w:val="0"/>
                <w:bCs/>
                <w:color w:val="auto"/>
                <w:sz w:val="21"/>
                <w:szCs w:val="21"/>
                <w:lang w:val="en-US" w:eastAsia="zh-CN"/>
              </w:rPr>
              <w:t>和电池生产企业</w:t>
            </w:r>
            <w:r>
              <w:rPr>
                <w:rFonts w:hint="eastAsia" w:ascii="Times New Roman" w:hAnsi="Times New Roman" w:eastAsia="宋体" w:cs="Times New Roman"/>
                <w:b w:val="0"/>
                <w:bCs/>
                <w:color w:val="auto"/>
                <w:sz w:val="21"/>
                <w:szCs w:val="21"/>
                <w:lang w:val="en-US" w:eastAsia="zh-CN"/>
              </w:rPr>
              <w:t>，无学校和居民小区等敏感点存在；本项目厂界周边500m范围内</w:t>
            </w:r>
            <w:r>
              <w:rPr>
                <w:rFonts w:hint="eastAsia" w:cs="Times New Roman"/>
                <w:b w:val="0"/>
                <w:bCs/>
                <w:color w:val="auto"/>
                <w:sz w:val="21"/>
                <w:szCs w:val="21"/>
                <w:lang w:val="en-US" w:eastAsia="zh-CN"/>
              </w:rPr>
              <w:t>集中居民点和散户居民</w:t>
            </w:r>
            <w:r>
              <w:rPr>
                <w:rFonts w:hint="eastAsia" w:ascii="Times New Roman" w:hAnsi="Times New Roman" w:eastAsia="宋体" w:cs="Times New Roman"/>
                <w:b w:val="0"/>
                <w:bCs/>
                <w:color w:val="auto"/>
                <w:sz w:val="21"/>
                <w:szCs w:val="21"/>
                <w:lang w:val="en-US" w:eastAsia="zh-CN"/>
              </w:rPr>
              <w:t>，且项目四周无医院等敏感点及对环境要求较高的企业分布，无需要进行特殊保护的自然保护区、饮用水源地、风景名胜区、文物古迹等特殊敏感点；同时，经调查项目所在区域无集中式饮用水水源保护区、补给径流区、分散式饮用水水源地、特殊地下水资源保护区及以外的分布区等地下水保护区域。</w:t>
            </w:r>
          </w:p>
          <w:p w14:paraId="5A435FB9">
            <w:pPr>
              <w:spacing w:line="360" w:lineRule="auto"/>
              <w:ind w:firstLine="420" w:firstLineChars="200"/>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项目运行中生活污水经化粪池处理达《污水综合排放标准》（GB8978-1996）中三级标准后，通过项目</w:t>
            </w:r>
            <w:r>
              <w:rPr>
                <w:rFonts w:hint="eastAsia" w:cs="Times New Roman"/>
                <w:b w:val="0"/>
                <w:bCs/>
                <w:color w:val="auto"/>
                <w:sz w:val="21"/>
                <w:szCs w:val="21"/>
                <w:lang w:val="en-US" w:eastAsia="zh-CN"/>
              </w:rPr>
              <w:t>东南</w:t>
            </w:r>
            <w:r>
              <w:rPr>
                <w:rFonts w:hint="eastAsia" w:ascii="Times New Roman" w:hAnsi="Times New Roman" w:eastAsia="宋体" w:cs="Times New Roman"/>
                <w:b w:val="0"/>
                <w:bCs/>
                <w:color w:val="auto"/>
                <w:sz w:val="21"/>
                <w:szCs w:val="21"/>
                <w:lang w:val="en-US" w:eastAsia="zh-CN"/>
              </w:rPr>
              <w:t>侧园区</w:t>
            </w:r>
            <w:r>
              <w:rPr>
                <w:rFonts w:hint="eastAsia" w:cs="Times New Roman"/>
                <w:b w:val="0"/>
                <w:bCs/>
                <w:color w:val="auto"/>
                <w:sz w:val="21"/>
                <w:szCs w:val="21"/>
                <w:lang w:val="en-US" w:eastAsia="zh-CN"/>
              </w:rPr>
              <w:t>潮新路</w:t>
            </w:r>
            <w:r>
              <w:rPr>
                <w:rFonts w:hint="eastAsia" w:ascii="Times New Roman" w:hAnsi="Times New Roman" w:eastAsia="宋体" w:cs="Times New Roman"/>
                <w:b w:val="0"/>
                <w:bCs/>
                <w:color w:val="auto"/>
                <w:sz w:val="21"/>
                <w:szCs w:val="21"/>
                <w:lang w:val="en-US" w:eastAsia="zh-CN"/>
              </w:rPr>
              <w:t>污水管网排入龙眼井污水处理厂处理达《城镇污水处理厂污染物排放标准》（GB18918-2002）一级A</w:t>
            </w:r>
            <w:r>
              <w:rPr>
                <w:rFonts w:hint="eastAsia" w:cs="Times New Roman"/>
                <w:b w:val="0"/>
                <w:bCs/>
                <w:color w:val="auto"/>
                <w:sz w:val="21"/>
                <w:szCs w:val="21"/>
                <w:lang w:val="en-US" w:eastAsia="zh-CN"/>
              </w:rPr>
              <w:t>标准</w:t>
            </w:r>
            <w:r>
              <w:rPr>
                <w:rFonts w:hint="eastAsia" w:ascii="Times New Roman" w:hAnsi="Times New Roman" w:eastAsia="宋体" w:cs="Times New Roman"/>
                <w:b w:val="0"/>
                <w:bCs/>
                <w:color w:val="auto"/>
                <w:sz w:val="21"/>
                <w:szCs w:val="21"/>
                <w:lang w:val="en-US" w:eastAsia="zh-CN"/>
              </w:rPr>
              <w:t>后排入琼江，外排废水均间接排放，对地表水体影响较小；项目无废气产生；项目噪声主要为设备的机械噪声，项目设备噪声经降噪措施后，厂界噪声满足《工业企业厂界环境噪声排放标准》（GB12348-2008）中3类标准，且本项目夜间不生产；项目各类固废项目妥善处置，去向明确。因此，项目营运期产生的污染物均能得到有效治理，且布局合理，不会对周边环境和敏感点带来不良影响。</w:t>
            </w:r>
          </w:p>
          <w:p w14:paraId="5F2B49D1">
            <w:pPr>
              <w:spacing w:line="360" w:lineRule="auto"/>
              <w:ind w:firstLine="420" w:firstLineChars="200"/>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③周边基础设施配套</w:t>
            </w:r>
          </w:p>
          <w:p w14:paraId="14777C2D">
            <w:pPr>
              <w:spacing w:line="360" w:lineRule="auto"/>
              <w:ind w:firstLine="420" w:firstLineChars="200"/>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项目所在地安居区工业集中发展区装备制造产业园内公辅设施较为完善，园区内供水、排水、供电、供气及光纤、电缆、道路等基础设施完备，为本项目建设提供了良好的发展平台。</w:t>
            </w:r>
          </w:p>
          <w:p w14:paraId="771BDC78">
            <w:pPr>
              <w:pStyle w:val="4"/>
              <w:keepNext/>
              <w:keepLines/>
              <w:pageBreakBefore w:val="0"/>
              <w:widowControl w:val="0"/>
              <w:numPr>
                <w:ilvl w:val="2"/>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color w:val="auto"/>
                <w:szCs w:val="24"/>
                <w:lang w:val="en-US" w:eastAsia="zh-CN"/>
              </w:rPr>
            </w:pPr>
            <w:r>
              <w:rPr>
                <w:rFonts w:hint="eastAsia" w:ascii="Times New Roman" w:hAnsi="Times New Roman" w:eastAsia="宋体" w:cs="Times New Roman"/>
                <w:b w:val="0"/>
                <w:bCs/>
                <w:color w:val="auto"/>
                <w:sz w:val="21"/>
                <w:szCs w:val="21"/>
                <w:lang w:val="en-US" w:eastAsia="zh-CN"/>
              </w:rPr>
              <w:t>综上所述，本项目选址安居区工业集中发展区装备制造产业园内，无明显制约因素，项目与外环境基本相容，园区基础设施完备，选址合理。</w:t>
            </w:r>
          </w:p>
          <w:p w14:paraId="04A2E1A4">
            <w:pPr>
              <w:spacing w:line="360" w:lineRule="auto"/>
              <w:ind w:firstLine="420" w:firstLineChars="200"/>
              <w:rPr>
                <w:rFonts w:hint="eastAsia" w:ascii="Times New Roman" w:hAnsi="Times New Roman" w:eastAsia="宋体" w:cs="Times New Roman"/>
                <w:b w:val="0"/>
                <w:bCs/>
                <w:color w:val="auto"/>
                <w:sz w:val="21"/>
                <w:szCs w:val="21"/>
                <w:lang w:val="en-US" w:eastAsia="zh-CN"/>
              </w:rPr>
            </w:pPr>
          </w:p>
          <w:p w14:paraId="32059384">
            <w:pPr>
              <w:pStyle w:val="78"/>
              <w:ind w:left="0" w:leftChars="0" w:firstLine="0" w:firstLineChars="0"/>
              <w:rPr>
                <w:rFonts w:hint="default" w:ascii="Times New Roman" w:hAnsi="Times New Roman" w:eastAsia="宋体" w:cs="Times New Roman"/>
                <w:color w:val="auto"/>
                <w:sz w:val="21"/>
                <w:szCs w:val="21"/>
                <w:lang w:val="en-US" w:eastAsia="zh-CN"/>
              </w:rPr>
            </w:pPr>
          </w:p>
          <w:p w14:paraId="53716A5D">
            <w:pPr>
              <w:pStyle w:val="78"/>
              <w:ind w:left="0" w:leftChars="0" w:firstLine="420" w:firstLineChars="200"/>
              <w:rPr>
                <w:rFonts w:hint="default" w:ascii="Times New Roman" w:hAnsi="Times New Roman" w:eastAsia="宋体" w:cs="Times New Roman"/>
                <w:color w:val="auto"/>
                <w:sz w:val="21"/>
                <w:szCs w:val="21"/>
                <w:lang w:val="en-US" w:eastAsia="zh-CN"/>
              </w:rPr>
            </w:pPr>
          </w:p>
          <w:p w14:paraId="67FE47DF">
            <w:pPr>
              <w:pStyle w:val="78"/>
              <w:ind w:left="0" w:leftChars="0" w:firstLine="420" w:firstLineChars="200"/>
              <w:rPr>
                <w:rFonts w:hint="default" w:ascii="Times New Roman" w:hAnsi="Times New Roman" w:eastAsia="宋体" w:cs="Times New Roman"/>
                <w:color w:val="auto"/>
                <w:sz w:val="21"/>
                <w:szCs w:val="21"/>
                <w:lang w:val="en-US" w:eastAsia="zh-CN"/>
              </w:rPr>
            </w:pPr>
          </w:p>
        </w:tc>
      </w:tr>
    </w:tbl>
    <w:p w14:paraId="6DAC2C3F">
      <w:pPr>
        <w:pStyle w:val="25"/>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二、建设项目工程分析</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4"/>
        <w:gridCol w:w="8635"/>
      </w:tblGrid>
      <w:tr w14:paraId="21AA01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16" w:hRule="atLeast"/>
          <w:jc w:val="center"/>
        </w:trPr>
        <w:tc>
          <w:tcPr>
            <w:tcW w:w="756" w:type="dxa"/>
            <w:noWrap w:val="0"/>
            <w:vAlign w:val="center"/>
          </w:tcPr>
          <w:p w14:paraId="2666C69D">
            <w:pPr>
              <w:jc w:val="center"/>
              <w:rPr>
                <w:rFonts w:cs="宋体"/>
                <w:color w:val="auto"/>
                <w:sz w:val="21"/>
                <w:szCs w:val="21"/>
              </w:rPr>
            </w:pPr>
            <w:r>
              <w:rPr>
                <w:rFonts w:hint="eastAsia" w:cs="宋体"/>
                <w:color w:val="auto"/>
                <w:sz w:val="21"/>
                <w:szCs w:val="21"/>
              </w:rPr>
              <w:t>建设内容</w:t>
            </w:r>
          </w:p>
        </w:tc>
        <w:tc>
          <w:tcPr>
            <w:tcW w:w="8304" w:type="dxa"/>
            <w:noWrap w:val="0"/>
            <w:vAlign w:val="top"/>
          </w:tcPr>
          <w:p w14:paraId="4713654F">
            <w:pPr>
              <w:numPr>
                <w:ilvl w:val="0"/>
                <w:numId w:val="0"/>
              </w:numPr>
              <w:adjustRightInd w:val="0"/>
              <w:snapToGrid w:val="0"/>
              <w:spacing w:line="360" w:lineRule="auto"/>
              <w:jc w:val="left"/>
              <w:rPr>
                <w:rFonts w:hint="default"/>
                <w:b/>
                <w:bCs/>
                <w:color w:val="auto"/>
                <w:lang w:val="en-US" w:eastAsia="zh-CN"/>
              </w:rPr>
            </w:pPr>
            <w:r>
              <w:rPr>
                <w:rFonts w:hint="eastAsia"/>
                <w:b/>
                <w:bCs/>
                <w:color w:val="auto"/>
                <w:lang w:val="en-US" w:eastAsia="zh-CN"/>
              </w:rPr>
              <w:t>1、项目背景及由来</w:t>
            </w:r>
          </w:p>
          <w:p w14:paraId="01004218">
            <w:pPr>
              <w:pStyle w:val="79"/>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outlineLvl w:val="9"/>
              <w:rPr>
                <w:rFonts w:hint="eastAsia" w:ascii="Times New Roman" w:hAnsi="Times New Roman" w:eastAsia="宋体" w:cs="Times New Roman"/>
                <w:b w:val="0"/>
                <w:bCs w:val="0"/>
                <w:color w:val="auto"/>
                <w:lang w:val="en-US" w:eastAsia="zh-CN"/>
              </w:rPr>
            </w:pPr>
            <w:r>
              <w:rPr>
                <w:rFonts w:hint="eastAsia" w:ascii="宋体" w:hAnsi="宋体" w:cs="宋体"/>
                <w:color w:val="auto"/>
                <w:kern w:val="2"/>
                <w:sz w:val="21"/>
                <w:szCs w:val="21"/>
                <w:lang w:val="en-US" w:eastAsia="zh-CN" w:bidi="ar-SA"/>
              </w:rPr>
              <w:t>四川政宇摩托车制造有限公司</w:t>
            </w:r>
            <w:r>
              <w:rPr>
                <w:rFonts w:hint="eastAsia" w:ascii="宋体" w:hAnsi="宋体" w:eastAsia="宋体" w:cs="宋体"/>
                <w:color w:val="auto"/>
                <w:kern w:val="2"/>
                <w:sz w:val="21"/>
                <w:szCs w:val="21"/>
                <w:lang w:val="en-US" w:eastAsia="zh-CN" w:bidi="ar-SA"/>
              </w:rPr>
              <w:t>成立于2020年09月23日，主要从事电动正三轮摩托车的生产和销售。</w:t>
            </w:r>
            <w:r>
              <w:rPr>
                <w:rFonts w:hint="eastAsia" w:ascii="Times New Roman" w:hAnsi="Times New Roman" w:eastAsia="宋体" w:cs="Times New Roman"/>
                <w:b w:val="0"/>
                <w:bCs w:val="0"/>
                <w:color w:val="auto"/>
                <w:lang w:val="en-US" w:eastAsia="zh-CN"/>
              </w:rPr>
              <w:t>根据市场需求，</w:t>
            </w:r>
            <w:r>
              <w:rPr>
                <w:rFonts w:hint="eastAsia" w:ascii="宋体" w:hAnsi="宋体" w:cs="宋体"/>
                <w:color w:val="auto"/>
                <w:kern w:val="2"/>
                <w:sz w:val="21"/>
                <w:szCs w:val="21"/>
                <w:lang w:val="en-US" w:eastAsia="zh-CN" w:bidi="ar-SA"/>
              </w:rPr>
              <w:t>四川政宇摩托车制造有限公司</w:t>
            </w:r>
            <w:r>
              <w:rPr>
                <w:rFonts w:hint="eastAsia" w:ascii="宋体" w:hAnsi="宋体" w:eastAsia="宋体" w:cs="宋体"/>
                <w:color w:val="auto"/>
                <w:kern w:val="2"/>
                <w:sz w:val="21"/>
                <w:szCs w:val="21"/>
                <w:lang w:val="en-US" w:eastAsia="zh-CN" w:bidi="ar-SA"/>
              </w:rPr>
              <w:t>拟在</w:t>
            </w:r>
            <w:r>
              <w:rPr>
                <w:rStyle w:val="32"/>
                <w:rFonts w:hint="eastAsia" w:ascii="宋体" w:hAnsi="宋体" w:eastAsia="宋体" w:cs="Times New Roman"/>
                <w:color w:val="auto"/>
                <w:kern w:val="2"/>
                <w:sz w:val="21"/>
                <w:szCs w:val="21"/>
                <w:lang w:val="en-US" w:eastAsia="zh-CN" w:bidi="ar-SA"/>
              </w:rPr>
              <w:t>遂宁市安居区工业集中发展区（含经开区）</w:t>
            </w:r>
            <w:r>
              <w:rPr>
                <w:rFonts w:hint="eastAsia" w:ascii="宋体" w:hAnsi="宋体" w:eastAsia="宋体" w:cs="宋体"/>
                <w:color w:val="auto"/>
                <w:kern w:val="2"/>
                <w:sz w:val="21"/>
                <w:szCs w:val="21"/>
                <w:lang w:val="en-US" w:eastAsia="zh-CN" w:bidi="ar-SA"/>
              </w:rPr>
              <w:t>征地约</w:t>
            </w:r>
            <w:r>
              <w:rPr>
                <w:rFonts w:hint="eastAsia" w:ascii="宋体" w:hAnsi="宋体" w:cs="宋体"/>
                <w:color w:val="auto"/>
                <w:kern w:val="2"/>
                <w:sz w:val="21"/>
                <w:szCs w:val="21"/>
                <w:lang w:val="en-US" w:eastAsia="zh-CN" w:bidi="ar-SA"/>
              </w:rPr>
              <w:t>50</w:t>
            </w:r>
            <w:r>
              <w:rPr>
                <w:rFonts w:hint="eastAsia" w:ascii="宋体" w:hAnsi="宋体" w:eastAsia="宋体" w:cs="宋体"/>
                <w:color w:val="auto"/>
                <w:kern w:val="2"/>
                <w:sz w:val="21"/>
                <w:szCs w:val="21"/>
                <w:lang w:val="en-US" w:eastAsia="zh-CN" w:bidi="ar-SA"/>
              </w:rPr>
              <w:t>亩（</w:t>
            </w:r>
            <w:r>
              <w:rPr>
                <w:rFonts w:hint="eastAsia" w:ascii="宋体" w:hAnsi="宋体" w:cs="宋体"/>
                <w:color w:val="auto"/>
                <w:szCs w:val="21"/>
                <w:lang w:val="en-US" w:eastAsia="zh-CN"/>
              </w:rPr>
              <w:t>33445.95</w:t>
            </w:r>
            <w:r>
              <w:rPr>
                <w:rFonts w:hint="eastAsia" w:ascii="宋体" w:hAnsi="宋体" w:eastAsia="宋体" w:cs="宋体"/>
                <w:color w:val="auto"/>
                <w:sz w:val="21"/>
                <w:szCs w:val="21"/>
                <w:lang w:val="en-US" w:eastAsia="zh-CN"/>
              </w:rPr>
              <w:t>m</w:t>
            </w:r>
            <w:r>
              <w:rPr>
                <w:rFonts w:hint="eastAsia" w:ascii="宋体" w:hAnsi="宋体" w:eastAsia="宋体" w:cs="宋体"/>
                <w:color w:val="auto"/>
                <w:sz w:val="21"/>
                <w:szCs w:val="21"/>
                <w:vertAlign w:val="superscript"/>
                <w:lang w:val="en-US" w:eastAsia="zh-CN"/>
              </w:rPr>
              <w:t>2</w:t>
            </w:r>
            <w:r>
              <w:rPr>
                <w:rFonts w:hint="eastAsia" w:ascii="宋体" w:hAnsi="宋体" w:eastAsia="宋体" w:cs="宋体"/>
                <w:color w:val="auto"/>
                <w:kern w:val="2"/>
                <w:sz w:val="21"/>
                <w:szCs w:val="21"/>
                <w:lang w:val="en-US" w:eastAsia="zh-CN" w:bidi="ar-SA"/>
              </w:rPr>
              <w:t>），建设</w:t>
            </w:r>
            <w:r>
              <w:rPr>
                <w:rFonts w:hint="eastAsia" w:cs="Times New Roman"/>
                <w:b w:val="0"/>
                <w:bCs w:val="0"/>
                <w:color w:val="auto"/>
                <w:lang w:val="en-US" w:eastAsia="zh-CN"/>
              </w:rPr>
              <w:t>遂宁市安居区政宇年产10万辆新能源电动车项目</w:t>
            </w:r>
            <w:r>
              <w:rPr>
                <w:rFonts w:hint="eastAsia" w:ascii="Times New Roman" w:hAnsi="Times New Roman" w:eastAsia="宋体" w:cs="Times New Roman"/>
                <w:b w:val="0"/>
                <w:bCs w:val="0"/>
                <w:color w:val="auto"/>
                <w:lang w:val="en-US" w:eastAsia="zh-CN"/>
              </w:rPr>
              <w:t>（以</w:t>
            </w:r>
            <w:r>
              <w:rPr>
                <w:rFonts w:hint="eastAsia" w:cs="Times New Roman"/>
                <w:b w:val="0"/>
                <w:bCs w:val="0"/>
                <w:color w:val="auto"/>
                <w:lang w:val="en-US" w:eastAsia="zh-CN"/>
              </w:rPr>
              <w:t>下简</w:t>
            </w:r>
            <w:r>
              <w:rPr>
                <w:rFonts w:hint="eastAsia" w:ascii="Times New Roman" w:hAnsi="Times New Roman" w:eastAsia="宋体" w:cs="Times New Roman"/>
                <w:b w:val="0"/>
                <w:bCs w:val="0"/>
                <w:color w:val="auto"/>
                <w:lang w:val="en-US" w:eastAsia="zh-CN"/>
              </w:rPr>
              <w:t>称本项目）</w:t>
            </w:r>
            <w:r>
              <w:rPr>
                <w:rFonts w:hint="eastAsia" w:ascii="宋体" w:hAnsi="宋体" w:eastAsia="宋体" w:cs="宋体"/>
                <w:color w:val="auto"/>
                <w:kern w:val="2"/>
                <w:sz w:val="21"/>
                <w:szCs w:val="21"/>
                <w:lang w:val="en-US" w:eastAsia="zh-CN" w:bidi="ar-SA"/>
              </w:rPr>
              <w:t>。</w:t>
            </w:r>
          </w:p>
          <w:p w14:paraId="038E5116">
            <w:pPr>
              <w:pStyle w:val="79"/>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jc w:val="both"/>
              <w:textAlignment w:val="auto"/>
              <w:outlineLvl w:val="9"/>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根据《中华人民共和国环境影响评价法》</w:t>
            </w:r>
            <w:r>
              <w:rPr>
                <w:rFonts w:hint="eastAsia" w:ascii="Times New Roman" w:hAnsi="Times New Roman" w:eastAsia="宋体" w:cs="Times New Roman"/>
                <w:b w:val="0"/>
                <w:bCs w:val="0"/>
                <w:color w:val="auto"/>
                <w:sz w:val="21"/>
                <w:szCs w:val="21"/>
                <w:lang w:val="en-US" w:eastAsia="zh-CN"/>
              </w:rPr>
              <w:t>及</w:t>
            </w:r>
            <w:r>
              <w:rPr>
                <w:rFonts w:hint="default" w:ascii="Times New Roman" w:hAnsi="Times New Roman" w:eastAsia="宋体" w:cs="Times New Roman"/>
                <w:b w:val="0"/>
                <w:bCs w:val="0"/>
                <w:color w:val="auto"/>
                <w:sz w:val="21"/>
                <w:szCs w:val="21"/>
                <w:lang w:val="en-US" w:eastAsia="zh-CN"/>
              </w:rPr>
              <w:t>《建设项目环境保护管理条例》中有关规定</w:t>
            </w:r>
            <w:r>
              <w:rPr>
                <w:rFonts w:hint="eastAsia" w:ascii="Times New Roman" w:hAnsi="Times New Roman" w:eastAsia="宋体" w:cs="Times New Roman"/>
                <w:b w:val="0"/>
                <w:bCs w:val="0"/>
                <w:color w:val="auto"/>
                <w:sz w:val="21"/>
                <w:szCs w:val="21"/>
                <w:lang w:val="en-US" w:eastAsia="zh-CN"/>
              </w:rPr>
              <w:t>，本</w:t>
            </w:r>
            <w:r>
              <w:rPr>
                <w:rFonts w:hint="default" w:ascii="Times New Roman" w:hAnsi="Times New Roman" w:eastAsia="宋体" w:cs="Times New Roman"/>
                <w:b w:val="0"/>
                <w:bCs w:val="0"/>
                <w:color w:val="auto"/>
                <w:sz w:val="21"/>
                <w:szCs w:val="21"/>
                <w:lang w:val="en-US" w:eastAsia="zh-CN"/>
              </w:rPr>
              <w:t>项目应进行环境影响评价</w:t>
            </w:r>
            <w:r>
              <w:rPr>
                <w:rFonts w:hint="eastAsia" w:ascii="Times New Roman" w:hAnsi="Times New Roman" w:eastAsia="宋体" w:cs="Times New Roman"/>
                <w:b w:val="0"/>
                <w:bCs w:val="0"/>
                <w:color w:val="auto"/>
                <w:sz w:val="21"/>
                <w:szCs w:val="21"/>
                <w:lang w:val="en-US" w:eastAsia="zh-CN"/>
              </w:rPr>
              <w:t>；同时，</w:t>
            </w:r>
            <w:r>
              <w:rPr>
                <w:rFonts w:hint="eastAsia" w:cs="Times New Roman"/>
                <w:b w:val="0"/>
                <w:bCs w:val="0"/>
                <w:color w:val="auto"/>
                <w:sz w:val="21"/>
                <w:szCs w:val="21"/>
                <w:lang w:val="en-US" w:eastAsia="zh-CN"/>
              </w:rPr>
              <w:t>本项目为电动摩托车整车制造，仅有组装工序，因此</w:t>
            </w:r>
            <w:r>
              <w:rPr>
                <w:rFonts w:hint="default" w:ascii="Times New Roman" w:hAnsi="Times New Roman" w:eastAsia="宋体" w:cs="Times New Roman"/>
                <w:b w:val="0"/>
                <w:bCs w:val="0"/>
                <w:color w:val="auto"/>
                <w:sz w:val="21"/>
                <w:szCs w:val="21"/>
                <w:lang w:val="en-US" w:eastAsia="zh-CN"/>
              </w:rPr>
              <w:t>根据《建设项目环境影响评价分类管理名录</w:t>
            </w:r>
            <w:r>
              <w:rPr>
                <w:rFonts w:hint="eastAsia" w:ascii="Times New Roman" w:hAnsi="Times New Roman" w:eastAsia="宋体" w:cs="Times New Roman"/>
                <w:b w:val="0"/>
                <w:bCs w:val="0"/>
                <w:color w:val="auto"/>
                <w:sz w:val="21"/>
                <w:szCs w:val="21"/>
                <w:lang w:val="en-US" w:eastAsia="zh-CN"/>
              </w:rPr>
              <w:t>（2021年版）</w:t>
            </w:r>
            <w:r>
              <w:rPr>
                <w:rFonts w:hint="default" w:ascii="Times New Roman" w:hAnsi="Times New Roman" w:eastAsia="宋体" w:cs="Times New Roman"/>
                <w:b w:val="0"/>
                <w:bCs w:val="0"/>
                <w:color w:val="auto"/>
                <w:sz w:val="21"/>
                <w:szCs w:val="21"/>
                <w:lang w:val="en-US" w:eastAsia="zh-CN"/>
              </w:rPr>
              <w:t>》</w:t>
            </w:r>
            <w:r>
              <w:rPr>
                <w:rFonts w:hint="eastAsia" w:ascii="Times New Roman" w:hAnsi="Times New Roman" w:eastAsia="宋体" w:cs="Times New Roman"/>
                <w:b w:val="0"/>
                <w:bCs w:val="0"/>
                <w:color w:val="auto"/>
                <w:sz w:val="21"/>
                <w:szCs w:val="21"/>
                <w:lang w:val="en-US" w:eastAsia="zh-CN"/>
              </w:rPr>
              <w:t>中相关内容，本</w:t>
            </w:r>
            <w:r>
              <w:rPr>
                <w:rFonts w:hint="default" w:ascii="Times New Roman" w:hAnsi="Times New Roman" w:eastAsia="宋体" w:cs="Times New Roman"/>
                <w:b w:val="0"/>
                <w:bCs w:val="0"/>
                <w:color w:val="auto"/>
                <w:sz w:val="21"/>
                <w:szCs w:val="21"/>
                <w:lang w:val="en-US" w:eastAsia="zh-CN"/>
              </w:rPr>
              <w:t>项目类别</w:t>
            </w:r>
            <w:r>
              <w:rPr>
                <w:rFonts w:hint="eastAsia" w:ascii="Times New Roman" w:hAnsi="Times New Roman" w:eastAsia="宋体" w:cs="Times New Roman"/>
                <w:b w:val="0"/>
                <w:bCs w:val="0"/>
                <w:color w:val="auto"/>
                <w:sz w:val="21"/>
                <w:szCs w:val="21"/>
                <w:lang w:val="en-US" w:eastAsia="zh-CN"/>
              </w:rPr>
              <w:t>属于：“</w:t>
            </w:r>
            <w:r>
              <w:rPr>
                <w:rFonts w:hint="default" w:ascii="Times New Roman" w:hAnsi="Times New Roman" w:eastAsia="宋体" w:cs="Times New Roman"/>
                <w:b w:val="0"/>
                <w:bCs w:val="0"/>
                <w:color w:val="auto"/>
                <w:sz w:val="21"/>
                <w:szCs w:val="21"/>
                <w:lang w:val="en-US" w:eastAsia="zh-CN"/>
              </w:rPr>
              <w:t>三十四、铁路、船舶、航空航天和其他运输设备制造业</w:t>
            </w:r>
            <w:r>
              <w:rPr>
                <w:rFonts w:hint="eastAsia" w:ascii="Times New Roman" w:hAnsi="Times New Roman" w:eastAsia="宋体" w:cs="Times New Roman"/>
                <w:b w:val="0"/>
                <w:bCs w:val="0"/>
                <w:color w:val="auto"/>
                <w:sz w:val="21"/>
                <w:szCs w:val="21"/>
                <w:lang w:val="en-US" w:eastAsia="zh-CN"/>
              </w:rPr>
              <w:t>”中“75.摩托车制造”中“摩托车整车制造</w:t>
            </w:r>
            <w:r>
              <w:rPr>
                <w:rFonts w:hint="eastAsia" w:ascii="Times New Roman" w:hAnsi="Times New Roman" w:eastAsia="宋体" w:cs="Times New Roman"/>
                <w:b/>
                <w:bCs/>
                <w:color w:val="auto"/>
                <w:sz w:val="21"/>
                <w:szCs w:val="21"/>
                <w:lang w:val="en-US" w:eastAsia="zh-CN"/>
              </w:rPr>
              <w:t>（仅组装</w:t>
            </w:r>
            <w:r>
              <w:rPr>
                <w:rFonts w:hint="eastAsia" w:cs="Times New Roman"/>
                <w:b/>
                <w:bCs/>
                <w:color w:val="auto"/>
                <w:sz w:val="21"/>
                <w:szCs w:val="21"/>
                <w:lang w:val="en-US" w:eastAsia="zh-CN"/>
              </w:rPr>
              <w:t>的除外</w:t>
            </w:r>
            <w:r>
              <w:rPr>
                <w:rFonts w:hint="eastAsia" w:ascii="Times New Roman" w:hAnsi="Times New Roman" w:eastAsia="宋体" w:cs="Times New Roman"/>
                <w:b/>
                <w:bCs/>
                <w:color w:val="auto"/>
                <w:sz w:val="21"/>
                <w:szCs w:val="21"/>
                <w:lang w:val="en-US" w:eastAsia="zh-CN"/>
              </w:rPr>
              <w:t>）</w:t>
            </w:r>
            <w:r>
              <w:rPr>
                <w:rFonts w:hint="eastAsia" w:ascii="Times New Roman" w:hAnsi="Times New Roman" w:eastAsia="宋体" w:cs="Times New Roman"/>
                <w:b w:val="0"/>
                <w:bCs w:val="0"/>
                <w:color w:val="auto"/>
                <w:sz w:val="21"/>
                <w:szCs w:val="21"/>
                <w:lang w:val="en-US" w:eastAsia="zh-CN"/>
              </w:rPr>
              <w:t>”</w:t>
            </w:r>
            <w:r>
              <w:rPr>
                <w:rFonts w:hint="eastAsia" w:cs="Times New Roman"/>
                <w:b w:val="0"/>
                <w:bCs w:val="0"/>
                <w:color w:val="auto"/>
                <w:sz w:val="21"/>
                <w:szCs w:val="21"/>
                <w:lang w:val="en-US" w:eastAsia="zh-CN"/>
              </w:rPr>
              <w:t>，本项目</w:t>
            </w:r>
            <w:r>
              <w:rPr>
                <w:rFonts w:hint="default" w:ascii="Times New Roman" w:hAnsi="Times New Roman" w:eastAsia="宋体" w:cs="Times New Roman"/>
                <w:b w:val="0"/>
                <w:bCs w:val="0"/>
                <w:color w:val="auto"/>
                <w:sz w:val="21"/>
                <w:szCs w:val="21"/>
                <w:lang w:val="en-US" w:eastAsia="zh-CN"/>
              </w:rPr>
              <w:t>应编制环境影响报告表</w:t>
            </w:r>
            <w:r>
              <w:rPr>
                <w:rFonts w:hint="eastAsia" w:ascii="Times New Roman" w:hAnsi="Times New Roman" w:eastAsia="宋体" w:cs="Times New Roman"/>
                <w:b w:val="0"/>
                <w:bCs w:val="0"/>
                <w:color w:val="auto"/>
                <w:sz w:val="21"/>
                <w:szCs w:val="21"/>
                <w:lang w:val="en-US" w:eastAsia="zh-CN"/>
              </w:rPr>
              <w:t>。</w:t>
            </w:r>
          </w:p>
          <w:p w14:paraId="3CE26E7C">
            <w:pPr>
              <w:pStyle w:val="79"/>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jc w:val="both"/>
              <w:textAlignment w:val="auto"/>
              <w:outlineLvl w:val="9"/>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由此</w:t>
            </w:r>
            <w:r>
              <w:rPr>
                <w:rFonts w:hint="eastAsia"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受</w:t>
            </w:r>
            <w:r>
              <w:rPr>
                <w:rFonts w:hint="eastAsia" w:cs="Times New Roman"/>
                <w:b w:val="0"/>
                <w:bCs w:val="0"/>
                <w:color w:val="auto"/>
                <w:sz w:val="21"/>
                <w:szCs w:val="21"/>
                <w:lang w:val="en-US" w:eastAsia="zh-CN"/>
              </w:rPr>
              <w:t>本</w:t>
            </w:r>
            <w:r>
              <w:rPr>
                <w:rFonts w:hint="default" w:ascii="Times New Roman" w:hAnsi="Times New Roman" w:eastAsia="宋体" w:cs="Times New Roman"/>
                <w:b w:val="0"/>
                <w:bCs w:val="0"/>
                <w:color w:val="auto"/>
                <w:sz w:val="21"/>
                <w:szCs w:val="21"/>
                <w:lang w:val="en-US" w:eastAsia="zh-CN"/>
              </w:rPr>
              <w:t>项目业主</w:t>
            </w:r>
            <w:r>
              <w:rPr>
                <w:rFonts w:hint="eastAsia" w:cs="Times New Roman"/>
                <w:b w:val="0"/>
                <w:bCs w:val="0"/>
                <w:color w:val="auto"/>
                <w:lang w:val="en-US" w:eastAsia="zh-CN"/>
              </w:rPr>
              <w:t>四川政宇摩托车制造有限公司</w:t>
            </w:r>
            <w:r>
              <w:rPr>
                <w:rFonts w:hint="default" w:ascii="Times New Roman" w:hAnsi="Times New Roman" w:eastAsia="宋体" w:cs="Times New Roman"/>
                <w:b w:val="0"/>
                <w:bCs w:val="0"/>
                <w:color w:val="auto"/>
                <w:sz w:val="21"/>
                <w:szCs w:val="21"/>
                <w:lang w:val="en-US" w:eastAsia="zh-CN"/>
              </w:rPr>
              <w:t>委托</w:t>
            </w:r>
            <w:r>
              <w:rPr>
                <w:rFonts w:hint="eastAsia"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四川</w:t>
            </w:r>
            <w:r>
              <w:rPr>
                <w:rFonts w:hint="eastAsia" w:ascii="Times New Roman" w:hAnsi="Times New Roman" w:eastAsia="宋体" w:cs="Times New Roman"/>
                <w:b w:val="0"/>
                <w:bCs w:val="0"/>
                <w:color w:val="auto"/>
                <w:sz w:val="21"/>
                <w:szCs w:val="21"/>
                <w:lang w:val="en-US" w:eastAsia="zh-CN"/>
              </w:rPr>
              <w:t>浩瀚宏略工程技术咨询</w:t>
            </w:r>
            <w:r>
              <w:rPr>
                <w:rFonts w:hint="default" w:ascii="Times New Roman" w:hAnsi="Times New Roman" w:eastAsia="宋体" w:cs="Times New Roman"/>
                <w:b w:val="0"/>
                <w:bCs w:val="0"/>
                <w:color w:val="auto"/>
                <w:sz w:val="21"/>
                <w:szCs w:val="21"/>
                <w:lang w:val="en-US" w:eastAsia="zh-CN"/>
              </w:rPr>
              <w:t>有限公司接受了该项目环境影响报告表编制工作</w:t>
            </w:r>
            <w:r>
              <w:rPr>
                <w:rFonts w:hint="eastAsia"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并开展了现场踏勘、资料收集、整理工作</w:t>
            </w:r>
            <w:r>
              <w:rPr>
                <w:rFonts w:hint="eastAsia"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评价单位在掌握了充分的资料数据基础上</w:t>
            </w:r>
            <w:r>
              <w:rPr>
                <w:rFonts w:hint="eastAsia"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按照有关技术规范要求</w:t>
            </w:r>
            <w:r>
              <w:rPr>
                <w:rFonts w:hint="eastAsia"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编制了</w:t>
            </w:r>
            <w:r>
              <w:rPr>
                <w:rFonts w:hint="eastAsia" w:cs="Times New Roman"/>
                <w:b w:val="0"/>
                <w:bCs w:val="0"/>
                <w:color w:val="auto"/>
                <w:sz w:val="21"/>
                <w:szCs w:val="21"/>
                <w:lang w:val="en-US" w:eastAsia="zh-CN"/>
              </w:rPr>
              <w:t>本</w:t>
            </w:r>
            <w:r>
              <w:rPr>
                <w:rFonts w:hint="default" w:ascii="Times New Roman" w:hAnsi="Times New Roman" w:eastAsia="宋体" w:cs="Times New Roman"/>
                <w:b w:val="0"/>
                <w:bCs w:val="0"/>
                <w:color w:val="auto"/>
                <w:sz w:val="21"/>
                <w:szCs w:val="21"/>
                <w:lang w:val="en-US" w:eastAsia="zh-CN"/>
              </w:rPr>
              <w:t>项目环境影响报告表。</w:t>
            </w:r>
          </w:p>
          <w:p w14:paraId="34CC21E1">
            <w:pPr>
              <w:numPr>
                <w:ilvl w:val="0"/>
                <w:numId w:val="0"/>
              </w:numPr>
              <w:adjustRightInd w:val="0"/>
              <w:snapToGrid w:val="0"/>
              <w:spacing w:line="360" w:lineRule="auto"/>
              <w:jc w:val="left"/>
              <w:rPr>
                <w:rFonts w:hint="default"/>
                <w:b w:val="0"/>
                <w:bCs w:val="0"/>
                <w:color w:val="auto"/>
                <w:lang w:val="en-US" w:eastAsia="zh-CN"/>
              </w:rPr>
            </w:pPr>
            <w:r>
              <w:rPr>
                <w:rFonts w:hint="eastAsia"/>
                <w:b/>
                <w:bCs/>
                <w:color w:val="auto"/>
                <w:lang w:val="en-US" w:eastAsia="zh-CN"/>
              </w:rPr>
              <w:t>2、项目基本情况</w:t>
            </w:r>
          </w:p>
          <w:p w14:paraId="24DE220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（1）项目概况</w:t>
            </w:r>
          </w:p>
          <w:p w14:paraId="0E58624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项目名称：</w:t>
            </w:r>
            <w:r>
              <w:rPr>
                <w:rFonts w:hint="eastAsia" w:cs="Times New Roman"/>
                <w:b w:val="0"/>
                <w:bCs w:val="0"/>
                <w:color w:val="auto"/>
                <w:lang w:val="en-US" w:eastAsia="zh-CN"/>
              </w:rPr>
              <w:t>遂宁市安居区政宇年产10万辆新能源电动车项目</w:t>
            </w:r>
          </w:p>
          <w:p w14:paraId="3D030F6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建设单位：</w:t>
            </w:r>
            <w:r>
              <w:rPr>
                <w:rFonts w:hint="eastAsia" w:cs="Times New Roman"/>
                <w:b w:val="0"/>
                <w:bCs w:val="0"/>
                <w:color w:val="auto"/>
                <w:lang w:val="en-US" w:eastAsia="zh-CN"/>
              </w:rPr>
              <w:t>四川政宇摩托车制造有限公司</w:t>
            </w:r>
          </w:p>
          <w:p w14:paraId="05FD451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建设地点：</w:t>
            </w:r>
            <w:r>
              <w:rPr>
                <w:rFonts w:hint="eastAsia" w:ascii="宋体" w:hAnsi="宋体" w:cs="宋体"/>
                <w:color w:val="auto"/>
                <w:szCs w:val="21"/>
                <w:lang w:val="en-US" w:eastAsia="zh-CN"/>
              </w:rPr>
              <w:t>四川省遂宁市安居区潮新路 8 号</w:t>
            </w:r>
          </w:p>
          <w:p w14:paraId="37DC435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建设性质：新建</w:t>
            </w:r>
          </w:p>
          <w:p w14:paraId="253F344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项目投资：总投资</w:t>
            </w:r>
            <w:r>
              <w:rPr>
                <w:rFonts w:hint="eastAsia" w:cs="Times New Roman"/>
                <w:b w:val="0"/>
                <w:bCs w:val="0"/>
                <w:color w:val="auto"/>
                <w:lang w:val="en-US" w:eastAsia="zh-CN"/>
              </w:rPr>
              <w:t>33</w:t>
            </w:r>
            <w:r>
              <w:rPr>
                <w:rFonts w:hint="eastAsia" w:ascii="Times New Roman" w:hAnsi="Times New Roman" w:eastAsia="宋体" w:cs="Times New Roman"/>
                <w:b w:val="0"/>
                <w:bCs w:val="0"/>
                <w:color w:val="auto"/>
                <w:lang w:val="en-US" w:eastAsia="zh-CN"/>
              </w:rPr>
              <w:t>000万元</w:t>
            </w:r>
          </w:p>
          <w:p w14:paraId="3F4D8A5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（2）产品方案</w:t>
            </w:r>
          </w:p>
          <w:p w14:paraId="7F4ECEE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产品为电动三轮车，是以电瓶为动力，电机驱动的拉货用的三轮运输工具。电动三轮车以其实用性强，机动灵活，维护简单，维修方便，价格低廉等优点，可以灵活地穿行于狭小的马路间。广泛应用于家庭、城乡、个体出租、厂区、矿区、环卫、社区保洁、快递配送等短途运输领域。</w:t>
            </w:r>
          </w:p>
          <w:p w14:paraId="1A2E922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产品主要销售于全国各地及出口贸易，因此本项目的生产规模是有销售渠道和保障的。项目年产电动三轮车为10万台，但不配置电瓶，电瓶由消费者单独在电动三轮车经销商处配置购买。项目产品方案见表2-1。</w:t>
            </w:r>
          </w:p>
          <w:p w14:paraId="5ABFBA29">
            <w:pPr>
              <w:snapToGrid w:val="0"/>
              <w:spacing w:before="120" w:beforeLines="50"/>
              <w:jc w:val="center"/>
              <w:rPr>
                <w:rFonts w:hint="eastAsia"/>
                <w:b/>
                <w:color w:val="auto"/>
                <w:sz w:val="21"/>
                <w:szCs w:val="21"/>
                <w:lang w:val="en-US" w:eastAsia="zh-CN"/>
              </w:rPr>
            </w:pPr>
            <w:r>
              <w:rPr>
                <w:rFonts w:hint="eastAsia"/>
                <w:b/>
                <w:color w:val="auto"/>
                <w:sz w:val="21"/>
                <w:szCs w:val="21"/>
              </w:rPr>
              <w:t>表</w:t>
            </w:r>
            <w:r>
              <w:rPr>
                <w:rFonts w:hint="eastAsia"/>
                <w:b/>
                <w:color w:val="auto"/>
                <w:sz w:val="21"/>
                <w:szCs w:val="21"/>
                <w:lang w:val="en-US" w:eastAsia="zh-CN"/>
              </w:rPr>
              <w:t>2</w:t>
            </w:r>
            <w:r>
              <w:rPr>
                <w:rFonts w:hint="eastAsia"/>
                <w:b/>
                <w:color w:val="auto"/>
                <w:sz w:val="21"/>
                <w:szCs w:val="21"/>
              </w:rPr>
              <w:t xml:space="preserve">-1 </w:t>
            </w:r>
            <w:r>
              <w:rPr>
                <w:rFonts w:hint="eastAsia"/>
                <w:b/>
                <w:color w:val="auto"/>
                <w:sz w:val="21"/>
                <w:szCs w:val="21"/>
                <w:lang w:val="en-US" w:eastAsia="zh-CN"/>
              </w:rPr>
              <w:t>项目产品方案</w:t>
            </w:r>
          </w:p>
          <w:tbl>
            <w:tblPr>
              <w:tblStyle w:val="3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800"/>
              <w:gridCol w:w="2802"/>
              <w:gridCol w:w="2807"/>
            </w:tblGrid>
            <w:tr w14:paraId="4B6E25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40" w:type="dxa"/>
                  <w:noWrap w:val="0"/>
                  <w:vAlign w:val="top"/>
                </w:tcPr>
                <w:p w14:paraId="28CF8E75">
                  <w:pPr>
                    <w:jc w:val="center"/>
                    <w:rPr>
                      <w:rFonts w:hint="eastAsia" w:ascii="Times New Roman" w:hAnsi="Times New Roman" w:eastAsia="宋体" w:cs="Times New Roman"/>
                      <w:color w:val="auto"/>
                      <w:sz w:val="18"/>
                      <w:szCs w:val="18"/>
                      <w:vertAlign w:val="baseline"/>
                      <w:lang w:eastAsia="zh-CN"/>
                    </w:rPr>
                  </w:pPr>
                  <w:r>
                    <w:rPr>
                      <w:rFonts w:hint="eastAsia" w:ascii="Times New Roman" w:hAnsi="Times New Roman" w:eastAsia="宋体" w:cs="Times New Roman"/>
                      <w:color w:val="auto"/>
                      <w:sz w:val="18"/>
                      <w:szCs w:val="18"/>
                      <w:vertAlign w:val="baseline"/>
                      <w:lang w:eastAsia="zh-CN"/>
                    </w:rPr>
                    <w:t>产品名称</w:t>
                  </w:r>
                </w:p>
              </w:tc>
              <w:tc>
                <w:tcPr>
                  <w:tcW w:w="2841" w:type="dxa"/>
                  <w:noWrap w:val="0"/>
                  <w:vAlign w:val="top"/>
                </w:tcPr>
                <w:p w14:paraId="0D255C79">
                  <w:pPr>
                    <w:jc w:val="center"/>
                    <w:rPr>
                      <w:rFonts w:hint="eastAsia" w:ascii="Times New Roman" w:hAnsi="Times New Roman" w:eastAsia="宋体" w:cs="Times New Roman"/>
                      <w:color w:val="auto"/>
                      <w:sz w:val="18"/>
                      <w:szCs w:val="18"/>
                      <w:vertAlign w:val="baseline"/>
                      <w:lang w:eastAsia="zh-CN"/>
                    </w:rPr>
                  </w:pPr>
                  <w:r>
                    <w:rPr>
                      <w:rFonts w:hint="eastAsia" w:ascii="Times New Roman" w:hAnsi="Times New Roman" w:eastAsia="宋体" w:cs="Times New Roman"/>
                      <w:color w:val="auto"/>
                      <w:sz w:val="18"/>
                      <w:szCs w:val="18"/>
                      <w:vertAlign w:val="baseline"/>
                      <w:lang w:eastAsia="zh-CN"/>
                    </w:rPr>
                    <w:t>规格</w:t>
                  </w:r>
                </w:p>
              </w:tc>
              <w:tc>
                <w:tcPr>
                  <w:tcW w:w="2841" w:type="dxa"/>
                  <w:noWrap w:val="0"/>
                  <w:vAlign w:val="top"/>
                </w:tcPr>
                <w:p w14:paraId="546140AE">
                  <w:pPr>
                    <w:jc w:val="center"/>
                    <w:rPr>
                      <w:rFonts w:hint="eastAsia" w:ascii="Times New Roman" w:hAnsi="Times New Roman" w:eastAsia="宋体" w:cs="Times New Roman"/>
                      <w:color w:val="auto"/>
                      <w:sz w:val="18"/>
                      <w:szCs w:val="18"/>
                      <w:vertAlign w:val="baseline"/>
                      <w:lang w:eastAsia="zh-CN"/>
                    </w:rPr>
                  </w:pPr>
                  <w:r>
                    <w:rPr>
                      <w:rFonts w:hint="eastAsia" w:ascii="Times New Roman" w:hAnsi="Times New Roman" w:eastAsia="宋体" w:cs="Times New Roman"/>
                      <w:color w:val="auto"/>
                      <w:sz w:val="18"/>
                      <w:szCs w:val="18"/>
                      <w:vertAlign w:val="baseline"/>
                      <w:lang w:eastAsia="zh-CN"/>
                    </w:rPr>
                    <w:t>数量（</w:t>
                  </w:r>
                  <w:r>
                    <w:rPr>
                      <w:rFonts w:hint="eastAsia" w:ascii="Times New Roman" w:hAnsi="Times New Roman" w:eastAsia="宋体" w:cs="Times New Roman"/>
                      <w:color w:val="auto"/>
                      <w:sz w:val="18"/>
                      <w:szCs w:val="18"/>
                      <w:vertAlign w:val="baseline"/>
                      <w:lang w:val="en-US" w:eastAsia="zh-CN"/>
                    </w:rPr>
                    <w:t>辆</w:t>
                  </w:r>
                  <w:r>
                    <w:rPr>
                      <w:rFonts w:hint="eastAsia" w:ascii="Times New Roman" w:hAnsi="Times New Roman" w:eastAsia="宋体" w:cs="Times New Roman"/>
                      <w:color w:val="auto"/>
                      <w:sz w:val="18"/>
                      <w:szCs w:val="18"/>
                      <w:vertAlign w:val="baseline"/>
                      <w:lang w:eastAsia="zh-CN"/>
                    </w:rPr>
                    <w:t>）</w:t>
                  </w:r>
                </w:p>
              </w:tc>
            </w:tr>
            <w:tr w14:paraId="4C650B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40" w:type="dxa"/>
                  <w:noWrap w:val="0"/>
                  <w:vAlign w:val="top"/>
                </w:tcPr>
                <w:p w14:paraId="543B25C9">
                  <w:pPr>
                    <w:jc w:val="center"/>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客运三轮车</w:t>
                  </w:r>
                </w:p>
              </w:tc>
              <w:tc>
                <w:tcPr>
                  <w:tcW w:w="2841" w:type="dxa"/>
                  <w:noWrap w:val="0"/>
                  <w:vAlign w:val="top"/>
                </w:tcPr>
                <w:p w14:paraId="3B65670C">
                  <w:pPr>
                    <w:jc w:val="center"/>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1.5米</w:t>
                  </w:r>
                </w:p>
              </w:tc>
              <w:tc>
                <w:tcPr>
                  <w:tcW w:w="2841" w:type="dxa"/>
                  <w:noWrap w:val="0"/>
                  <w:vAlign w:val="top"/>
                </w:tcPr>
                <w:p w14:paraId="38DDB0B2">
                  <w:pPr>
                    <w:jc w:val="center"/>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5000</w:t>
                  </w:r>
                </w:p>
              </w:tc>
            </w:tr>
            <w:tr w14:paraId="6FE610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40" w:type="dxa"/>
                  <w:noWrap w:val="0"/>
                  <w:vAlign w:val="top"/>
                </w:tcPr>
                <w:p w14:paraId="4826C4BC">
                  <w:pPr>
                    <w:jc w:val="center"/>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客运三轮车</w:t>
                  </w:r>
                </w:p>
              </w:tc>
              <w:tc>
                <w:tcPr>
                  <w:tcW w:w="2841" w:type="dxa"/>
                  <w:noWrap w:val="0"/>
                  <w:vAlign w:val="top"/>
                </w:tcPr>
                <w:p w14:paraId="13253B3F">
                  <w:pPr>
                    <w:jc w:val="center"/>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1.6米</w:t>
                  </w:r>
                </w:p>
              </w:tc>
              <w:tc>
                <w:tcPr>
                  <w:tcW w:w="2841" w:type="dxa"/>
                  <w:noWrap w:val="0"/>
                  <w:vAlign w:val="top"/>
                </w:tcPr>
                <w:p w14:paraId="49DC4F43">
                  <w:pPr>
                    <w:jc w:val="center"/>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5000</w:t>
                  </w:r>
                </w:p>
              </w:tc>
            </w:tr>
            <w:tr w14:paraId="25DFA7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40" w:type="dxa"/>
                  <w:noWrap w:val="0"/>
                  <w:vAlign w:val="top"/>
                </w:tcPr>
                <w:p w14:paraId="5FF3FCEC">
                  <w:pPr>
                    <w:jc w:val="center"/>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货运三轮车</w:t>
                  </w:r>
                </w:p>
              </w:tc>
              <w:tc>
                <w:tcPr>
                  <w:tcW w:w="2841" w:type="dxa"/>
                  <w:noWrap w:val="0"/>
                  <w:vAlign w:val="top"/>
                </w:tcPr>
                <w:p w14:paraId="6D063857">
                  <w:pPr>
                    <w:jc w:val="center"/>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0.9米</w:t>
                  </w:r>
                </w:p>
              </w:tc>
              <w:tc>
                <w:tcPr>
                  <w:tcW w:w="2841" w:type="dxa"/>
                  <w:noWrap w:val="0"/>
                  <w:vAlign w:val="top"/>
                </w:tcPr>
                <w:p w14:paraId="55CDAE83">
                  <w:pPr>
                    <w:jc w:val="center"/>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5000</w:t>
                  </w:r>
                </w:p>
              </w:tc>
            </w:tr>
            <w:tr w14:paraId="6AA859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40" w:type="dxa"/>
                  <w:noWrap w:val="0"/>
                  <w:vAlign w:val="top"/>
                </w:tcPr>
                <w:p w14:paraId="47DB16CB">
                  <w:pPr>
                    <w:jc w:val="center"/>
                    <w:rPr>
                      <w:rFonts w:hint="eastAsia" w:ascii="Times New Roman" w:hAnsi="Times New Roman" w:eastAsia="宋体" w:cs="Times New Roman"/>
                      <w:color w:val="auto"/>
                      <w:sz w:val="18"/>
                      <w:szCs w:val="18"/>
                      <w:vertAlign w:val="baseline"/>
                      <w:lang w:eastAsia="zh-CN"/>
                    </w:rPr>
                  </w:pPr>
                  <w:r>
                    <w:rPr>
                      <w:rFonts w:hint="eastAsia" w:ascii="Times New Roman" w:hAnsi="Times New Roman" w:eastAsia="宋体" w:cs="Times New Roman"/>
                      <w:color w:val="auto"/>
                      <w:sz w:val="18"/>
                      <w:szCs w:val="18"/>
                      <w:vertAlign w:val="baseline"/>
                      <w:lang w:val="en-US" w:eastAsia="zh-CN"/>
                    </w:rPr>
                    <w:t>货运三轮车</w:t>
                  </w:r>
                </w:p>
              </w:tc>
              <w:tc>
                <w:tcPr>
                  <w:tcW w:w="2841" w:type="dxa"/>
                  <w:noWrap w:val="0"/>
                  <w:vAlign w:val="top"/>
                </w:tcPr>
                <w:p w14:paraId="4F7B5DC4">
                  <w:pPr>
                    <w:jc w:val="center"/>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1.2米</w:t>
                  </w:r>
                </w:p>
              </w:tc>
              <w:tc>
                <w:tcPr>
                  <w:tcW w:w="2841" w:type="dxa"/>
                  <w:noWrap w:val="0"/>
                  <w:vAlign w:val="top"/>
                </w:tcPr>
                <w:p w14:paraId="4B7521DA">
                  <w:pPr>
                    <w:jc w:val="center"/>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5000</w:t>
                  </w:r>
                </w:p>
              </w:tc>
            </w:tr>
            <w:tr w14:paraId="3D7B9F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40" w:type="dxa"/>
                  <w:noWrap w:val="0"/>
                  <w:vAlign w:val="top"/>
                </w:tcPr>
                <w:p w14:paraId="69C2AAE6">
                  <w:pPr>
                    <w:jc w:val="center"/>
                    <w:rPr>
                      <w:rFonts w:hint="eastAsia" w:ascii="Times New Roman" w:hAnsi="Times New Roman" w:eastAsia="宋体" w:cs="Times New Roman"/>
                      <w:color w:val="auto"/>
                      <w:sz w:val="18"/>
                      <w:szCs w:val="18"/>
                      <w:vertAlign w:val="baseline"/>
                      <w:lang w:eastAsia="zh-CN"/>
                    </w:rPr>
                  </w:pPr>
                  <w:r>
                    <w:rPr>
                      <w:rFonts w:hint="eastAsia" w:ascii="Times New Roman" w:hAnsi="Times New Roman" w:eastAsia="宋体" w:cs="Times New Roman"/>
                      <w:color w:val="auto"/>
                      <w:sz w:val="18"/>
                      <w:szCs w:val="18"/>
                      <w:vertAlign w:val="baseline"/>
                      <w:lang w:val="en-US" w:eastAsia="zh-CN"/>
                    </w:rPr>
                    <w:t>货运三轮车</w:t>
                  </w:r>
                </w:p>
              </w:tc>
              <w:tc>
                <w:tcPr>
                  <w:tcW w:w="2841" w:type="dxa"/>
                  <w:noWrap w:val="0"/>
                  <w:vAlign w:val="top"/>
                </w:tcPr>
                <w:p w14:paraId="60D93E96">
                  <w:pPr>
                    <w:jc w:val="center"/>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1.3米</w:t>
                  </w:r>
                </w:p>
              </w:tc>
              <w:tc>
                <w:tcPr>
                  <w:tcW w:w="2841" w:type="dxa"/>
                  <w:noWrap w:val="0"/>
                  <w:vAlign w:val="top"/>
                </w:tcPr>
                <w:p w14:paraId="678A64F6">
                  <w:pPr>
                    <w:jc w:val="center"/>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5000</w:t>
                  </w:r>
                </w:p>
              </w:tc>
            </w:tr>
            <w:tr w14:paraId="29D9D4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40" w:type="dxa"/>
                  <w:noWrap w:val="0"/>
                  <w:vAlign w:val="top"/>
                </w:tcPr>
                <w:p w14:paraId="2F8E5E65">
                  <w:pPr>
                    <w:jc w:val="center"/>
                    <w:rPr>
                      <w:rFonts w:hint="eastAsia" w:ascii="Times New Roman" w:hAnsi="Times New Roman" w:eastAsia="宋体" w:cs="Times New Roman"/>
                      <w:color w:val="auto"/>
                      <w:sz w:val="18"/>
                      <w:szCs w:val="18"/>
                      <w:vertAlign w:val="baseline"/>
                      <w:lang w:eastAsia="zh-CN"/>
                    </w:rPr>
                  </w:pPr>
                  <w:r>
                    <w:rPr>
                      <w:rFonts w:hint="eastAsia" w:ascii="Times New Roman" w:hAnsi="Times New Roman" w:eastAsia="宋体" w:cs="Times New Roman"/>
                      <w:color w:val="auto"/>
                      <w:sz w:val="18"/>
                      <w:szCs w:val="18"/>
                      <w:vertAlign w:val="baseline"/>
                      <w:lang w:val="en-US" w:eastAsia="zh-CN"/>
                    </w:rPr>
                    <w:t>货运三轮车</w:t>
                  </w:r>
                </w:p>
              </w:tc>
              <w:tc>
                <w:tcPr>
                  <w:tcW w:w="2841" w:type="dxa"/>
                  <w:noWrap w:val="0"/>
                  <w:vAlign w:val="top"/>
                </w:tcPr>
                <w:p w14:paraId="7568DA42">
                  <w:pPr>
                    <w:jc w:val="center"/>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1.5米</w:t>
                  </w:r>
                </w:p>
              </w:tc>
              <w:tc>
                <w:tcPr>
                  <w:tcW w:w="2841" w:type="dxa"/>
                  <w:noWrap w:val="0"/>
                  <w:vAlign w:val="top"/>
                </w:tcPr>
                <w:p w14:paraId="45FC2662">
                  <w:pPr>
                    <w:jc w:val="center"/>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20000</w:t>
                  </w:r>
                </w:p>
              </w:tc>
            </w:tr>
            <w:tr w14:paraId="0C179B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40" w:type="dxa"/>
                  <w:noWrap w:val="0"/>
                  <w:vAlign w:val="top"/>
                </w:tcPr>
                <w:p w14:paraId="50B9ECC1">
                  <w:pPr>
                    <w:jc w:val="center"/>
                    <w:rPr>
                      <w:rFonts w:hint="eastAsia" w:ascii="Times New Roman" w:hAnsi="Times New Roman" w:eastAsia="宋体" w:cs="Times New Roman"/>
                      <w:color w:val="auto"/>
                      <w:sz w:val="18"/>
                      <w:szCs w:val="18"/>
                      <w:vertAlign w:val="baseline"/>
                      <w:lang w:eastAsia="zh-CN"/>
                    </w:rPr>
                  </w:pPr>
                  <w:r>
                    <w:rPr>
                      <w:rFonts w:hint="eastAsia" w:ascii="Times New Roman" w:hAnsi="Times New Roman" w:eastAsia="宋体" w:cs="Times New Roman"/>
                      <w:color w:val="auto"/>
                      <w:sz w:val="18"/>
                      <w:szCs w:val="18"/>
                      <w:vertAlign w:val="baseline"/>
                      <w:lang w:val="en-US" w:eastAsia="zh-CN"/>
                    </w:rPr>
                    <w:t>货运三轮车</w:t>
                  </w:r>
                </w:p>
              </w:tc>
              <w:tc>
                <w:tcPr>
                  <w:tcW w:w="2841" w:type="dxa"/>
                  <w:noWrap w:val="0"/>
                  <w:vAlign w:val="top"/>
                </w:tcPr>
                <w:p w14:paraId="799C1C25">
                  <w:pPr>
                    <w:jc w:val="center"/>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1.6米</w:t>
                  </w:r>
                </w:p>
              </w:tc>
              <w:tc>
                <w:tcPr>
                  <w:tcW w:w="2841" w:type="dxa"/>
                  <w:noWrap w:val="0"/>
                  <w:vAlign w:val="top"/>
                </w:tcPr>
                <w:p w14:paraId="6316DB36">
                  <w:pPr>
                    <w:jc w:val="center"/>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20000</w:t>
                  </w:r>
                </w:p>
              </w:tc>
            </w:tr>
            <w:tr w14:paraId="69AE53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40" w:type="dxa"/>
                  <w:noWrap w:val="0"/>
                  <w:vAlign w:val="top"/>
                </w:tcPr>
                <w:p w14:paraId="27B23D8E">
                  <w:pPr>
                    <w:jc w:val="center"/>
                    <w:rPr>
                      <w:rFonts w:hint="eastAsia" w:ascii="Times New Roman" w:hAnsi="Times New Roman" w:eastAsia="宋体" w:cs="Times New Roman"/>
                      <w:color w:val="auto"/>
                      <w:sz w:val="18"/>
                      <w:szCs w:val="18"/>
                      <w:vertAlign w:val="baseline"/>
                      <w:lang w:eastAsia="zh-CN"/>
                    </w:rPr>
                  </w:pPr>
                  <w:r>
                    <w:rPr>
                      <w:rFonts w:hint="eastAsia" w:ascii="Times New Roman" w:hAnsi="Times New Roman" w:eastAsia="宋体" w:cs="Times New Roman"/>
                      <w:color w:val="auto"/>
                      <w:sz w:val="18"/>
                      <w:szCs w:val="18"/>
                      <w:vertAlign w:val="baseline"/>
                      <w:lang w:val="en-US" w:eastAsia="zh-CN"/>
                    </w:rPr>
                    <w:t>货运三轮车</w:t>
                  </w:r>
                </w:p>
              </w:tc>
              <w:tc>
                <w:tcPr>
                  <w:tcW w:w="2841" w:type="dxa"/>
                  <w:noWrap w:val="0"/>
                  <w:vAlign w:val="top"/>
                </w:tcPr>
                <w:p w14:paraId="37B024B9">
                  <w:pPr>
                    <w:jc w:val="center"/>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1.8米</w:t>
                  </w:r>
                </w:p>
              </w:tc>
              <w:tc>
                <w:tcPr>
                  <w:tcW w:w="2841" w:type="dxa"/>
                  <w:noWrap w:val="0"/>
                  <w:vAlign w:val="top"/>
                </w:tcPr>
                <w:p w14:paraId="06E421F1">
                  <w:pPr>
                    <w:jc w:val="center"/>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10000</w:t>
                  </w:r>
                </w:p>
              </w:tc>
            </w:tr>
            <w:tr w14:paraId="1F36D6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40" w:type="dxa"/>
                  <w:noWrap w:val="0"/>
                  <w:vAlign w:val="top"/>
                </w:tcPr>
                <w:p w14:paraId="69EA7CA5">
                  <w:pPr>
                    <w:jc w:val="center"/>
                    <w:rPr>
                      <w:rFonts w:hint="eastAsia" w:ascii="Times New Roman" w:hAnsi="Times New Roman" w:eastAsia="宋体" w:cs="Times New Roman"/>
                      <w:color w:val="auto"/>
                      <w:sz w:val="18"/>
                      <w:szCs w:val="18"/>
                      <w:vertAlign w:val="baseline"/>
                      <w:lang w:eastAsia="zh-CN"/>
                    </w:rPr>
                  </w:pPr>
                  <w:r>
                    <w:rPr>
                      <w:rFonts w:hint="eastAsia" w:ascii="Times New Roman" w:hAnsi="Times New Roman" w:eastAsia="宋体" w:cs="Times New Roman"/>
                      <w:color w:val="auto"/>
                      <w:sz w:val="18"/>
                      <w:szCs w:val="18"/>
                      <w:vertAlign w:val="baseline"/>
                      <w:lang w:val="en-US" w:eastAsia="zh-CN"/>
                    </w:rPr>
                    <w:t>货运三轮车</w:t>
                  </w:r>
                </w:p>
              </w:tc>
              <w:tc>
                <w:tcPr>
                  <w:tcW w:w="2841" w:type="dxa"/>
                  <w:noWrap w:val="0"/>
                  <w:vAlign w:val="top"/>
                </w:tcPr>
                <w:p w14:paraId="7ADEACAE">
                  <w:pPr>
                    <w:jc w:val="center"/>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2.0米</w:t>
                  </w:r>
                </w:p>
              </w:tc>
              <w:tc>
                <w:tcPr>
                  <w:tcW w:w="2841" w:type="dxa"/>
                  <w:noWrap w:val="0"/>
                  <w:vAlign w:val="top"/>
                </w:tcPr>
                <w:p w14:paraId="66F6F245">
                  <w:pPr>
                    <w:jc w:val="center"/>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5000</w:t>
                  </w:r>
                </w:p>
              </w:tc>
            </w:tr>
            <w:tr w14:paraId="586BC5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40" w:type="dxa"/>
                  <w:noWrap w:val="0"/>
                  <w:vAlign w:val="top"/>
                </w:tcPr>
                <w:p w14:paraId="76FC04BE">
                  <w:pPr>
                    <w:jc w:val="center"/>
                    <w:rPr>
                      <w:rFonts w:hint="eastAsia" w:ascii="Times New Roman" w:hAnsi="Times New Roman" w:eastAsia="宋体" w:cs="Times New Roman"/>
                      <w:color w:val="auto"/>
                      <w:sz w:val="18"/>
                      <w:szCs w:val="18"/>
                      <w:vertAlign w:val="baseline"/>
                      <w:lang w:eastAsia="zh-CN"/>
                    </w:rPr>
                  </w:pPr>
                  <w:r>
                    <w:rPr>
                      <w:rFonts w:hint="eastAsia" w:ascii="Times New Roman" w:hAnsi="Times New Roman" w:eastAsia="宋体" w:cs="Times New Roman"/>
                      <w:color w:val="auto"/>
                      <w:sz w:val="18"/>
                      <w:szCs w:val="18"/>
                      <w:vertAlign w:val="baseline"/>
                      <w:lang w:val="en-US" w:eastAsia="zh-CN"/>
                    </w:rPr>
                    <w:t>货运三轮车</w:t>
                  </w:r>
                </w:p>
              </w:tc>
              <w:tc>
                <w:tcPr>
                  <w:tcW w:w="2841" w:type="dxa"/>
                  <w:noWrap w:val="0"/>
                  <w:vAlign w:val="top"/>
                </w:tcPr>
                <w:p w14:paraId="789D4DB1">
                  <w:pPr>
                    <w:jc w:val="center"/>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2.2米</w:t>
                  </w:r>
                </w:p>
              </w:tc>
              <w:tc>
                <w:tcPr>
                  <w:tcW w:w="2841" w:type="dxa"/>
                  <w:noWrap w:val="0"/>
                  <w:vAlign w:val="top"/>
                </w:tcPr>
                <w:p w14:paraId="7EDC5DEB">
                  <w:pPr>
                    <w:jc w:val="center"/>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5000</w:t>
                  </w:r>
                </w:p>
              </w:tc>
            </w:tr>
            <w:tr w14:paraId="394AE5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840" w:type="dxa"/>
                  <w:noWrap w:val="0"/>
                  <w:vAlign w:val="top"/>
                </w:tcPr>
                <w:p w14:paraId="62FCBA94">
                  <w:pPr>
                    <w:jc w:val="center"/>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休闲三轮车</w:t>
                  </w:r>
                </w:p>
              </w:tc>
              <w:tc>
                <w:tcPr>
                  <w:tcW w:w="2841" w:type="dxa"/>
                  <w:noWrap w:val="0"/>
                  <w:vAlign w:val="top"/>
                </w:tcPr>
                <w:p w14:paraId="41168787">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w:t>
                  </w:r>
                </w:p>
              </w:tc>
              <w:tc>
                <w:tcPr>
                  <w:tcW w:w="2841" w:type="dxa"/>
                  <w:noWrap w:val="0"/>
                  <w:vAlign w:val="top"/>
                </w:tcPr>
                <w:p w14:paraId="26B4C664">
                  <w:pPr>
                    <w:jc w:val="center"/>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5000</w:t>
                  </w:r>
                </w:p>
              </w:tc>
            </w:tr>
            <w:tr w14:paraId="6BFD3F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40" w:type="dxa"/>
                  <w:noWrap w:val="0"/>
                  <w:vAlign w:val="top"/>
                </w:tcPr>
                <w:p w14:paraId="5A2F6068">
                  <w:pPr>
                    <w:jc w:val="center"/>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环卫三轮车</w:t>
                  </w:r>
                </w:p>
              </w:tc>
              <w:tc>
                <w:tcPr>
                  <w:tcW w:w="2841" w:type="dxa"/>
                  <w:noWrap w:val="0"/>
                  <w:vAlign w:val="top"/>
                </w:tcPr>
                <w:p w14:paraId="3EC1BBF6">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w:t>
                  </w:r>
                </w:p>
              </w:tc>
              <w:tc>
                <w:tcPr>
                  <w:tcW w:w="2841" w:type="dxa"/>
                  <w:noWrap w:val="0"/>
                  <w:vAlign w:val="top"/>
                </w:tcPr>
                <w:p w14:paraId="622AFF38">
                  <w:pPr>
                    <w:jc w:val="center"/>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5000</w:t>
                  </w:r>
                </w:p>
              </w:tc>
            </w:tr>
            <w:tr w14:paraId="60FD16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40" w:type="dxa"/>
                  <w:noWrap w:val="0"/>
                  <w:vAlign w:val="top"/>
                </w:tcPr>
                <w:p w14:paraId="61A5E293">
                  <w:pPr>
                    <w:jc w:val="center"/>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快递三轮车</w:t>
                  </w:r>
                </w:p>
              </w:tc>
              <w:tc>
                <w:tcPr>
                  <w:tcW w:w="2841" w:type="dxa"/>
                  <w:noWrap w:val="0"/>
                  <w:vAlign w:val="top"/>
                </w:tcPr>
                <w:p w14:paraId="15A11AAB">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w:t>
                  </w:r>
                </w:p>
              </w:tc>
              <w:tc>
                <w:tcPr>
                  <w:tcW w:w="2841" w:type="dxa"/>
                  <w:noWrap w:val="0"/>
                  <w:vAlign w:val="top"/>
                </w:tcPr>
                <w:p w14:paraId="73CD1CA2">
                  <w:pPr>
                    <w:jc w:val="center"/>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5000</w:t>
                  </w:r>
                </w:p>
              </w:tc>
            </w:tr>
          </w:tbl>
          <w:p w14:paraId="5CABF1EB">
            <w:pPr>
              <w:pStyle w:val="62"/>
              <w:keepNext w:val="0"/>
              <w:keepLines w:val="0"/>
              <w:pageBreakBefore w:val="0"/>
              <w:widowControl w:val="0"/>
              <w:kinsoku/>
              <w:wordWrap/>
              <w:overflowPunct/>
              <w:topLinePunct w:val="0"/>
              <w:autoSpaceDE/>
              <w:autoSpaceDN/>
              <w:bidi w:val="0"/>
              <w:adjustRightInd/>
              <w:snapToGrid/>
              <w:spacing w:after="0" w:afterLines="0"/>
              <w:jc w:val="both"/>
              <w:textAlignment w:val="auto"/>
              <w:rPr>
                <w:rFonts w:hint="default" w:eastAsia="黑体"/>
                <w:b w:val="0"/>
                <w:color w:val="auto"/>
                <w:lang w:val="en-US" w:eastAsia="zh-CN"/>
              </w:rPr>
            </w:pPr>
          </w:p>
          <w:p w14:paraId="6FCE3AD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（3）产品质量及标准</w:t>
            </w:r>
          </w:p>
          <w:p w14:paraId="0CD9D44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Times New Roman" w:hAnsi="Times New Roman" w:eastAsia="宋体" w:cs="Times New Roman"/>
                <w:b w:val="0"/>
                <w:bCs w:val="0"/>
                <w:color w:val="auto"/>
                <w:lang w:val="en-US" w:eastAsia="zh-CN"/>
              </w:rPr>
            </w:pPr>
            <w:r>
              <w:rPr>
                <w:rFonts w:hint="eastAsia"/>
                <w:color w:val="auto"/>
                <w:lang w:val="en-US" w:eastAsia="zh-CN"/>
              </w:rPr>
              <w:t>产品执行企业标准为《电动摩托车和电动轻便摩托车通用技术条件》（GB∕T 24158-2018）和《机动车运行安全技术条件》（GB 7258-2017）</w:t>
            </w:r>
            <w:r>
              <w:rPr>
                <w:rFonts w:hint="eastAsia" w:ascii="Times New Roman" w:hAnsi="Times New Roman" w:cs="Times New Roman"/>
                <w:b w:val="0"/>
                <w:bCs w:val="0"/>
                <w:color w:val="auto"/>
                <w:lang w:val="en-US" w:eastAsia="zh-CN"/>
              </w:rPr>
              <w:t>。</w:t>
            </w:r>
          </w:p>
          <w:p w14:paraId="1969AA2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（4）建设内容及规模</w:t>
            </w:r>
          </w:p>
          <w:p w14:paraId="7853183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项目计划投资</w:t>
            </w:r>
            <w:r>
              <w:rPr>
                <w:rFonts w:hint="eastAsia" w:cs="Times New Roman"/>
                <w:b w:val="0"/>
                <w:bCs w:val="0"/>
                <w:color w:val="auto"/>
                <w:lang w:val="en-US" w:eastAsia="zh-CN"/>
              </w:rPr>
              <w:t>3.3</w:t>
            </w:r>
            <w:r>
              <w:rPr>
                <w:rFonts w:hint="eastAsia" w:ascii="Times New Roman" w:hAnsi="Times New Roman" w:eastAsia="宋体" w:cs="Times New Roman"/>
                <w:b w:val="0"/>
                <w:bCs w:val="0"/>
                <w:color w:val="auto"/>
                <w:lang w:val="en-US" w:eastAsia="zh-CN"/>
              </w:rPr>
              <w:t xml:space="preserve">亿元，占地面积约 </w:t>
            </w:r>
            <w:r>
              <w:rPr>
                <w:rFonts w:hint="eastAsia" w:cs="Times New Roman"/>
                <w:b w:val="0"/>
                <w:bCs w:val="0"/>
                <w:color w:val="auto"/>
                <w:lang w:val="en-US" w:eastAsia="zh-CN"/>
              </w:rPr>
              <w:t>50</w:t>
            </w:r>
            <w:r>
              <w:rPr>
                <w:rFonts w:hint="eastAsia" w:ascii="Times New Roman" w:hAnsi="Times New Roman" w:eastAsia="宋体" w:cs="Times New Roman"/>
                <w:b w:val="0"/>
                <w:bCs w:val="0"/>
                <w:color w:val="auto"/>
                <w:lang w:val="en-US" w:eastAsia="zh-CN"/>
              </w:rPr>
              <w:t xml:space="preserve"> 亩，新建厂房约 </w:t>
            </w:r>
            <w:r>
              <w:rPr>
                <w:rFonts w:hint="eastAsia" w:cs="Times New Roman"/>
                <w:b w:val="0"/>
                <w:bCs w:val="0"/>
                <w:color w:val="auto"/>
                <w:lang w:val="en-US" w:eastAsia="zh-CN"/>
              </w:rPr>
              <w:t>23400</w:t>
            </w:r>
            <w:r>
              <w:rPr>
                <w:rFonts w:hint="eastAsia" w:ascii="Times New Roman" w:hAnsi="Times New Roman" w:eastAsia="宋体" w:cs="Times New Roman"/>
                <w:b w:val="0"/>
                <w:bCs w:val="0"/>
                <w:color w:val="auto"/>
                <w:lang w:val="en-US" w:eastAsia="zh-CN"/>
              </w:rPr>
              <w:t>㎡，新建年产1</w:t>
            </w:r>
            <w:r>
              <w:rPr>
                <w:rFonts w:hint="eastAsia" w:cs="Times New Roman"/>
                <w:b w:val="0"/>
                <w:bCs w:val="0"/>
                <w:color w:val="auto"/>
                <w:lang w:val="en-US" w:eastAsia="zh-CN"/>
              </w:rPr>
              <w:t>0</w:t>
            </w:r>
            <w:r>
              <w:rPr>
                <w:rFonts w:hint="eastAsia" w:ascii="Times New Roman" w:hAnsi="Times New Roman" w:eastAsia="宋体" w:cs="Times New Roman"/>
                <w:b w:val="0"/>
                <w:bCs w:val="0"/>
                <w:color w:val="auto"/>
                <w:lang w:val="en-US" w:eastAsia="zh-CN"/>
              </w:rPr>
              <w:t>万辆电动</w:t>
            </w:r>
            <w:r>
              <w:rPr>
                <w:rFonts w:hint="eastAsia" w:cs="Times New Roman"/>
                <w:b w:val="0"/>
                <w:bCs w:val="0"/>
                <w:color w:val="auto"/>
                <w:lang w:val="en-US" w:eastAsia="zh-CN"/>
              </w:rPr>
              <w:t>正电动三轮物流运输</w:t>
            </w:r>
            <w:r>
              <w:rPr>
                <w:rFonts w:hint="eastAsia" w:ascii="Times New Roman" w:hAnsi="Times New Roman" w:eastAsia="宋体" w:cs="Times New Roman"/>
                <w:b w:val="0"/>
                <w:bCs w:val="0"/>
                <w:color w:val="auto"/>
                <w:lang w:val="en-US" w:eastAsia="zh-CN"/>
              </w:rPr>
              <w:t>摩托车生产线，主要建设为总装车间、原辅材料仓库、成品仓库、</w:t>
            </w:r>
            <w:r>
              <w:rPr>
                <w:rFonts w:hint="eastAsia" w:cs="Times New Roman"/>
                <w:b w:val="0"/>
                <w:bCs w:val="0"/>
                <w:color w:val="auto"/>
                <w:lang w:val="en-US" w:eastAsia="zh-CN"/>
              </w:rPr>
              <w:t>值班室</w:t>
            </w:r>
            <w:r>
              <w:rPr>
                <w:rFonts w:hint="eastAsia" w:ascii="Times New Roman" w:hAnsi="Times New Roman" w:eastAsia="宋体" w:cs="Times New Roman"/>
                <w:b w:val="0"/>
                <w:bCs w:val="0"/>
                <w:color w:val="auto"/>
                <w:lang w:val="en-US" w:eastAsia="zh-CN"/>
              </w:rPr>
              <w:t>等。本项目生产的电动摩托车不属于低速</w:t>
            </w:r>
            <w:bookmarkStart w:id="5" w:name="_GoBack"/>
            <w:bookmarkEnd w:id="5"/>
            <w:r>
              <w:rPr>
                <w:rFonts w:hint="eastAsia" w:ascii="Times New Roman" w:hAnsi="Times New Roman" w:eastAsia="宋体" w:cs="Times New Roman"/>
                <w:b w:val="0"/>
                <w:bCs w:val="0"/>
                <w:color w:val="auto"/>
                <w:lang w:val="en-US" w:eastAsia="zh-CN"/>
              </w:rPr>
              <w:t>电动车。</w:t>
            </w:r>
          </w:p>
          <w:p w14:paraId="09C3EFE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bCs/>
                <w:color w:val="auto"/>
                <w:u w:val="single"/>
                <w:lang w:val="en-US" w:eastAsia="zh-CN"/>
              </w:rPr>
            </w:pPr>
            <w:r>
              <w:rPr>
                <w:rFonts w:hint="eastAsia" w:cs="Times New Roman"/>
                <w:b/>
                <w:bCs/>
                <w:color w:val="auto"/>
                <w:u w:val="single"/>
                <w:lang w:val="en-US" w:eastAsia="zh-CN"/>
              </w:rPr>
              <w:t>注：本项目为电动摩托车整车制造，生产工艺仅进行组装，无焊接、切割等机加工工艺，无涂装生产工艺。</w:t>
            </w:r>
          </w:p>
          <w:p w14:paraId="5060F646">
            <w:pPr>
              <w:numPr>
                <w:ilvl w:val="0"/>
                <w:numId w:val="0"/>
              </w:numPr>
              <w:adjustRightInd w:val="0"/>
              <w:snapToGrid w:val="0"/>
              <w:jc w:val="left"/>
              <w:rPr>
                <w:rFonts w:hint="eastAsia"/>
                <w:b/>
                <w:bCs/>
                <w:color w:val="auto"/>
                <w:lang w:val="en-US" w:eastAsia="zh-CN"/>
              </w:rPr>
            </w:pPr>
            <w:r>
              <w:rPr>
                <w:rFonts w:hint="eastAsia"/>
                <w:b/>
                <w:bCs/>
                <w:color w:val="auto"/>
                <w:lang w:val="en-US" w:eastAsia="zh-CN"/>
              </w:rPr>
              <w:t>3、项目组成</w:t>
            </w:r>
          </w:p>
          <w:p w14:paraId="27078080">
            <w:pPr>
              <w:snapToGrid w:val="0"/>
              <w:spacing w:before="120" w:beforeLines="50"/>
              <w:jc w:val="center"/>
              <w:rPr>
                <w:rFonts w:hint="default"/>
                <w:b/>
                <w:color w:val="auto"/>
                <w:sz w:val="21"/>
                <w:szCs w:val="21"/>
                <w:lang w:val="en-US" w:eastAsia="zh-CN"/>
              </w:rPr>
            </w:pPr>
            <w:r>
              <w:rPr>
                <w:rFonts w:hint="eastAsia"/>
                <w:b/>
                <w:color w:val="auto"/>
                <w:sz w:val="21"/>
                <w:szCs w:val="21"/>
                <w:lang w:val="en-US" w:eastAsia="zh-CN"/>
              </w:rPr>
              <w:t>表2-3 项目组成及主要环境问题一览表</w:t>
            </w:r>
          </w:p>
          <w:tbl>
            <w:tblPr>
              <w:tblStyle w:val="3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56"/>
              <w:gridCol w:w="1020"/>
              <w:gridCol w:w="3633"/>
              <w:gridCol w:w="1350"/>
              <w:gridCol w:w="1657"/>
            </w:tblGrid>
            <w:tr w14:paraId="62B730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55" w:type="pct"/>
                  <w:gridSpan w:val="2"/>
                  <w:vMerge w:val="restart"/>
                  <w:tcBorders>
                    <w:tl2br w:val="nil"/>
                    <w:tr2bl w:val="nil"/>
                  </w:tcBorders>
                  <w:noWrap w:val="0"/>
                  <w:vAlign w:val="center"/>
                </w:tcPr>
                <w:p w14:paraId="53EB4FF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名称</w:t>
                  </w:r>
                </w:p>
              </w:tc>
              <w:tc>
                <w:tcPr>
                  <w:tcW w:w="2158" w:type="pct"/>
                  <w:vMerge w:val="restart"/>
                  <w:tcBorders>
                    <w:tl2br w:val="nil"/>
                    <w:tr2bl w:val="nil"/>
                  </w:tcBorders>
                  <w:noWrap w:val="0"/>
                  <w:vAlign w:val="center"/>
                </w:tcPr>
                <w:p w14:paraId="42F87EB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建设内容及规模</w:t>
                  </w:r>
                </w:p>
              </w:tc>
              <w:tc>
                <w:tcPr>
                  <w:tcW w:w="1786" w:type="pct"/>
                  <w:gridSpan w:val="2"/>
                  <w:tcBorders>
                    <w:tl2br w:val="nil"/>
                    <w:tr2bl w:val="nil"/>
                  </w:tcBorders>
                  <w:noWrap w:val="0"/>
                  <w:vAlign w:val="center"/>
                </w:tcPr>
                <w:p w14:paraId="7CDD8B2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可能存在的环境问题</w:t>
                  </w:r>
                </w:p>
              </w:tc>
            </w:tr>
            <w:tr w14:paraId="50BCC6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55" w:type="pct"/>
                  <w:gridSpan w:val="2"/>
                  <w:vMerge w:val="continue"/>
                  <w:tcBorders>
                    <w:tl2br w:val="nil"/>
                    <w:tr2bl w:val="nil"/>
                  </w:tcBorders>
                  <w:noWrap w:val="0"/>
                  <w:vAlign w:val="center"/>
                </w:tcPr>
                <w:p w14:paraId="50D2737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p>
              </w:tc>
              <w:tc>
                <w:tcPr>
                  <w:tcW w:w="2158" w:type="pct"/>
                  <w:vMerge w:val="continue"/>
                  <w:tcBorders>
                    <w:tl2br w:val="nil"/>
                    <w:tr2bl w:val="nil"/>
                  </w:tcBorders>
                  <w:noWrap w:val="0"/>
                  <w:vAlign w:val="center"/>
                </w:tcPr>
                <w:p w14:paraId="777F9E4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color w:val="auto"/>
                      <w:sz w:val="18"/>
                      <w:szCs w:val="18"/>
                      <w:lang w:val="en-US" w:eastAsia="zh-CN"/>
                    </w:rPr>
                  </w:pPr>
                </w:p>
              </w:tc>
              <w:tc>
                <w:tcPr>
                  <w:tcW w:w="802" w:type="pct"/>
                  <w:tcBorders>
                    <w:tl2br w:val="nil"/>
                    <w:tr2bl w:val="nil"/>
                  </w:tcBorders>
                  <w:noWrap w:val="0"/>
                  <w:vAlign w:val="center"/>
                </w:tcPr>
                <w:p w14:paraId="23A0448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施工期</w:t>
                  </w:r>
                </w:p>
              </w:tc>
              <w:tc>
                <w:tcPr>
                  <w:tcW w:w="984" w:type="pct"/>
                  <w:tcBorders>
                    <w:tl2br w:val="nil"/>
                    <w:tr2bl w:val="nil"/>
                  </w:tcBorders>
                  <w:noWrap w:val="0"/>
                  <w:vAlign w:val="center"/>
                </w:tcPr>
                <w:p w14:paraId="0AFFC5B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营运期</w:t>
                  </w:r>
                </w:p>
              </w:tc>
            </w:tr>
            <w:tr w14:paraId="7294DC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9" w:type="pct"/>
                  <w:tcBorders>
                    <w:tl2br w:val="nil"/>
                    <w:tr2bl w:val="nil"/>
                  </w:tcBorders>
                  <w:noWrap w:val="0"/>
                  <w:vAlign w:val="center"/>
                </w:tcPr>
                <w:p w14:paraId="2BE0A8B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主体</w:t>
                  </w:r>
                </w:p>
                <w:p w14:paraId="683BAE6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工程</w:t>
                  </w:r>
                </w:p>
              </w:tc>
              <w:tc>
                <w:tcPr>
                  <w:tcW w:w="605" w:type="pct"/>
                  <w:tcBorders>
                    <w:tl2br w:val="nil"/>
                    <w:tr2bl w:val="nil"/>
                  </w:tcBorders>
                  <w:noWrap w:val="0"/>
                  <w:vAlign w:val="center"/>
                </w:tcPr>
                <w:p w14:paraId="63E109F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总装</w:t>
                  </w:r>
                  <w:r>
                    <w:rPr>
                      <w:rFonts w:hint="eastAsia" w:ascii="宋体" w:hAnsi="宋体" w:eastAsia="宋体" w:cs="宋体"/>
                      <w:color w:val="auto"/>
                      <w:sz w:val="18"/>
                      <w:szCs w:val="18"/>
                      <w:lang w:val="en-US" w:eastAsia="zh-CN"/>
                    </w:rPr>
                    <w:t>车间</w:t>
                  </w:r>
                </w:p>
              </w:tc>
              <w:tc>
                <w:tcPr>
                  <w:tcW w:w="2158" w:type="pct"/>
                  <w:tcBorders>
                    <w:tl2br w:val="nil"/>
                    <w:tr2bl w:val="nil"/>
                  </w:tcBorders>
                  <w:noWrap w:val="0"/>
                  <w:vAlign w:val="center"/>
                </w:tcPr>
                <w:p w14:paraId="720B054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建筑面积约</w:t>
                  </w:r>
                  <w:r>
                    <w:rPr>
                      <w:rFonts w:hint="eastAsia" w:ascii="宋体" w:hAnsi="宋体" w:cs="宋体"/>
                      <w:color w:val="auto"/>
                      <w:sz w:val="18"/>
                      <w:szCs w:val="18"/>
                      <w:lang w:val="en-US" w:eastAsia="zh-CN"/>
                    </w:rPr>
                    <w:t>23442.27</w:t>
                  </w:r>
                  <w:r>
                    <w:rPr>
                      <w:rFonts w:hint="eastAsia" w:ascii="宋体" w:hAnsi="宋体" w:eastAsia="宋体" w:cs="宋体"/>
                      <w:color w:val="auto"/>
                      <w:sz w:val="18"/>
                      <w:szCs w:val="18"/>
                      <w:lang w:val="en-US" w:eastAsia="zh-CN"/>
                    </w:rPr>
                    <w:t>m</w:t>
                  </w:r>
                  <w:r>
                    <w:rPr>
                      <w:rFonts w:hint="eastAsia" w:ascii="宋体" w:hAnsi="宋体" w:eastAsia="宋体" w:cs="宋体"/>
                      <w:color w:val="auto"/>
                      <w:sz w:val="18"/>
                      <w:szCs w:val="18"/>
                      <w:vertAlign w:val="superscript"/>
                      <w:lang w:val="en-US" w:eastAsia="zh-CN"/>
                    </w:rPr>
                    <w:t>2</w:t>
                  </w:r>
                  <w:r>
                    <w:rPr>
                      <w:rFonts w:hint="eastAsia" w:ascii="宋体" w:hAnsi="宋体" w:eastAsia="宋体" w:cs="宋体"/>
                      <w:color w:val="auto"/>
                      <w:sz w:val="18"/>
                      <w:szCs w:val="18"/>
                      <w:vertAlign w:val="baseline"/>
                      <w:lang w:val="en-US" w:eastAsia="zh-CN"/>
                    </w:rPr>
                    <w:t>，</w:t>
                  </w:r>
                  <w:r>
                    <w:rPr>
                      <w:rFonts w:hint="eastAsia" w:ascii="宋体" w:hAnsi="宋体" w:eastAsia="宋体" w:cs="宋体"/>
                      <w:b w:val="0"/>
                      <w:color w:val="auto"/>
                      <w:sz w:val="18"/>
                      <w:szCs w:val="18"/>
                      <w:vertAlign w:val="baseline"/>
                      <w:lang w:val="en-US" w:eastAsia="zh-CN"/>
                    </w:rPr>
                    <w:t>H=</w:t>
                  </w:r>
                  <w:r>
                    <w:rPr>
                      <w:rFonts w:hint="eastAsia" w:ascii="宋体" w:hAnsi="宋体" w:cs="宋体"/>
                      <w:b w:val="0"/>
                      <w:color w:val="auto"/>
                      <w:sz w:val="18"/>
                      <w:szCs w:val="18"/>
                      <w:vertAlign w:val="baseline"/>
                      <w:lang w:val="en-US" w:eastAsia="zh-CN"/>
                    </w:rPr>
                    <w:t>14.1</w:t>
                  </w:r>
                  <w:r>
                    <w:rPr>
                      <w:rFonts w:hint="eastAsia" w:ascii="宋体" w:hAnsi="宋体" w:eastAsia="宋体" w:cs="宋体"/>
                      <w:b w:val="0"/>
                      <w:color w:val="auto"/>
                      <w:sz w:val="18"/>
                      <w:szCs w:val="18"/>
                      <w:vertAlign w:val="baseline"/>
                      <w:lang w:val="en-US" w:eastAsia="zh-CN"/>
                    </w:rPr>
                    <w:t>m，车间内部主要分为办公区、装卸区、库房、总装区、成品堆放区等。</w:t>
                  </w:r>
                </w:p>
              </w:tc>
              <w:tc>
                <w:tcPr>
                  <w:tcW w:w="802" w:type="pct"/>
                  <w:vMerge w:val="restart"/>
                  <w:tcBorders>
                    <w:tl2br w:val="nil"/>
                    <w:tr2bl w:val="nil"/>
                  </w:tcBorders>
                  <w:noWrap w:val="0"/>
                  <w:vAlign w:val="center"/>
                </w:tcPr>
                <w:p w14:paraId="50E9676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施工废水、施工废气、施工噪声、施工固废</w:t>
                  </w:r>
                </w:p>
              </w:tc>
              <w:tc>
                <w:tcPr>
                  <w:tcW w:w="984" w:type="pct"/>
                  <w:tcBorders>
                    <w:tl2br w:val="nil"/>
                    <w:tr2bl w:val="nil"/>
                  </w:tcBorders>
                  <w:noWrap w:val="0"/>
                  <w:vAlign w:val="center"/>
                </w:tcPr>
                <w:p w14:paraId="00C30D0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废水、固废、噪声、</w:t>
                  </w:r>
                </w:p>
              </w:tc>
            </w:tr>
            <w:tr w14:paraId="742DBF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9" w:type="pct"/>
                  <w:vMerge w:val="restart"/>
                  <w:tcBorders>
                    <w:tl2br w:val="nil"/>
                    <w:tr2bl w:val="nil"/>
                  </w:tcBorders>
                  <w:noWrap w:val="0"/>
                  <w:vAlign w:val="center"/>
                </w:tcPr>
                <w:p w14:paraId="35885B3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公用</w:t>
                  </w:r>
                </w:p>
                <w:p w14:paraId="548AA04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工程</w:t>
                  </w:r>
                </w:p>
              </w:tc>
              <w:tc>
                <w:tcPr>
                  <w:tcW w:w="605" w:type="pct"/>
                  <w:tcBorders>
                    <w:tl2br w:val="nil"/>
                    <w:tr2bl w:val="nil"/>
                  </w:tcBorders>
                  <w:noWrap w:val="0"/>
                  <w:vAlign w:val="center"/>
                </w:tcPr>
                <w:p w14:paraId="498B805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给排水</w:t>
                  </w:r>
                </w:p>
              </w:tc>
              <w:tc>
                <w:tcPr>
                  <w:tcW w:w="2158" w:type="pct"/>
                  <w:tcBorders>
                    <w:tl2br w:val="nil"/>
                    <w:tr2bl w:val="nil"/>
                  </w:tcBorders>
                  <w:noWrap w:val="0"/>
                  <w:vAlign w:val="center"/>
                </w:tcPr>
                <w:p w14:paraId="449BE82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b w:val="0"/>
                      <w:color w:val="auto"/>
                      <w:sz w:val="18"/>
                      <w:szCs w:val="18"/>
                      <w:vertAlign w:val="baseline"/>
                      <w:lang w:val="en-US" w:eastAsia="zh-CN"/>
                    </w:rPr>
                    <w:t>市政给水，采取雨、污分流制。</w:t>
                  </w:r>
                </w:p>
              </w:tc>
              <w:tc>
                <w:tcPr>
                  <w:tcW w:w="802" w:type="pct"/>
                  <w:vMerge w:val="continue"/>
                  <w:tcBorders>
                    <w:tl2br w:val="nil"/>
                    <w:tr2bl w:val="nil"/>
                  </w:tcBorders>
                  <w:noWrap w:val="0"/>
                  <w:vAlign w:val="center"/>
                </w:tcPr>
                <w:p w14:paraId="3706F54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p>
              </w:tc>
              <w:tc>
                <w:tcPr>
                  <w:tcW w:w="984" w:type="pct"/>
                  <w:tcBorders>
                    <w:tl2br w:val="nil"/>
                    <w:tr2bl w:val="nil"/>
                  </w:tcBorders>
                  <w:noWrap w:val="0"/>
                  <w:vAlign w:val="center"/>
                </w:tcPr>
                <w:p w14:paraId="07EA1D0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w:t>
                  </w:r>
                </w:p>
              </w:tc>
            </w:tr>
            <w:tr w14:paraId="52D086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9" w:type="pct"/>
                  <w:vMerge w:val="continue"/>
                  <w:tcBorders>
                    <w:tl2br w:val="nil"/>
                    <w:tr2bl w:val="nil"/>
                  </w:tcBorders>
                  <w:noWrap w:val="0"/>
                  <w:vAlign w:val="center"/>
                </w:tcPr>
                <w:p w14:paraId="4C1A1F5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p>
              </w:tc>
              <w:tc>
                <w:tcPr>
                  <w:tcW w:w="605" w:type="pct"/>
                  <w:tcBorders>
                    <w:tl2br w:val="nil"/>
                    <w:tr2bl w:val="nil"/>
                  </w:tcBorders>
                  <w:noWrap w:val="0"/>
                  <w:vAlign w:val="center"/>
                </w:tcPr>
                <w:p w14:paraId="1C126A1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供电工程</w:t>
                  </w:r>
                </w:p>
              </w:tc>
              <w:tc>
                <w:tcPr>
                  <w:tcW w:w="2158" w:type="pct"/>
                  <w:tcBorders>
                    <w:tl2br w:val="nil"/>
                    <w:tr2bl w:val="nil"/>
                  </w:tcBorders>
                  <w:noWrap w:val="0"/>
                  <w:vAlign w:val="center"/>
                </w:tcPr>
                <w:p w14:paraId="21A1A32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城市电网</w:t>
                  </w:r>
                </w:p>
              </w:tc>
              <w:tc>
                <w:tcPr>
                  <w:tcW w:w="802" w:type="pct"/>
                  <w:vMerge w:val="continue"/>
                  <w:tcBorders>
                    <w:tl2br w:val="nil"/>
                    <w:tr2bl w:val="nil"/>
                  </w:tcBorders>
                  <w:noWrap w:val="0"/>
                  <w:vAlign w:val="center"/>
                </w:tcPr>
                <w:p w14:paraId="32A4471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p>
              </w:tc>
              <w:tc>
                <w:tcPr>
                  <w:tcW w:w="984" w:type="pct"/>
                  <w:tcBorders>
                    <w:tl2br w:val="nil"/>
                    <w:tr2bl w:val="nil"/>
                  </w:tcBorders>
                  <w:noWrap w:val="0"/>
                  <w:vAlign w:val="center"/>
                </w:tcPr>
                <w:p w14:paraId="3785299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w:t>
                  </w:r>
                </w:p>
              </w:tc>
            </w:tr>
            <w:tr w14:paraId="0794FD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9" w:type="pct"/>
                  <w:vMerge w:val="continue"/>
                  <w:tcBorders>
                    <w:tl2br w:val="nil"/>
                    <w:tr2bl w:val="nil"/>
                  </w:tcBorders>
                  <w:noWrap w:val="0"/>
                  <w:vAlign w:val="center"/>
                </w:tcPr>
                <w:p w14:paraId="5A4F44C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p>
              </w:tc>
              <w:tc>
                <w:tcPr>
                  <w:tcW w:w="605" w:type="pct"/>
                  <w:tcBorders>
                    <w:tl2br w:val="nil"/>
                    <w:tr2bl w:val="nil"/>
                  </w:tcBorders>
                  <w:noWrap w:val="0"/>
                  <w:vAlign w:val="center"/>
                </w:tcPr>
                <w:p w14:paraId="6278451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消防设施</w:t>
                  </w:r>
                </w:p>
              </w:tc>
              <w:tc>
                <w:tcPr>
                  <w:tcW w:w="2158" w:type="pct"/>
                  <w:tcBorders>
                    <w:tl2br w:val="nil"/>
                    <w:tr2bl w:val="nil"/>
                  </w:tcBorders>
                  <w:noWrap w:val="0"/>
                  <w:vAlign w:val="center"/>
                </w:tcPr>
                <w:p w14:paraId="5F1F78F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设有消防安全通道，使用室外消防系统、室内消火栓灭火系统</w:t>
                  </w:r>
                </w:p>
              </w:tc>
              <w:tc>
                <w:tcPr>
                  <w:tcW w:w="802" w:type="pct"/>
                  <w:vMerge w:val="continue"/>
                  <w:tcBorders>
                    <w:tl2br w:val="nil"/>
                    <w:tr2bl w:val="nil"/>
                  </w:tcBorders>
                  <w:noWrap w:val="0"/>
                  <w:vAlign w:val="center"/>
                </w:tcPr>
                <w:p w14:paraId="64FCF47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p>
              </w:tc>
              <w:tc>
                <w:tcPr>
                  <w:tcW w:w="984" w:type="pct"/>
                  <w:tcBorders>
                    <w:tl2br w:val="nil"/>
                    <w:tr2bl w:val="nil"/>
                  </w:tcBorders>
                  <w:noWrap w:val="0"/>
                  <w:vAlign w:val="center"/>
                </w:tcPr>
                <w:p w14:paraId="50ED3AE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w:t>
                  </w:r>
                </w:p>
              </w:tc>
            </w:tr>
            <w:tr w14:paraId="65AF02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9" w:type="pct"/>
                  <w:vMerge w:val="continue"/>
                  <w:tcBorders>
                    <w:tl2br w:val="nil"/>
                    <w:tr2bl w:val="nil"/>
                  </w:tcBorders>
                  <w:noWrap w:val="0"/>
                  <w:vAlign w:val="center"/>
                </w:tcPr>
                <w:p w14:paraId="5538BCC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p>
              </w:tc>
              <w:tc>
                <w:tcPr>
                  <w:tcW w:w="605" w:type="pct"/>
                  <w:tcBorders>
                    <w:tl2br w:val="nil"/>
                    <w:tr2bl w:val="nil"/>
                  </w:tcBorders>
                  <w:noWrap w:val="0"/>
                  <w:vAlign w:val="center"/>
                </w:tcPr>
                <w:p w14:paraId="726C2EE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绿化</w:t>
                  </w:r>
                </w:p>
              </w:tc>
              <w:tc>
                <w:tcPr>
                  <w:tcW w:w="2158" w:type="pct"/>
                  <w:tcBorders>
                    <w:tl2br w:val="nil"/>
                    <w:tr2bl w:val="nil"/>
                  </w:tcBorders>
                  <w:noWrap w:val="0"/>
                  <w:vAlign w:val="center"/>
                </w:tcPr>
                <w:p w14:paraId="19744FD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绿化面积约为</w:t>
                  </w:r>
                  <w:r>
                    <w:rPr>
                      <w:rFonts w:hint="eastAsia" w:ascii="宋体" w:hAnsi="宋体" w:cs="宋体"/>
                      <w:color w:val="auto"/>
                      <w:sz w:val="18"/>
                      <w:szCs w:val="18"/>
                      <w:lang w:val="en-US" w:eastAsia="zh-CN"/>
                    </w:rPr>
                    <w:t>3800</w:t>
                  </w:r>
                  <w:r>
                    <w:rPr>
                      <w:rFonts w:hint="eastAsia" w:ascii="宋体" w:hAnsi="宋体" w:eastAsia="宋体" w:cs="宋体"/>
                      <w:color w:val="auto"/>
                      <w:sz w:val="18"/>
                      <w:szCs w:val="18"/>
                      <w:lang w:val="en-US" w:eastAsia="zh-CN"/>
                    </w:rPr>
                    <w:t>m</w:t>
                  </w:r>
                  <w:r>
                    <w:rPr>
                      <w:rFonts w:hint="eastAsia" w:ascii="宋体" w:hAnsi="宋体" w:eastAsia="宋体" w:cs="宋体"/>
                      <w:color w:val="auto"/>
                      <w:sz w:val="18"/>
                      <w:szCs w:val="18"/>
                      <w:vertAlign w:val="superscript"/>
                      <w:lang w:val="en-US" w:eastAsia="zh-CN"/>
                    </w:rPr>
                    <w:t>2</w:t>
                  </w:r>
                </w:p>
              </w:tc>
              <w:tc>
                <w:tcPr>
                  <w:tcW w:w="802" w:type="pct"/>
                  <w:vMerge w:val="continue"/>
                  <w:tcBorders>
                    <w:tl2br w:val="nil"/>
                    <w:tr2bl w:val="nil"/>
                  </w:tcBorders>
                  <w:noWrap w:val="0"/>
                  <w:vAlign w:val="center"/>
                </w:tcPr>
                <w:p w14:paraId="046FAD8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p>
              </w:tc>
              <w:tc>
                <w:tcPr>
                  <w:tcW w:w="984" w:type="pct"/>
                  <w:tcBorders>
                    <w:tl2br w:val="nil"/>
                    <w:tr2bl w:val="nil"/>
                  </w:tcBorders>
                  <w:noWrap w:val="0"/>
                  <w:vAlign w:val="center"/>
                </w:tcPr>
                <w:p w14:paraId="340390C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p>
              </w:tc>
            </w:tr>
            <w:tr w14:paraId="00BEA5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449" w:type="pct"/>
                  <w:vMerge w:val="restart"/>
                  <w:tcBorders>
                    <w:tl2br w:val="nil"/>
                    <w:tr2bl w:val="nil"/>
                  </w:tcBorders>
                  <w:noWrap w:val="0"/>
                  <w:vAlign w:val="center"/>
                </w:tcPr>
                <w:p w14:paraId="10646D0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办公及生活设施</w:t>
                  </w:r>
                </w:p>
              </w:tc>
              <w:tc>
                <w:tcPr>
                  <w:tcW w:w="605" w:type="pct"/>
                  <w:tcBorders>
                    <w:tl2br w:val="nil"/>
                    <w:tr2bl w:val="nil"/>
                  </w:tcBorders>
                  <w:noWrap w:val="0"/>
                  <w:vAlign w:val="center"/>
                </w:tcPr>
                <w:p w14:paraId="5ED4A40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办公</w:t>
                  </w:r>
                  <w:r>
                    <w:rPr>
                      <w:rFonts w:hint="eastAsia" w:ascii="宋体" w:hAnsi="宋体" w:cs="宋体"/>
                      <w:color w:val="auto"/>
                      <w:sz w:val="18"/>
                      <w:szCs w:val="18"/>
                      <w:lang w:val="en-US" w:eastAsia="zh-CN"/>
                    </w:rPr>
                    <w:t>休息</w:t>
                  </w:r>
                  <w:r>
                    <w:rPr>
                      <w:rFonts w:hint="eastAsia" w:ascii="宋体" w:hAnsi="宋体" w:eastAsia="宋体" w:cs="宋体"/>
                      <w:color w:val="auto"/>
                      <w:sz w:val="18"/>
                      <w:szCs w:val="18"/>
                      <w:lang w:val="en-US" w:eastAsia="zh-CN"/>
                    </w:rPr>
                    <w:t>室</w:t>
                  </w:r>
                </w:p>
              </w:tc>
              <w:tc>
                <w:tcPr>
                  <w:tcW w:w="2158" w:type="pct"/>
                  <w:tcBorders>
                    <w:tl2br w:val="nil"/>
                    <w:tr2bl w:val="nil"/>
                  </w:tcBorders>
                  <w:noWrap w:val="0"/>
                  <w:vAlign w:val="center"/>
                </w:tcPr>
                <w:p w14:paraId="3615E58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位于</w:t>
                  </w:r>
                  <w:r>
                    <w:rPr>
                      <w:rFonts w:hint="eastAsia" w:ascii="宋体" w:hAnsi="宋体" w:cs="宋体"/>
                      <w:color w:val="auto"/>
                      <w:sz w:val="18"/>
                      <w:szCs w:val="18"/>
                      <w:lang w:val="en-US" w:eastAsia="zh-CN"/>
                    </w:rPr>
                    <w:t>总装</w:t>
                  </w:r>
                  <w:r>
                    <w:rPr>
                      <w:rFonts w:hint="eastAsia" w:ascii="宋体" w:hAnsi="宋体" w:eastAsia="宋体" w:cs="宋体"/>
                      <w:color w:val="auto"/>
                      <w:sz w:val="18"/>
                      <w:szCs w:val="18"/>
                      <w:lang w:val="en-US" w:eastAsia="zh-CN"/>
                    </w:rPr>
                    <w:t>车间</w:t>
                  </w:r>
                  <w:r>
                    <w:rPr>
                      <w:rFonts w:hint="eastAsia" w:ascii="宋体" w:hAnsi="宋体" w:cs="宋体"/>
                      <w:color w:val="auto"/>
                      <w:sz w:val="18"/>
                      <w:szCs w:val="18"/>
                      <w:lang w:val="en-US" w:eastAsia="zh-CN"/>
                    </w:rPr>
                    <w:t>东</w:t>
                  </w:r>
                  <w:r>
                    <w:rPr>
                      <w:rFonts w:hint="eastAsia" w:ascii="宋体" w:hAnsi="宋体" w:eastAsia="宋体" w:cs="宋体"/>
                      <w:color w:val="auto"/>
                      <w:sz w:val="18"/>
                      <w:szCs w:val="18"/>
                      <w:lang w:val="en-US" w:eastAsia="zh-CN"/>
                    </w:rPr>
                    <w:t>侧</w:t>
                  </w:r>
                  <w:r>
                    <w:rPr>
                      <w:rFonts w:hint="eastAsia" w:ascii="宋体" w:hAnsi="宋体" w:cs="宋体"/>
                      <w:color w:val="auto"/>
                      <w:sz w:val="18"/>
                      <w:szCs w:val="18"/>
                      <w:lang w:val="en-US" w:eastAsia="zh-CN"/>
                    </w:rPr>
                    <w:t>偏北</w:t>
                  </w:r>
                  <w:r>
                    <w:rPr>
                      <w:rFonts w:hint="eastAsia" w:ascii="宋体" w:hAnsi="宋体" w:eastAsia="宋体" w:cs="宋体"/>
                      <w:color w:val="auto"/>
                      <w:sz w:val="18"/>
                      <w:szCs w:val="18"/>
                      <w:lang w:val="en-US" w:eastAsia="zh-CN"/>
                    </w:rPr>
                    <w:t>，建筑面积约为</w:t>
                  </w:r>
                  <w:r>
                    <w:rPr>
                      <w:rFonts w:hint="eastAsia" w:ascii="宋体" w:hAnsi="宋体" w:cs="宋体"/>
                      <w:color w:val="auto"/>
                      <w:sz w:val="18"/>
                      <w:szCs w:val="18"/>
                      <w:lang w:val="en-US" w:eastAsia="zh-CN"/>
                    </w:rPr>
                    <w:t>100</w:t>
                  </w:r>
                  <w:r>
                    <w:rPr>
                      <w:rFonts w:hint="eastAsia" w:ascii="宋体" w:hAnsi="宋体" w:eastAsia="宋体" w:cs="宋体"/>
                      <w:color w:val="auto"/>
                      <w:sz w:val="18"/>
                      <w:szCs w:val="18"/>
                      <w:lang w:val="en-US" w:eastAsia="zh-CN"/>
                    </w:rPr>
                    <w:t>m</w:t>
                  </w:r>
                  <w:r>
                    <w:rPr>
                      <w:rFonts w:hint="eastAsia" w:ascii="宋体" w:hAnsi="宋体" w:eastAsia="宋体" w:cs="宋体"/>
                      <w:color w:val="auto"/>
                      <w:sz w:val="18"/>
                      <w:szCs w:val="18"/>
                      <w:vertAlign w:val="superscript"/>
                      <w:lang w:val="en-US" w:eastAsia="zh-CN"/>
                    </w:rPr>
                    <w:t>2</w:t>
                  </w:r>
                </w:p>
              </w:tc>
              <w:tc>
                <w:tcPr>
                  <w:tcW w:w="802" w:type="pct"/>
                  <w:vMerge w:val="continue"/>
                  <w:tcBorders>
                    <w:tl2br w:val="nil"/>
                    <w:tr2bl w:val="nil"/>
                  </w:tcBorders>
                  <w:noWrap w:val="0"/>
                  <w:vAlign w:val="center"/>
                </w:tcPr>
                <w:p w14:paraId="7D9CEC4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p>
              </w:tc>
              <w:tc>
                <w:tcPr>
                  <w:tcW w:w="984" w:type="pct"/>
                  <w:vMerge w:val="restart"/>
                  <w:tcBorders>
                    <w:tl2br w:val="nil"/>
                    <w:tr2bl w:val="nil"/>
                  </w:tcBorders>
                  <w:noWrap w:val="0"/>
                  <w:vAlign w:val="center"/>
                </w:tcPr>
                <w:p w14:paraId="47A551D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生活污水、生活垃圾</w:t>
                  </w:r>
                </w:p>
              </w:tc>
            </w:tr>
            <w:tr w14:paraId="53B52A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449" w:type="pct"/>
                  <w:vMerge w:val="continue"/>
                  <w:tcBorders>
                    <w:tl2br w:val="nil"/>
                    <w:tr2bl w:val="nil"/>
                  </w:tcBorders>
                  <w:noWrap w:val="0"/>
                  <w:vAlign w:val="center"/>
                </w:tcPr>
                <w:p w14:paraId="0F65293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p>
              </w:tc>
              <w:tc>
                <w:tcPr>
                  <w:tcW w:w="605" w:type="pct"/>
                  <w:tcBorders>
                    <w:tl2br w:val="nil"/>
                    <w:tr2bl w:val="nil"/>
                  </w:tcBorders>
                  <w:noWrap w:val="0"/>
                  <w:vAlign w:val="center"/>
                </w:tcPr>
                <w:p w14:paraId="55B8FDA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门卫室</w:t>
                  </w:r>
                </w:p>
              </w:tc>
              <w:tc>
                <w:tcPr>
                  <w:tcW w:w="2158" w:type="pct"/>
                  <w:tcBorders>
                    <w:tl2br w:val="nil"/>
                    <w:tr2bl w:val="nil"/>
                  </w:tcBorders>
                  <w:noWrap w:val="0"/>
                  <w:vAlign w:val="center"/>
                </w:tcPr>
                <w:p w14:paraId="60314FD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位于厂区</w:t>
                  </w:r>
                  <w:r>
                    <w:rPr>
                      <w:rFonts w:hint="eastAsia" w:ascii="宋体" w:hAnsi="宋体" w:cs="宋体"/>
                      <w:color w:val="auto"/>
                      <w:sz w:val="18"/>
                      <w:szCs w:val="18"/>
                      <w:lang w:val="en-US" w:eastAsia="zh-CN"/>
                    </w:rPr>
                    <w:t>东</w:t>
                  </w:r>
                  <w:r>
                    <w:rPr>
                      <w:rFonts w:hint="eastAsia" w:ascii="宋体" w:hAnsi="宋体" w:eastAsia="宋体" w:cs="宋体"/>
                      <w:color w:val="auto"/>
                      <w:sz w:val="18"/>
                      <w:szCs w:val="18"/>
                      <w:lang w:val="en-US" w:eastAsia="zh-CN"/>
                    </w:rPr>
                    <w:t>侧，建筑面积</w:t>
                  </w:r>
                  <w:r>
                    <w:rPr>
                      <w:rFonts w:hint="eastAsia" w:ascii="宋体" w:hAnsi="宋体" w:cs="宋体"/>
                      <w:color w:val="auto"/>
                      <w:sz w:val="18"/>
                      <w:szCs w:val="18"/>
                      <w:lang w:val="en-US" w:eastAsia="zh-CN"/>
                    </w:rPr>
                    <w:t>约42.27</w:t>
                  </w:r>
                  <w:r>
                    <w:rPr>
                      <w:rFonts w:hint="eastAsia" w:ascii="宋体" w:hAnsi="宋体" w:eastAsia="宋体" w:cs="宋体"/>
                      <w:color w:val="auto"/>
                      <w:sz w:val="18"/>
                      <w:szCs w:val="18"/>
                      <w:lang w:val="en-US" w:eastAsia="zh-CN"/>
                    </w:rPr>
                    <w:t>m</w:t>
                  </w:r>
                  <w:r>
                    <w:rPr>
                      <w:rFonts w:hint="eastAsia" w:ascii="宋体" w:hAnsi="宋体" w:eastAsia="宋体" w:cs="宋体"/>
                      <w:color w:val="auto"/>
                      <w:sz w:val="18"/>
                      <w:szCs w:val="18"/>
                      <w:vertAlign w:val="superscript"/>
                      <w:lang w:val="en-US" w:eastAsia="zh-CN"/>
                    </w:rPr>
                    <w:t>2</w:t>
                  </w:r>
                </w:p>
              </w:tc>
              <w:tc>
                <w:tcPr>
                  <w:tcW w:w="802" w:type="pct"/>
                  <w:vMerge w:val="continue"/>
                  <w:tcBorders>
                    <w:tl2br w:val="nil"/>
                    <w:tr2bl w:val="nil"/>
                  </w:tcBorders>
                  <w:noWrap w:val="0"/>
                  <w:vAlign w:val="center"/>
                </w:tcPr>
                <w:p w14:paraId="75CABD6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p>
              </w:tc>
              <w:tc>
                <w:tcPr>
                  <w:tcW w:w="984" w:type="pct"/>
                  <w:vMerge w:val="continue"/>
                  <w:tcBorders>
                    <w:tl2br w:val="nil"/>
                    <w:tr2bl w:val="nil"/>
                  </w:tcBorders>
                  <w:noWrap w:val="0"/>
                  <w:vAlign w:val="center"/>
                </w:tcPr>
                <w:p w14:paraId="2DD5A64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p>
              </w:tc>
            </w:tr>
            <w:tr w14:paraId="49F555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9" w:type="pct"/>
                  <w:vMerge w:val="restart"/>
                  <w:tcBorders>
                    <w:tl2br w:val="nil"/>
                    <w:tr2bl w:val="nil"/>
                  </w:tcBorders>
                  <w:noWrap w:val="0"/>
                  <w:vAlign w:val="center"/>
                </w:tcPr>
                <w:p w14:paraId="3FD26CE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环保</w:t>
                  </w:r>
                </w:p>
                <w:p w14:paraId="605041D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工程</w:t>
                  </w:r>
                </w:p>
              </w:tc>
              <w:tc>
                <w:tcPr>
                  <w:tcW w:w="605" w:type="pct"/>
                  <w:tcBorders>
                    <w:tl2br w:val="nil"/>
                    <w:tr2bl w:val="nil"/>
                  </w:tcBorders>
                  <w:noWrap w:val="0"/>
                  <w:vAlign w:val="center"/>
                </w:tcPr>
                <w:p w14:paraId="4AB0206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废水</w:t>
                  </w:r>
                </w:p>
                <w:p w14:paraId="1CD940A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治理</w:t>
                  </w:r>
                </w:p>
              </w:tc>
              <w:tc>
                <w:tcPr>
                  <w:tcW w:w="2158" w:type="pct"/>
                  <w:tcBorders>
                    <w:tl2br w:val="nil"/>
                    <w:tr2bl w:val="nil"/>
                  </w:tcBorders>
                  <w:noWrap w:val="0"/>
                  <w:vAlign w:val="center"/>
                </w:tcPr>
                <w:p w14:paraId="3683234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新建1</w:t>
                  </w:r>
                  <w:r>
                    <w:rPr>
                      <w:rFonts w:hint="eastAsia" w:ascii="宋体" w:hAnsi="宋体" w:cs="宋体"/>
                      <w:color w:val="auto"/>
                      <w:sz w:val="18"/>
                      <w:szCs w:val="18"/>
                      <w:lang w:val="en-US" w:eastAsia="zh-CN"/>
                    </w:rPr>
                    <w:t>0</w:t>
                  </w:r>
                  <w:r>
                    <w:rPr>
                      <w:rFonts w:hint="eastAsia" w:ascii="宋体" w:hAnsi="宋体" w:eastAsia="宋体" w:cs="宋体"/>
                      <w:color w:val="auto"/>
                      <w:sz w:val="18"/>
                      <w:szCs w:val="18"/>
                      <w:lang w:val="en-US" w:eastAsia="zh-CN"/>
                    </w:rPr>
                    <w:t>m</w:t>
                  </w:r>
                  <w:r>
                    <w:rPr>
                      <w:rFonts w:hint="eastAsia" w:ascii="宋体" w:hAnsi="宋体" w:eastAsia="宋体" w:cs="宋体"/>
                      <w:color w:val="auto"/>
                      <w:sz w:val="18"/>
                      <w:szCs w:val="18"/>
                      <w:vertAlign w:val="superscript"/>
                      <w:lang w:val="en-US" w:eastAsia="zh-CN"/>
                    </w:rPr>
                    <w:t>3</w:t>
                  </w:r>
                  <w:r>
                    <w:rPr>
                      <w:rFonts w:hint="eastAsia" w:ascii="宋体" w:hAnsi="宋体" w:cs="宋体"/>
                      <w:color w:val="auto"/>
                      <w:sz w:val="18"/>
                      <w:szCs w:val="18"/>
                      <w:lang w:val="en-US" w:eastAsia="zh-CN"/>
                    </w:rPr>
                    <w:t>化粪池</w:t>
                  </w:r>
                  <w:r>
                    <w:rPr>
                      <w:rFonts w:hint="eastAsia" w:ascii="宋体" w:hAnsi="宋体" w:eastAsia="宋体" w:cs="宋体"/>
                      <w:color w:val="auto"/>
                      <w:sz w:val="18"/>
                      <w:szCs w:val="18"/>
                      <w:lang w:val="en-US" w:eastAsia="zh-CN"/>
                    </w:rPr>
                    <w:t>，生活污水经预处理达标后经市政污水管网排入龙眼井污水处理厂处理</w:t>
                  </w:r>
                </w:p>
              </w:tc>
              <w:tc>
                <w:tcPr>
                  <w:tcW w:w="802" w:type="pct"/>
                  <w:vMerge w:val="continue"/>
                  <w:tcBorders>
                    <w:tl2br w:val="nil"/>
                    <w:tr2bl w:val="nil"/>
                  </w:tcBorders>
                  <w:noWrap w:val="0"/>
                  <w:vAlign w:val="center"/>
                </w:tcPr>
                <w:p w14:paraId="3A25D47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p>
              </w:tc>
              <w:tc>
                <w:tcPr>
                  <w:tcW w:w="984" w:type="pct"/>
                  <w:tcBorders>
                    <w:tl2br w:val="nil"/>
                    <w:tr2bl w:val="nil"/>
                  </w:tcBorders>
                  <w:noWrap w:val="0"/>
                  <w:vAlign w:val="center"/>
                </w:tcPr>
                <w:p w14:paraId="722038D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废水、污泥</w:t>
                  </w:r>
                </w:p>
              </w:tc>
            </w:tr>
            <w:tr w14:paraId="54E719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9" w:type="pct"/>
                  <w:vMerge w:val="continue"/>
                  <w:tcBorders>
                    <w:tl2br w:val="nil"/>
                    <w:tr2bl w:val="nil"/>
                  </w:tcBorders>
                  <w:noWrap w:val="0"/>
                  <w:vAlign w:val="center"/>
                </w:tcPr>
                <w:p w14:paraId="4AA58B0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p>
              </w:tc>
              <w:tc>
                <w:tcPr>
                  <w:tcW w:w="605" w:type="pct"/>
                  <w:vMerge w:val="restart"/>
                  <w:tcBorders>
                    <w:tl2br w:val="nil"/>
                    <w:tr2bl w:val="nil"/>
                  </w:tcBorders>
                  <w:noWrap w:val="0"/>
                  <w:vAlign w:val="center"/>
                </w:tcPr>
                <w:p w14:paraId="255E92E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固废</w:t>
                  </w:r>
                </w:p>
                <w:p w14:paraId="7DA1C6B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处置</w:t>
                  </w:r>
                </w:p>
              </w:tc>
              <w:tc>
                <w:tcPr>
                  <w:tcW w:w="2158" w:type="pct"/>
                  <w:tcBorders>
                    <w:tl2br w:val="nil"/>
                    <w:tr2bl w:val="nil"/>
                  </w:tcBorders>
                  <w:noWrap w:val="0"/>
                  <w:vAlign w:val="center"/>
                </w:tcPr>
                <w:p w14:paraId="57E7D85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一般固废贮存库</w:t>
                  </w:r>
                  <w:r>
                    <w:rPr>
                      <w:rFonts w:hint="eastAsia" w:ascii="宋体" w:hAnsi="宋体" w:eastAsia="宋体" w:cs="宋体"/>
                      <w:color w:val="auto"/>
                      <w:sz w:val="18"/>
                      <w:szCs w:val="18"/>
                      <w:lang w:val="en-US" w:eastAsia="zh-CN"/>
                    </w:rPr>
                    <w:t>1个，每个面积</w:t>
                  </w:r>
                  <w:r>
                    <w:rPr>
                      <w:rFonts w:hint="eastAsia" w:ascii="宋体" w:hAnsi="宋体" w:cs="宋体"/>
                      <w:color w:val="auto"/>
                      <w:sz w:val="18"/>
                      <w:szCs w:val="18"/>
                      <w:lang w:val="en-US" w:eastAsia="zh-CN"/>
                    </w:rPr>
                    <w:t>2</w:t>
                  </w:r>
                  <w:r>
                    <w:rPr>
                      <w:rFonts w:hint="eastAsia" w:ascii="宋体" w:hAnsi="宋体" w:eastAsia="宋体" w:cs="宋体"/>
                      <w:color w:val="auto"/>
                      <w:sz w:val="18"/>
                      <w:szCs w:val="18"/>
                      <w:lang w:val="en-US" w:eastAsia="zh-CN"/>
                    </w:rPr>
                    <w:t>0m</w:t>
                  </w:r>
                  <w:r>
                    <w:rPr>
                      <w:rFonts w:hint="eastAsia" w:ascii="宋体" w:hAnsi="宋体" w:eastAsia="宋体" w:cs="宋体"/>
                      <w:color w:val="auto"/>
                      <w:sz w:val="18"/>
                      <w:szCs w:val="18"/>
                      <w:vertAlign w:val="superscript"/>
                      <w:lang w:val="en-US" w:eastAsia="zh-CN"/>
                    </w:rPr>
                    <w:t>2</w:t>
                  </w:r>
                  <w:r>
                    <w:rPr>
                      <w:rFonts w:hint="eastAsia" w:ascii="宋体" w:hAnsi="宋体" w:eastAsia="宋体" w:cs="宋体"/>
                      <w:color w:val="auto"/>
                      <w:sz w:val="18"/>
                      <w:szCs w:val="18"/>
                      <w:lang w:val="en-US" w:eastAsia="zh-CN"/>
                    </w:rPr>
                    <w:t>。</w:t>
                  </w:r>
                </w:p>
              </w:tc>
              <w:tc>
                <w:tcPr>
                  <w:tcW w:w="802" w:type="pct"/>
                  <w:vMerge w:val="continue"/>
                  <w:tcBorders>
                    <w:tl2br w:val="nil"/>
                    <w:tr2bl w:val="nil"/>
                  </w:tcBorders>
                  <w:noWrap w:val="0"/>
                  <w:vAlign w:val="center"/>
                </w:tcPr>
                <w:p w14:paraId="74DCCFD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p>
              </w:tc>
              <w:tc>
                <w:tcPr>
                  <w:tcW w:w="984" w:type="pct"/>
                  <w:vMerge w:val="restart"/>
                  <w:tcBorders>
                    <w:tl2br w:val="nil"/>
                    <w:tr2bl w:val="nil"/>
                  </w:tcBorders>
                  <w:noWrap w:val="0"/>
                  <w:vAlign w:val="center"/>
                </w:tcPr>
                <w:p w14:paraId="0794850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固废</w:t>
                  </w:r>
                </w:p>
              </w:tc>
            </w:tr>
            <w:tr w14:paraId="2E7B99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9" w:type="pct"/>
                  <w:vMerge w:val="continue"/>
                  <w:tcBorders>
                    <w:tl2br w:val="nil"/>
                    <w:tr2bl w:val="nil"/>
                  </w:tcBorders>
                  <w:noWrap w:val="0"/>
                  <w:vAlign w:val="center"/>
                </w:tcPr>
                <w:p w14:paraId="37973C0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p>
              </w:tc>
              <w:tc>
                <w:tcPr>
                  <w:tcW w:w="605" w:type="pct"/>
                  <w:vMerge w:val="continue"/>
                  <w:tcBorders>
                    <w:tl2br w:val="nil"/>
                    <w:tr2bl w:val="nil"/>
                  </w:tcBorders>
                  <w:noWrap w:val="0"/>
                  <w:vAlign w:val="center"/>
                </w:tcPr>
                <w:p w14:paraId="394EB05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p>
              </w:tc>
              <w:tc>
                <w:tcPr>
                  <w:tcW w:w="2158" w:type="pct"/>
                  <w:tcBorders>
                    <w:tl2br w:val="nil"/>
                    <w:tr2bl w:val="nil"/>
                  </w:tcBorders>
                  <w:noWrap w:val="0"/>
                  <w:vAlign w:val="center"/>
                </w:tcPr>
                <w:p w14:paraId="5546582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危废贮存库</w:t>
                  </w:r>
                  <w:r>
                    <w:rPr>
                      <w:rFonts w:hint="eastAsia" w:ascii="宋体" w:hAnsi="宋体" w:eastAsia="宋体" w:cs="宋体"/>
                      <w:color w:val="auto"/>
                      <w:sz w:val="18"/>
                      <w:szCs w:val="18"/>
                      <w:lang w:val="en-US" w:eastAsia="zh-CN"/>
                    </w:rPr>
                    <w:t>10m</w:t>
                  </w:r>
                  <w:r>
                    <w:rPr>
                      <w:rFonts w:hint="eastAsia" w:ascii="宋体" w:hAnsi="宋体" w:eastAsia="宋体" w:cs="宋体"/>
                      <w:color w:val="auto"/>
                      <w:sz w:val="18"/>
                      <w:szCs w:val="18"/>
                      <w:vertAlign w:val="superscript"/>
                      <w:lang w:val="en-US" w:eastAsia="zh-CN"/>
                    </w:rPr>
                    <w:t>2</w:t>
                  </w:r>
                  <w:r>
                    <w:rPr>
                      <w:rFonts w:hint="eastAsia" w:ascii="宋体" w:hAnsi="宋体" w:eastAsia="宋体" w:cs="宋体"/>
                      <w:color w:val="auto"/>
                      <w:sz w:val="18"/>
                      <w:szCs w:val="18"/>
                      <w:lang w:val="en-US" w:eastAsia="zh-CN"/>
                    </w:rPr>
                    <w:t>，用于暂存危废废物</w:t>
                  </w:r>
                </w:p>
              </w:tc>
              <w:tc>
                <w:tcPr>
                  <w:tcW w:w="802" w:type="pct"/>
                  <w:vMerge w:val="continue"/>
                  <w:tcBorders>
                    <w:tl2br w:val="nil"/>
                    <w:tr2bl w:val="nil"/>
                  </w:tcBorders>
                  <w:noWrap w:val="0"/>
                  <w:vAlign w:val="center"/>
                </w:tcPr>
                <w:p w14:paraId="1B1567B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p>
              </w:tc>
              <w:tc>
                <w:tcPr>
                  <w:tcW w:w="984" w:type="pct"/>
                  <w:vMerge w:val="continue"/>
                  <w:tcBorders>
                    <w:tl2br w:val="nil"/>
                    <w:tr2bl w:val="nil"/>
                  </w:tcBorders>
                  <w:noWrap w:val="0"/>
                  <w:vAlign w:val="center"/>
                </w:tcPr>
                <w:p w14:paraId="3C14F87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p>
              </w:tc>
            </w:tr>
            <w:tr w14:paraId="01ED52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9" w:type="pct"/>
                  <w:vMerge w:val="continue"/>
                  <w:tcBorders>
                    <w:tl2br w:val="nil"/>
                    <w:tr2bl w:val="nil"/>
                  </w:tcBorders>
                  <w:noWrap w:val="0"/>
                  <w:vAlign w:val="center"/>
                </w:tcPr>
                <w:p w14:paraId="3EFBD12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p>
              </w:tc>
              <w:tc>
                <w:tcPr>
                  <w:tcW w:w="605" w:type="pct"/>
                  <w:tcBorders>
                    <w:tl2br w:val="nil"/>
                    <w:tr2bl w:val="nil"/>
                  </w:tcBorders>
                  <w:noWrap w:val="0"/>
                  <w:vAlign w:val="center"/>
                </w:tcPr>
                <w:p w14:paraId="292AA45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地下水防渗</w:t>
                  </w:r>
                </w:p>
              </w:tc>
              <w:tc>
                <w:tcPr>
                  <w:tcW w:w="2158" w:type="pct"/>
                  <w:tcBorders>
                    <w:tl2br w:val="nil"/>
                    <w:tr2bl w:val="nil"/>
                  </w:tcBorders>
                  <w:noWrap w:val="0"/>
                  <w:vAlign w:val="center"/>
                </w:tcPr>
                <w:p w14:paraId="18B8E39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color w:val="auto"/>
                      <w:sz w:val="18"/>
                      <w:szCs w:val="18"/>
                      <w:lang w:val="en-US" w:eastAsia="zh-CN"/>
                    </w:rPr>
                  </w:pPr>
                  <w:r>
                    <w:rPr>
                      <w:rFonts w:hint="eastAsia" w:ascii="宋体" w:hAnsi="宋体" w:cs="宋体"/>
                      <w:color w:val="auto"/>
                      <w:sz w:val="18"/>
                      <w:szCs w:val="18"/>
                      <w:lang w:val="en-US" w:eastAsia="zh-CN"/>
                    </w:rPr>
                    <w:t>危废贮存库</w:t>
                  </w:r>
                  <w:r>
                    <w:rPr>
                      <w:rFonts w:hint="eastAsia" w:ascii="宋体" w:hAnsi="宋体" w:eastAsia="宋体" w:cs="宋体"/>
                      <w:color w:val="auto"/>
                      <w:sz w:val="18"/>
                      <w:szCs w:val="18"/>
                      <w:lang w:val="en-US" w:eastAsia="zh-CN"/>
                    </w:rPr>
                    <w:t>为重点防渗；</w:t>
                  </w:r>
                  <w:r>
                    <w:rPr>
                      <w:rFonts w:hint="eastAsia" w:ascii="宋体" w:hAnsi="宋体" w:cs="宋体"/>
                      <w:color w:val="auto"/>
                      <w:sz w:val="18"/>
                      <w:szCs w:val="18"/>
                      <w:lang w:val="en-US" w:eastAsia="zh-CN"/>
                    </w:rPr>
                    <w:t>一般固废贮存库</w:t>
                  </w:r>
                  <w:r>
                    <w:rPr>
                      <w:rFonts w:hint="eastAsia" w:ascii="宋体" w:hAnsi="宋体" w:eastAsia="宋体" w:cs="宋体"/>
                      <w:color w:val="auto"/>
                      <w:sz w:val="18"/>
                      <w:szCs w:val="18"/>
                      <w:lang w:val="en-US" w:eastAsia="zh-CN"/>
                    </w:rPr>
                    <w:t>、生产车间、化粪池一般防渗；办公及其他区域简单防渗</w:t>
                  </w:r>
                </w:p>
              </w:tc>
              <w:tc>
                <w:tcPr>
                  <w:tcW w:w="802" w:type="pct"/>
                  <w:tcBorders>
                    <w:tl2br w:val="nil"/>
                    <w:tr2bl w:val="nil"/>
                  </w:tcBorders>
                  <w:noWrap w:val="0"/>
                  <w:vAlign w:val="center"/>
                </w:tcPr>
                <w:p w14:paraId="65BDACD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p>
              </w:tc>
              <w:tc>
                <w:tcPr>
                  <w:tcW w:w="984" w:type="pct"/>
                  <w:tcBorders>
                    <w:tl2br w:val="nil"/>
                    <w:tr2bl w:val="nil"/>
                  </w:tcBorders>
                  <w:noWrap w:val="0"/>
                  <w:vAlign w:val="center"/>
                </w:tcPr>
                <w:p w14:paraId="313249E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w:t>
                  </w:r>
                </w:p>
              </w:tc>
            </w:tr>
          </w:tbl>
          <w:p w14:paraId="10A0F700">
            <w:pPr>
              <w:pStyle w:val="19"/>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360" w:lineRule="auto"/>
              <w:textAlignment w:val="auto"/>
              <w:rPr>
                <w:rFonts w:hint="default" w:ascii="Times New Roman"/>
                <w:b/>
                <w:bCs/>
                <w:color w:val="auto"/>
                <w:kern w:val="2"/>
                <w:sz w:val="21"/>
                <w:szCs w:val="24"/>
                <w:lang w:val="en-US" w:eastAsia="zh-CN" w:bidi="ar-SA"/>
              </w:rPr>
            </w:pPr>
            <w:r>
              <w:rPr>
                <w:rFonts w:hint="eastAsia" w:hAnsi="宋体" w:eastAsia="宋体" w:cs="宋体"/>
                <w:b/>
                <w:bCs/>
                <w:color w:val="auto"/>
                <w:kern w:val="2"/>
                <w:sz w:val="21"/>
                <w:szCs w:val="24"/>
                <w:lang w:val="en-US" w:eastAsia="zh-CN" w:bidi="ar-SA"/>
              </w:rPr>
              <w:t>4、</w:t>
            </w:r>
            <w:r>
              <w:rPr>
                <w:rFonts w:hint="eastAsia" w:ascii="Times New Roman"/>
                <w:b/>
                <w:bCs/>
                <w:color w:val="auto"/>
                <w:kern w:val="2"/>
                <w:sz w:val="21"/>
                <w:szCs w:val="24"/>
                <w:lang w:val="en-US" w:eastAsia="zh-CN" w:bidi="ar-SA"/>
              </w:rPr>
              <w:t>主要原辅材料及能耗</w:t>
            </w:r>
          </w:p>
          <w:p w14:paraId="7D242DC6">
            <w:pPr>
              <w:keepNext w:val="0"/>
              <w:keepLines w:val="0"/>
              <w:pageBreakBefore w:val="0"/>
              <w:widowControl w:val="0"/>
              <w:kinsoku/>
              <w:wordWrap/>
              <w:overflowPunct/>
              <w:topLinePunct w:val="0"/>
              <w:autoSpaceDE/>
              <w:autoSpaceDN/>
              <w:bidi w:val="0"/>
              <w:adjustRightInd/>
              <w:snapToGrid/>
              <w:spacing w:line="360" w:lineRule="auto"/>
              <w:ind w:right="0" w:rightChars="0" w:firstLine="420" w:firstLineChars="200"/>
              <w:jc w:val="both"/>
              <w:textAlignment w:val="auto"/>
              <w:outlineLvl w:val="9"/>
              <w:rPr>
                <w:rFonts w:hint="eastAsia" w:ascii="宋体" w:hAnsi="宋体" w:eastAsia="宋体" w:cs="宋体"/>
                <w:color w:val="auto"/>
                <w:kern w:val="2"/>
                <w:sz w:val="21"/>
                <w:szCs w:val="24"/>
                <w:lang w:val="en-US" w:eastAsia="zh-CN" w:bidi="ar-SA"/>
              </w:rPr>
            </w:pPr>
            <w:r>
              <w:rPr>
                <w:rFonts w:hint="default" w:ascii="Times New Roman" w:hAnsi="Times New Roman" w:eastAsia="宋体" w:cs="Times New Roman"/>
                <w:bCs/>
                <w:color w:val="auto"/>
                <w:sz w:val="21"/>
                <w:szCs w:val="21"/>
                <w:lang w:val="en-US" w:eastAsia="zh-CN"/>
              </w:rPr>
              <w:t>本项目生产过程中主要原辅材料及能耗见表2-</w:t>
            </w:r>
            <w:r>
              <w:rPr>
                <w:rFonts w:hint="eastAsia" w:ascii="Times New Roman" w:hAnsi="Times New Roman" w:eastAsia="宋体" w:cs="Times New Roman"/>
                <w:bCs/>
                <w:color w:val="auto"/>
                <w:sz w:val="21"/>
                <w:szCs w:val="21"/>
                <w:lang w:val="en-US" w:eastAsia="zh-CN"/>
              </w:rPr>
              <w:t>4</w:t>
            </w:r>
            <w:r>
              <w:rPr>
                <w:rFonts w:hint="default" w:ascii="Times New Roman" w:hAnsi="Times New Roman" w:eastAsia="宋体" w:cs="Times New Roman"/>
                <w:bCs/>
                <w:color w:val="auto"/>
                <w:sz w:val="21"/>
                <w:szCs w:val="21"/>
                <w:lang w:val="en-US" w:eastAsia="zh-CN"/>
              </w:rPr>
              <w:t>。</w:t>
            </w:r>
          </w:p>
          <w:p w14:paraId="60815BBA">
            <w:pPr>
              <w:snapToGrid w:val="0"/>
              <w:spacing w:before="120" w:beforeLines="50"/>
              <w:jc w:val="center"/>
              <w:rPr>
                <w:rFonts w:hint="eastAsia"/>
                <w:b/>
                <w:color w:val="auto"/>
                <w:sz w:val="21"/>
                <w:szCs w:val="21"/>
                <w:lang w:val="en-US" w:eastAsia="zh-CN"/>
              </w:rPr>
            </w:pPr>
            <w:r>
              <w:rPr>
                <w:rFonts w:hint="eastAsia"/>
                <w:b/>
                <w:color w:val="auto"/>
                <w:sz w:val="21"/>
                <w:szCs w:val="21"/>
                <w:lang w:val="en-US" w:eastAsia="zh-CN"/>
              </w:rPr>
              <w:t>表2-4  原辅材料及能源消耗一览表</w:t>
            </w:r>
          </w:p>
          <w:tbl>
            <w:tblPr>
              <w:tblStyle w:val="31"/>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1"/>
              <w:gridCol w:w="1424"/>
              <w:gridCol w:w="1439"/>
              <w:gridCol w:w="1271"/>
              <w:gridCol w:w="1258"/>
              <w:gridCol w:w="1212"/>
              <w:gridCol w:w="1176"/>
            </w:tblGrid>
            <w:tr w14:paraId="0AF50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69" w:type="pct"/>
                  <w:noWrap w:val="0"/>
                  <w:vAlign w:val="center"/>
                </w:tcPr>
                <w:p w14:paraId="17755804">
                  <w:pPr>
                    <w:jc w:val="center"/>
                    <w:rPr>
                      <w:rFonts w:hint="eastAsia"/>
                      <w:color w:val="auto"/>
                      <w:sz w:val="18"/>
                      <w:szCs w:val="18"/>
                      <w:vertAlign w:val="baseline"/>
                      <w:lang w:eastAsia="zh-CN"/>
                    </w:rPr>
                  </w:pPr>
                  <w:r>
                    <w:rPr>
                      <w:rFonts w:hint="eastAsia"/>
                      <w:color w:val="auto"/>
                      <w:sz w:val="18"/>
                      <w:szCs w:val="18"/>
                      <w:vertAlign w:val="baseline"/>
                      <w:lang w:eastAsia="zh-CN"/>
                    </w:rPr>
                    <w:t>序号</w:t>
                  </w:r>
                </w:p>
              </w:tc>
              <w:tc>
                <w:tcPr>
                  <w:tcW w:w="847" w:type="pct"/>
                  <w:noWrap w:val="0"/>
                  <w:vAlign w:val="center"/>
                </w:tcPr>
                <w:p w14:paraId="2A39EB4A">
                  <w:pPr>
                    <w:jc w:val="center"/>
                    <w:rPr>
                      <w:rFonts w:hint="eastAsia"/>
                      <w:color w:val="auto"/>
                      <w:sz w:val="18"/>
                      <w:szCs w:val="18"/>
                      <w:vertAlign w:val="baseline"/>
                      <w:lang w:eastAsia="zh-CN"/>
                    </w:rPr>
                  </w:pPr>
                  <w:r>
                    <w:rPr>
                      <w:rFonts w:hint="eastAsia"/>
                      <w:color w:val="auto"/>
                      <w:sz w:val="18"/>
                      <w:szCs w:val="18"/>
                      <w:vertAlign w:val="baseline"/>
                      <w:lang w:eastAsia="zh-CN"/>
                    </w:rPr>
                    <w:t>原辅材料</w:t>
                  </w:r>
                </w:p>
              </w:tc>
              <w:tc>
                <w:tcPr>
                  <w:tcW w:w="856" w:type="pct"/>
                  <w:noWrap w:val="0"/>
                  <w:vAlign w:val="center"/>
                </w:tcPr>
                <w:p w14:paraId="42803A8F">
                  <w:pPr>
                    <w:jc w:val="center"/>
                    <w:rPr>
                      <w:rFonts w:hint="eastAsia"/>
                      <w:color w:val="auto"/>
                      <w:sz w:val="18"/>
                      <w:szCs w:val="18"/>
                      <w:vertAlign w:val="baseline"/>
                      <w:lang w:eastAsia="zh-CN"/>
                    </w:rPr>
                  </w:pPr>
                  <w:r>
                    <w:rPr>
                      <w:rFonts w:hint="eastAsia"/>
                      <w:color w:val="auto"/>
                      <w:sz w:val="18"/>
                      <w:szCs w:val="18"/>
                      <w:vertAlign w:val="baseline"/>
                      <w:lang w:eastAsia="zh-CN"/>
                    </w:rPr>
                    <w:t>年用量</w:t>
                  </w:r>
                </w:p>
              </w:tc>
              <w:tc>
                <w:tcPr>
                  <w:tcW w:w="756" w:type="pct"/>
                  <w:noWrap w:val="0"/>
                  <w:vAlign w:val="center"/>
                </w:tcPr>
                <w:p w14:paraId="2CC85F2A">
                  <w:pPr>
                    <w:jc w:val="center"/>
                    <w:rPr>
                      <w:rFonts w:hint="default"/>
                      <w:color w:val="auto"/>
                      <w:sz w:val="18"/>
                      <w:szCs w:val="18"/>
                      <w:vertAlign w:val="baseline"/>
                      <w:lang w:val="en-US" w:eastAsia="zh-CN"/>
                    </w:rPr>
                  </w:pPr>
                  <w:r>
                    <w:rPr>
                      <w:rFonts w:hint="eastAsia"/>
                      <w:color w:val="auto"/>
                      <w:sz w:val="18"/>
                      <w:szCs w:val="18"/>
                      <w:vertAlign w:val="baseline"/>
                      <w:lang w:val="en-US" w:eastAsia="zh-CN"/>
                    </w:rPr>
                    <w:t>单位</w:t>
                  </w:r>
                </w:p>
              </w:tc>
              <w:tc>
                <w:tcPr>
                  <w:tcW w:w="748" w:type="pct"/>
                  <w:noWrap w:val="0"/>
                  <w:vAlign w:val="center"/>
                </w:tcPr>
                <w:p w14:paraId="7EBD478F">
                  <w:pPr>
                    <w:jc w:val="center"/>
                    <w:rPr>
                      <w:rFonts w:hint="eastAsia"/>
                      <w:color w:val="auto"/>
                      <w:sz w:val="18"/>
                      <w:szCs w:val="18"/>
                      <w:vertAlign w:val="baseline"/>
                      <w:lang w:eastAsia="zh-CN"/>
                    </w:rPr>
                  </w:pPr>
                  <w:r>
                    <w:rPr>
                      <w:rFonts w:hint="eastAsia"/>
                      <w:color w:val="auto"/>
                      <w:sz w:val="18"/>
                      <w:szCs w:val="18"/>
                      <w:vertAlign w:val="baseline"/>
                      <w:lang w:eastAsia="zh-CN"/>
                    </w:rPr>
                    <w:t>主要成分</w:t>
                  </w:r>
                </w:p>
              </w:tc>
              <w:tc>
                <w:tcPr>
                  <w:tcW w:w="721" w:type="pct"/>
                  <w:noWrap w:val="0"/>
                  <w:vAlign w:val="center"/>
                </w:tcPr>
                <w:p w14:paraId="277B76DB">
                  <w:pPr>
                    <w:jc w:val="center"/>
                    <w:rPr>
                      <w:rFonts w:hint="default"/>
                      <w:color w:val="auto"/>
                      <w:sz w:val="18"/>
                      <w:szCs w:val="18"/>
                      <w:vertAlign w:val="baseline"/>
                      <w:lang w:val="en-US" w:eastAsia="zh-CN"/>
                    </w:rPr>
                  </w:pPr>
                  <w:r>
                    <w:rPr>
                      <w:rFonts w:hint="eastAsia"/>
                      <w:color w:val="auto"/>
                      <w:sz w:val="18"/>
                      <w:szCs w:val="18"/>
                      <w:vertAlign w:val="baseline"/>
                      <w:lang w:val="en-US" w:eastAsia="zh-CN"/>
                    </w:rPr>
                    <w:t>最大储存量</w:t>
                  </w:r>
                </w:p>
              </w:tc>
              <w:tc>
                <w:tcPr>
                  <w:tcW w:w="699" w:type="pct"/>
                  <w:noWrap w:val="0"/>
                  <w:vAlign w:val="center"/>
                </w:tcPr>
                <w:p w14:paraId="6C7E689D">
                  <w:pPr>
                    <w:jc w:val="center"/>
                    <w:rPr>
                      <w:rFonts w:hint="default"/>
                      <w:color w:val="auto"/>
                      <w:sz w:val="18"/>
                      <w:szCs w:val="18"/>
                      <w:vertAlign w:val="baseline"/>
                      <w:lang w:val="en-US" w:eastAsia="zh-CN"/>
                    </w:rPr>
                  </w:pPr>
                  <w:r>
                    <w:rPr>
                      <w:rFonts w:hint="eastAsia"/>
                      <w:color w:val="auto"/>
                      <w:sz w:val="18"/>
                      <w:szCs w:val="18"/>
                      <w:vertAlign w:val="baseline"/>
                      <w:lang w:val="en-US" w:eastAsia="zh-CN"/>
                    </w:rPr>
                    <w:t>备注</w:t>
                  </w:r>
                </w:p>
              </w:tc>
            </w:tr>
            <w:tr w14:paraId="16520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369" w:type="pct"/>
                  <w:noWrap w:val="0"/>
                  <w:vAlign w:val="center"/>
                </w:tcPr>
                <w:p w14:paraId="4AA335AB">
                  <w:pPr>
                    <w:jc w:val="center"/>
                    <w:rPr>
                      <w:rFonts w:hint="default"/>
                      <w:color w:val="auto"/>
                      <w:sz w:val="18"/>
                      <w:szCs w:val="18"/>
                      <w:vertAlign w:val="baseline"/>
                      <w:lang w:val="en-US" w:eastAsia="zh-CN"/>
                    </w:rPr>
                  </w:pPr>
                  <w:r>
                    <w:rPr>
                      <w:rFonts w:hint="eastAsia"/>
                      <w:color w:val="auto"/>
                      <w:sz w:val="18"/>
                      <w:szCs w:val="18"/>
                      <w:vertAlign w:val="baseline"/>
                      <w:lang w:val="en-US" w:eastAsia="zh-CN"/>
                    </w:rPr>
                    <w:t>1</w:t>
                  </w:r>
                </w:p>
              </w:tc>
              <w:tc>
                <w:tcPr>
                  <w:tcW w:w="847" w:type="pct"/>
                  <w:noWrap w:val="0"/>
                  <w:vAlign w:val="center"/>
                </w:tcPr>
                <w:p w14:paraId="29C70479">
                  <w:pPr>
                    <w:jc w:val="center"/>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电机</w:t>
                  </w:r>
                </w:p>
              </w:tc>
              <w:tc>
                <w:tcPr>
                  <w:tcW w:w="856" w:type="pct"/>
                  <w:noWrap w:val="0"/>
                  <w:vAlign w:val="center"/>
                </w:tcPr>
                <w:p w14:paraId="3917D964">
                  <w:pPr>
                    <w:jc w:val="center"/>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10</w:t>
                  </w:r>
                </w:p>
              </w:tc>
              <w:tc>
                <w:tcPr>
                  <w:tcW w:w="756" w:type="pct"/>
                  <w:noWrap w:val="0"/>
                  <w:vAlign w:val="center"/>
                </w:tcPr>
                <w:p w14:paraId="5191C822">
                  <w:pPr>
                    <w:jc w:val="center"/>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万台</w:t>
                  </w:r>
                  <w:r>
                    <w:rPr>
                      <w:rFonts w:hint="default" w:ascii="Times New Roman" w:hAnsi="Times New Roman" w:eastAsia="宋体" w:cs="Times New Roman"/>
                      <w:color w:val="auto"/>
                      <w:sz w:val="18"/>
                      <w:szCs w:val="18"/>
                      <w:vertAlign w:val="baseline"/>
                      <w:lang w:val="en-US" w:eastAsia="zh-CN"/>
                    </w:rPr>
                    <w:t>/a</w:t>
                  </w:r>
                </w:p>
              </w:tc>
              <w:tc>
                <w:tcPr>
                  <w:tcW w:w="748" w:type="pct"/>
                  <w:noWrap w:val="0"/>
                  <w:vAlign w:val="center"/>
                </w:tcPr>
                <w:p w14:paraId="4A6DD7BE">
                  <w:pPr>
                    <w:jc w:val="center"/>
                    <w:rPr>
                      <w:rFonts w:hint="default"/>
                      <w:color w:val="auto"/>
                      <w:sz w:val="18"/>
                      <w:szCs w:val="18"/>
                      <w:vertAlign w:val="baseline"/>
                      <w:lang w:val="en-US" w:eastAsia="zh-CN"/>
                    </w:rPr>
                  </w:pPr>
                  <w:r>
                    <w:rPr>
                      <w:rFonts w:hint="eastAsia"/>
                      <w:color w:val="auto"/>
                      <w:sz w:val="18"/>
                      <w:szCs w:val="18"/>
                      <w:vertAlign w:val="baseline"/>
                      <w:lang w:val="en-US" w:eastAsia="zh-CN"/>
                    </w:rPr>
                    <w:t>/</w:t>
                  </w:r>
                </w:p>
              </w:tc>
              <w:tc>
                <w:tcPr>
                  <w:tcW w:w="721" w:type="pct"/>
                  <w:noWrap w:val="0"/>
                  <w:vAlign w:val="center"/>
                </w:tcPr>
                <w:p w14:paraId="671B4C8F">
                  <w:pPr>
                    <w:jc w:val="center"/>
                    <w:rPr>
                      <w:rFonts w:hint="default"/>
                      <w:color w:val="auto"/>
                      <w:sz w:val="18"/>
                      <w:szCs w:val="18"/>
                      <w:vertAlign w:val="baseline"/>
                      <w:lang w:val="en-US" w:eastAsia="zh-CN"/>
                    </w:rPr>
                  </w:pPr>
                  <w:r>
                    <w:rPr>
                      <w:rFonts w:hint="eastAsia"/>
                      <w:color w:val="auto"/>
                      <w:sz w:val="18"/>
                      <w:szCs w:val="18"/>
                      <w:vertAlign w:val="baseline"/>
                      <w:lang w:val="en-US" w:eastAsia="zh-CN"/>
                    </w:rPr>
                    <w:t>0.5</w:t>
                  </w:r>
                </w:p>
              </w:tc>
              <w:tc>
                <w:tcPr>
                  <w:tcW w:w="699" w:type="pct"/>
                  <w:noWrap w:val="0"/>
                  <w:vAlign w:val="center"/>
                </w:tcPr>
                <w:p w14:paraId="403F8FEC">
                  <w:pPr>
                    <w:jc w:val="center"/>
                    <w:rPr>
                      <w:rFonts w:hint="default"/>
                      <w:color w:val="auto"/>
                      <w:sz w:val="18"/>
                      <w:szCs w:val="18"/>
                      <w:vertAlign w:val="baseline"/>
                      <w:lang w:val="en-US" w:eastAsia="zh-CN"/>
                    </w:rPr>
                  </w:pPr>
                  <w:r>
                    <w:rPr>
                      <w:rFonts w:hint="eastAsia"/>
                      <w:color w:val="auto"/>
                      <w:sz w:val="18"/>
                      <w:szCs w:val="18"/>
                      <w:vertAlign w:val="baseline"/>
                      <w:lang w:val="en-US" w:eastAsia="zh-CN"/>
                    </w:rPr>
                    <w:t>外购</w:t>
                  </w:r>
                </w:p>
              </w:tc>
            </w:tr>
            <w:tr w14:paraId="5B7AE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9" w:type="pct"/>
                  <w:noWrap w:val="0"/>
                  <w:vAlign w:val="center"/>
                </w:tcPr>
                <w:p w14:paraId="78237A4C">
                  <w:pPr>
                    <w:jc w:val="center"/>
                    <w:rPr>
                      <w:rFonts w:hint="default"/>
                      <w:color w:val="auto"/>
                      <w:sz w:val="18"/>
                      <w:szCs w:val="18"/>
                      <w:vertAlign w:val="baseline"/>
                      <w:lang w:val="en-US" w:eastAsia="zh-CN"/>
                    </w:rPr>
                  </w:pPr>
                  <w:r>
                    <w:rPr>
                      <w:rFonts w:hint="eastAsia"/>
                      <w:color w:val="auto"/>
                      <w:sz w:val="18"/>
                      <w:szCs w:val="18"/>
                      <w:vertAlign w:val="baseline"/>
                      <w:lang w:val="en-US" w:eastAsia="zh-CN"/>
                    </w:rPr>
                    <w:t>2</w:t>
                  </w:r>
                </w:p>
              </w:tc>
              <w:tc>
                <w:tcPr>
                  <w:tcW w:w="847" w:type="pct"/>
                  <w:noWrap w:val="0"/>
                  <w:vAlign w:val="center"/>
                </w:tcPr>
                <w:p w14:paraId="11E56184">
                  <w:pPr>
                    <w:jc w:val="center"/>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控制器</w:t>
                  </w:r>
                </w:p>
              </w:tc>
              <w:tc>
                <w:tcPr>
                  <w:tcW w:w="856" w:type="pct"/>
                  <w:noWrap w:val="0"/>
                  <w:vAlign w:val="center"/>
                </w:tcPr>
                <w:p w14:paraId="512349AD">
                  <w:pPr>
                    <w:jc w:val="center"/>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10</w:t>
                  </w:r>
                </w:p>
              </w:tc>
              <w:tc>
                <w:tcPr>
                  <w:tcW w:w="756" w:type="pct"/>
                  <w:noWrap w:val="0"/>
                  <w:vAlign w:val="center"/>
                </w:tcPr>
                <w:p w14:paraId="44140A32">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万个</w:t>
                  </w:r>
                  <w:r>
                    <w:rPr>
                      <w:rFonts w:hint="default" w:ascii="Times New Roman" w:hAnsi="Times New Roman" w:eastAsia="宋体" w:cs="Times New Roman"/>
                      <w:color w:val="auto"/>
                      <w:sz w:val="18"/>
                      <w:szCs w:val="18"/>
                      <w:vertAlign w:val="baseline"/>
                      <w:lang w:val="en-US" w:eastAsia="zh-CN"/>
                    </w:rPr>
                    <w:t>/a</w:t>
                  </w:r>
                </w:p>
              </w:tc>
              <w:tc>
                <w:tcPr>
                  <w:tcW w:w="748" w:type="pct"/>
                  <w:noWrap w:val="0"/>
                  <w:vAlign w:val="center"/>
                </w:tcPr>
                <w:p w14:paraId="32064373">
                  <w:pPr>
                    <w:jc w:val="center"/>
                    <w:rPr>
                      <w:rFonts w:hint="default"/>
                      <w:color w:val="auto"/>
                      <w:sz w:val="18"/>
                      <w:szCs w:val="18"/>
                      <w:vertAlign w:val="baseline"/>
                      <w:lang w:val="en-US" w:eastAsia="zh-CN"/>
                    </w:rPr>
                  </w:pPr>
                  <w:r>
                    <w:rPr>
                      <w:rFonts w:hint="eastAsia"/>
                      <w:color w:val="auto"/>
                      <w:sz w:val="18"/>
                      <w:szCs w:val="18"/>
                      <w:vertAlign w:val="baseline"/>
                      <w:lang w:val="en-US" w:eastAsia="zh-CN"/>
                    </w:rPr>
                    <w:t>/</w:t>
                  </w:r>
                </w:p>
              </w:tc>
              <w:tc>
                <w:tcPr>
                  <w:tcW w:w="721" w:type="pct"/>
                  <w:noWrap w:val="0"/>
                  <w:vAlign w:val="center"/>
                </w:tcPr>
                <w:p w14:paraId="70604757">
                  <w:pPr>
                    <w:jc w:val="center"/>
                    <w:rPr>
                      <w:rFonts w:hint="default"/>
                      <w:color w:val="auto"/>
                      <w:sz w:val="18"/>
                      <w:szCs w:val="18"/>
                      <w:vertAlign w:val="baseline"/>
                      <w:lang w:val="en-US" w:eastAsia="zh-CN"/>
                    </w:rPr>
                  </w:pPr>
                  <w:r>
                    <w:rPr>
                      <w:rFonts w:hint="eastAsia"/>
                      <w:color w:val="auto"/>
                      <w:sz w:val="18"/>
                      <w:szCs w:val="18"/>
                      <w:vertAlign w:val="baseline"/>
                      <w:lang w:val="en-US" w:eastAsia="zh-CN"/>
                    </w:rPr>
                    <w:t>0.5</w:t>
                  </w:r>
                </w:p>
              </w:tc>
              <w:tc>
                <w:tcPr>
                  <w:tcW w:w="699" w:type="pct"/>
                  <w:noWrap w:val="0"/>
                  <w:vAlign w:val="center"/>
                </w:tcPr>
                <w:p w14:paraId="5B9078E1">
                  <w:pPr>
                    <w:jc w:val="center"/>
                    <w:rPr>
                      <w:rFonts w:hint="eastAsia"/>
                      <w:color w:val="auto"/>
                      <w:sz w:val="18"/>
                      <w:szCs w:val="18"/>
                      <w:vertAlign w:val="baseline"/>
                      <w:lang w:val="en-US" w:eastAsia="zh-CN"/>
                    </w:rPr>
                  </w:pPr>
                  <w:r>
                    <w:rPr>
                      <w:rFonts w:hint="eastAsia"/>
                      <w:color w:val="auto"/>
                      <w:sz w:val="18"/>
                      <w:szCs w:val="18"/>
                      <w:vertAlign w:val="baseline"/>
                      <w:lang w:val="en-US" w:eastAsia="zh-CN"/>
                    </w:rPr>
                    <w:t>外购</w:t>
                  </w:r>
                </w:p>
              </w:tc>
            </w:tr>
            <w:tr w14:paraId="12FE9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9" w:type="pct"/>
                  <w:noWrap w:val="0"/>
                  <w:vAlign w:val="center"/>
                </w:tcPr>
                <w:p w14:paraId="52D3CACF">
                  <w:pPr>
                    <w:jc w:val="center"/>
                    <w:rPr>
                      <w:rFonts w:hint="default"/>
                      <w:color w:val="auto"/>
                      <w:sz w:val="18"/>
                      <w:szCs w:val="18"/>
                      <w:vertAlign w:val="baseline"/>
                      <w:lang w:val="en-US" w:eastAsia="zh-CN"/>
                    </w:rPr>
                  </w:pPr>
                  <w:r>
                    <w:rPr>
                      <w:rFonts w:hint="eastAsia"/>
                      <w:color w:val="auto"/>
                      <w:sz w:val="18"/>
                      <w:szCs w:val="18"/>
                      <w:vertAlign w:val="baseline"/>
                      <w:lang w:val="en-US" w:eastAsia="zh-CN"/>
                    </w:rPr>
                    <w:t>3</w:t>
                  </w:r>
                </w:p>
              </w:tc>
              <w:tc>
                <w:tcPr>
                  <w:tcW w:w="847" w:type="pct"/>
                  <w:noWrap w:val="0"/>
                  <w:vAlign w:val="center"/>
                </w:tcPr>
                <w:p w14:paraId="290E9753">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后桥</w:t>
                  </w:r>
                </w:p>
              </w:tc>
              <w:tc>
                <w:tcPr>
                  <w:tcW w:w="856" w:type="pct"/>
                  <w:noWrap w:val="0"/>
                  <w:vAlign w:val="center"/>
                </w:tcPr>
                <w:p w14:paraId="3CDC3199">
                  <w:pPr>
                    <w:jc w:val="center"/>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10</w:t>
                  </w:r>
                </w:p>
              </w:tc>
              <w:tc>
                <w:tcPr>
                  <w:tcW w:w="756" w:type="pct"/>
                  <w:noWrap w:val="0"/>
                  <w:vAlign w:val="center"/>
                </w:tcPr>
                <w:p w14:paraId="793BA7CE">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万根</w:t>
                  </w:r>
                  <w:r>
                    <w:rPr>
                      <w:rFonts w:hint="default" w:ascii="Times New Roman" w:hAnsi="Times New Roman" w:eastAsia="宋体" w:cs="Times New Roman"/>
                      <w:color w:val="auto"/>
                      <w:sz w:val="18"/>
                      <w:szCs w:val="18"/>
                      <w:vertAlign w:val="baseline"/>
                      <w:lang w:val="en-US" w:eastAsia="zh-CN"/>
                    </w:rPr>
                    <w:t>/a</w:t>
                  </w:r>
                </w:p>
              </w:tc>
              <w:tc>
                <w:tcPr>
                  <w:tcW w:w="748" w:type="pct"/>
                  <w:noWrap w:val="0"/>
                  <w:vAlign w:val="center"/>
                </w:tcPr>
                <w:p w14:paraId="7F6EC4C4">
                  <w:pPr>
                    <w:jc w:val="center"/>
                    <w:rPr>
                      <w:rFonts w:hint="default"/>
                      <w:color w:val="auto"/>
                      <w:sz w:val="18"/>
                      <w:szCs w:val="18"/>
                      <w:vertAlign w:val="baseline"/>
                      <w:lang w:val="en-US" w:eastAsia="zh-CN"/>
                    </w:rPr>
                  </w:pPr>
                  <w:r>
                    <w:rPr>
                      <w:rFonts w:hint="eastAsia"/>
                      <w:color w:val="auto"/>
                      <w:sz w:val="18"/>
                      <w:szCs w:val="18"/>
                      <w:vertAlign w:val="baseline"/>
                      <w:lang w:val="en-US" w:eastAsia="zh-CN"/>
                    </w:rPr>
                    <w:t>/</w:t>
                  </w:r>
                </w:p>
              </w:tc>
              <w:tc>
                <w:tcPr>
                  <w:tcW w:w="721" w:type="pct"/>
                  <w:noWrap w:val="0"/>
                  <w:vAlign w:val="center"/>
                </w:tcPr>
                <w:p w14:paraId="43BD52AC">
                  <w:pPr>
                    <w:jc w:val="center"/>
                    <w:rPr>
                      <w:rFonts w:hint="default"/>
                      <w:color w:val="auto"/>
                      <w:sz w:val="18"/>
                      <w:szCs w:val="18"/>
                      <w:vertAlign w:val="baseline"/>
                      <w:lang w:val="en-US" w:eastAsia="zh-CN"/>
                    </w:rPr>
                  </w:pPr>
                  <w:r>
                    <w:rPr>
                      <w:rFonts w:hint="eastAsia"/>
                      <w:color w:val="auto"/>
                      <w:sz w:val="18"/>
                      <w:szCs w:val="18"/>
                      <w:vertAlign w:val="baseline"/>
                      <w:lang w:val="en-US" w:eastAsia="zh-CN"/>
                    </w:rPr>
                    <w:t>0.5</w:t>
                  </w:r>
                </w:p>
              </w:tc>
              <w:tc>
                <w:tcPr>
                  <w:tcW w:w="699" w:type="pct"/>
                  <w:noWrap w:val="0"/>
                  <w:vAlign w:val="center"/>
                </w:tcPr>
                <w:p w14:paraId="0CE62067">
                  <w:pPr>
                    <w:jc w:val="center"/>
                    <w:rPr>
                      <w:rFonts w:hint="eastAsia"/>
                      <w:color w:val="auto"/>
                      <w:sz w:val="18"/>
                      <w:szCs w:val="18"/>
                      <w:vertAlign w:val="baseline"/>
                      <w:lang w:val="en-US" w:eastAsia="zh-CN"/>
                    </w:rPr>
                  </w:pPr>
                  <w:r>
                    <w:rPr>
                      <w:rFonts w:hint="eastAsia"/>
                      <w:color w:val="auto"/>
                      <w:sz w:val="18"/>
                      <w:szCs w:val="18"/>
                      <w:vertAlign w:val="baseline"/>
                      <w:lang w:val="en-US" w:eastAsia="zh-CN"/>
                    </w:rPr>
                    <w:t>外购</w:t>
                  </w:r>
                </w:p>
              </w:tc>
            </w:tr>
            <w:tr w14:paraId="4AB1C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9" w:type="pct"/>
                  <w:noWrap w:val="0"/>
                  <w:vAlign w:val="center"/>
                </w:tcPr>
                <w:p w14:paraId="5890A426">
                  <w:pPr>
                    <w:jc w:val="center"/>
                    <w:rPr>
                      <w:rFonts w:hint="default"/>
                      <w:color w:val="auto"/>
                      <w:sz w:val="18"/>
                      <w:szCs w:val="18"/>
                      <w:vertAlign w:val="baseline"/>
                      <w:lang w:val="en-US" w:eastAsia="zh-CN"/>
                    </w:rPr>
                  </w:pPr>
                  <w:r>
                    <w:rPr>
                      <w:rFonts w:hint="eastAsia"/>
                      <w:color w:val="auto"/>
                      <w:sz w:val="18"/>
                      <w:szCs w:val="18"/>
                      <w:vertAlign w:val="baseline"/>
                      <w:lang w:val="en-US" w:eastAsia="zh-CN"/>
                    </w:rPr>
                    <w:t>4</w:t>
                  </w:r>
                </w:p>
              </w:tc>
              <w:tc>
                <w:tcPr>
                  <w:tcW w:w="847" w:type="pct"/>
                  <w:noWrap w:val="0"/>
                  <w:vAlign w:val="center"/>
                </w:tcPr>
                <w:p w14:paraId="1A6A0B8F">
                  <w:pPr>
                    <w:jc w:val="center"/>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前叉</w:t>
                  </w:r>
                </w:p>
              </w:tc>
              <w:tc>
                <w:tcPr>
                  <w:tcW w:w="856" w:type="pct"/>
                  <w:noWrap w:val="0"/>
                  <w:vAlign w:val="center"/>
                </w:tcPr>
                <w:p w14:paraId="7E83C5D2">
                  <w:pPr>
                    <w:jc w:val="center"/>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10</w:t>
                  </w:r>
                </w:p>
              </w:tc>
              <w:tc>
                <w:tcPr>
                  <w:tcW w:w="756" w:type="pct"/>
                  <w:noWrap w:val="0"/>
                  <w:vAlign w:val="center"/>
                </w:tcPr>
                <w:p w14:paraId="1CD848C6">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万付</w:t>
                  </w:r>
                  <w:r>
                    <w:rPr>
                      <w:rFonts w:hint="default" w:ascii="Times New Roman" w:hAnsi="Times New Roman" w:eastAsia="宋体" w:cs="Times New Roman"/>
                      <w:color w:val="auto"/>
                      <w:sz w:val="18"/>
                      <w:szCs w:val="18"/>
                      <w:vertAlign w:val="baseline"/>
                      <w:lang w:val="en-US" w:eastAsia="zh-CN"/>
                    </w:rPr>
                    <w:t>/a</w:t>
                  </w:r>
                </w:p>
              </w:tc>
              <w:tc>
                <w:tcPr>
                  <w:tcW w:w="748" w:type="pct"/>
                  <w:noWrap w:val="0"/>
                  <w:vAlign w:val="center"/>
                </w:tcPr>
                <w:p w14:paraId="43D872F6">
                  <w:pPr>
                    <w:jc w:val="center"/>
                    <w:rPr>
                      <w:rFonts w:hint="default"/>
                      <w:color w:val="auto"/>
                      <w:sz w:val="18"/>
                      <w:szCs w:val="18"/>
                      <w:vertAlign w:val="baseline"/>
                      <w:lang w:val="en-US" w:eastAsia="zh-CN"/>
                    </w:rPr>
                  </w:pPr>
                  <w:r>
                    <w:rPr>
                      <w:rFonts w:hint="eastAsia"/>
                      <w:color w:val="auto"/>
                      <w:sz w:val="18"/>
                      <w:szCs w:val="18"/>
                      <w:vertAlign w:val="baseline"/>
                      <w:lang w:val="en-US" w:eastAsia="zh-CN"/>
                    </w:rPr>
                    <w:t>/</w:t>
                  </w:r>
                </w:p>
              </w:tc>
              <w:tc>
                <w:tcPr>
                  <w:tcW w:w="721" w:type="pct"/>
                  <w:noWrap w:val="0"/>
                  <w:vAlign w:val="center"/>
                </w:tcPr>
                <w:p w14:paraId="76EE69F5">
                  <w:pPr>
                    <w:jc w:val="center"/>
                    <w:rPr>
                      <w:rFonts w:hint="default"/>
                      <w:color w:val="auto"/>
                      <w:sz w:val="18"/>
                      <w:szCs w:val="18"/>
                      <w:vertAlign w:val="baseline"/>
                      <w:lang w:val="en-US" w:eastAsia="zh-CN"/>
                    </w:rPr>
                  </w:pPr>
                  <w:r>
                    <w:rPr>
                      <w:rFonts w:hint="eastAsia"/>
                      <w:color w:val="auto"/>
                      <w:sz w:val="18"/>
                      <w:szCs w:val="18"/>
                      <w:vertAlign w:val="baseline"/>
                      <w:lang w:val="en-US" w:eastAsia="zh-CN"/>
                    </w:rPr>
                    <w:t>0.5</w:t>
                  </w:r>
                </w:p>
              </w:tc>
              <w:tc>
                <w:tcPr>
                  <w:tcW w:w="699" w:type="pct"/>
                  <w:noWrap w:val="0"/>
                  <w:vAlign w:val="center"/>
                </w:tcPr>
                <w:p w14:paraId="1B506F7E">
                  <w:pPr>
                    <w:jc w:val="center"/>
                    <w:rPr>
                      <w:rFonts w:hint="eastAsia"/>
                      <w:color w:val="auto"/>
                      <w:sz w:val="18"/>
                      <w:szCs w:val="18"/>
                      <w:vertAlign w:val="baseline"/>
                      <w:lang w:val="en-US" w:eastAsia="zh-CN"/>
                    </w:rPr>
                  </w:pPr>
                  <w:r>
                    <w:rPr>
                      <w:rFonts w:hint="eastAsia"/>
                      <w:color w:val="auto"/>
                      <w:sz w:val="18"/>
                      <w:szCs w:val="18"/>
                      <w:vertAlign w:val="baseline"/>
                      <w:lang w:val="en-US" w:eastAsia="zh-CN"/>
                    </w:rPr>
                    <w:t>外购</w:t>
                  </w:r>
                </w:p>
              </w:tc>
            </w:tr>
            <w:tr w14:paraId="7DA97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9" w:type="pct"/>
                  <w:noWrap w:val="0"/>
                  <w:vAlign w:val="center"/>
                </w:tcPr>
                <w:p w14:paraId="3DDD9264">
                  <w:pPr>
                    <w:jc w:val="center"/>
                    <w:rPr>
                      <w:rFonts w:hint="default"/>
                      <w:color w:val="auto"/>
                      <w:sz w:val="18"/>
                      <w:szCs w:val="18"/>
                      <w:vertAlign w:val="baseline"/>
                      <w:lang w:val="en-US" w:eastAsia="zh-CN"/>
                    </w:rPr>
                  </w:pPr>
                  <w:r>
                    <w:rPr>
                      <w:rFonts w:hint="eastAsia"/>
                      <w:color w:val="auto"/>
                      <w:sz w:val="18"/>
                      <w:szCs w:val="18"/>
                      <w:vertAlign w:val="baseline"/>
                      <w:lang w:val="en-US" w:eastAsia="zh-CN"/>
                    </w:rPr>
                    <w:t>5</w:t>
                  </w:r>
                </w:p>
              </w:tc>
              <w:tc>
                <w:tcPr>
                  <w:tcW w:w="847" w:type="pct"/>
                  <w:noWrap w:val="0"/>
                  <w:vAlign w:val="center"/>
                </w:tcPr>
                <w:p w14:paraId="60D136C7">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轮胎</w:t>
                  </w:r>
                </w:p>
              </w:tc>
              <w:tc>
                <w:tcPr>
                  <w:tcW w:w="856" w:type="pct"/>
                  <w:noWrap w:val="0"/>
                  <w:vAlign w:val="center"/>
                </w:tcPr>
                <w:p w14:paraId="2E485A6D">
                  <w:pPr>
                    <w:jc w:val="center"/>
                    <w:rPr>
                      <w:rFonts w:hint="eastAsia"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10</w:t>
                  </w:r>
                </w:p>
              </w:tc>
              <w:tc>
                <w:tcPr>
                  <w:tcW w:w="756" w:type="pct"/>
                  <w:noWrap w:val="0"/>
                  <w:vAlign w:val="center"/>
                </w:tcPr>
                <w:p w14:paraId="5D1E6E05">
                  <w:pPr>
                    <w:jc w:val="center"/>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万个</w:t>
                  </w:r>
                  <w:r>
                    <w:rPr>
                      <w:rFonts w:hint="default" w:ascii="Times New Roman" w:hAnsi="Times New Roman" w:eastAsia="宋体" w:cs="Times New Roman"/>
                      <w:color w:val="auto"/>
                      <w:sz w:val="18"/>
                      <w:szCs w:val="18"/>
                      <w:vertAlign w:val="baseline"/>
                      <w:lang w:val="en-US" w:eastAsia="zh-CN"/>
                    </w:rPr>
                    <w:t>/a</w:t>
                  </w:r>
                </w:p>
              </w:tc>
              <w:tc>
                <w:tcPr>
                  <w:tcW w:w="748" w:type="pct"/>
                  <w:noWrap w:val="0"/>
                  <w:vAlign w:val="center"/>
                </w:tcPr>
                <w:p w14:paraId="3F04DCB0">
                  <w:pPr>
                    <w:jc w:val="center"/>
                    <w:rPr>
                      <w:rFonts w:hint="eastAsia"/>
                      <w:color w:val="auto"/>
                      <w:sz w:val="18"/>
                      <w:szCs w:val="18"/>
                      <w:vertAlign w:val="baseline"/>
                      <w:lang w:val="en-US" w:eastAsia="zh-CN"/>
                    </w:rPr>
                  </w:pPr>
                  <w:r>
                    <w:rPr>
                      <w:rFonts w:hint="eastAsia"/>
                      <w:color w:val="auto"/>
                      <w:sz w:val="18"/>
                      <w:szCs w:val="18"/>
                      <w:vertAlign w:val="baseline"/>
                      <w:lang w:val="en-US" w:eastAsia="zh-CN"/>
                    </w:rPr>
                    <w:t>/</w:t>
                  </w:r>
                </w:p>
              </w:tc>
              <w:tc>
                <w:tcPr>
                  <w:tcW w:w="721" w:type="pct"/>
                  <w:noWrap w:val="0"/>
                  <w:vAlign w:val="center"/>
                </w:tcPr>
                <w:p w14:paraId="26FA6D62">
                  <w:pPr>
                    <w:jc w:val="center"/>
                    <w:rPr>
                      <w:rFonts w:hint="default"/>
                      <w:color w:val="auto"/>
                      <w:sz w:val="18"/>
                      <w:szCs w:val="18"/>
                      <w:vertAlign w:val="baseline"/>
                      <w:lang w:val="en-US" w:eastAsia="zh-CN"/>
                    </w:rPr>
                  </w:pPr>
                  <w:r>
                    <w:rPr>
                      <w:rFonts w:hint="eastAsia"/>
                      <w:color w:val="auto"/>
                      <w:sz w:val="18"/>
                      <w:szCs w:val="18"/>
                      <w:vertAlign w:val="baseline"/>
                      <w:lang w:val="en-US" w:eastAsia="zh-CN"/>
                    </w:rPr>
                    <w:t>1</w:t>
                  </w:r>
                </w:p>
              </w:tc>
              <w:tc>
                <w:tcPr>
                  <w:tcW w:w="699" w:type="pct"/>
                  <w:noWrap w:val="0"/>
                  <w:vAlign w:val="center"/>
                </w:tcPr>
                <w:p w14:paraId="2E46A4A1">
                  <w:pPr>
                    <w:jc w:val="center"/>
                    <w:rPr>
                      <w:rFonts w:hint="eastAsia"/>
                      <w:color w:val="auto"/>
                      <w:sz w:val="18"/>
                      <w:szCs w:val="18"/>
                      <w:vertAlign w:val="baseline"/>
                      <w:lang w:val="en-US" w:eastAsia="zh-CN"/>
                    </w:rPr>
                  </w:pPr>
                  <w:r>
                    <w:rPr>
                      <w:rFonts w:hint="eastAsia"/>
                      <w:color w:val="auto"/>
                      <w:sz w:val="18"/>
                      <w:szCs w:val="18"/>
                      <w:vertAlign w:val="baseline"/>
                      <w:lang w:val="en-US" w:eastAsia="zh-CN"/>
                    </w:rPr>
                    <w:t>外购</w:t>
                  </w:r>
                </w:p>
              </w:tc>
            </w:tr>
            <w:tr w14:paraId="201E0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9" w:type="pct"/>
                  <w:noWrap w:val="0"/>
                  <w:vAlign w:val="center"/>
                </w:tcPr>
                <w:p w14:paraId="37043EC8">
                  <w:pPr>
                    <w:jc w:val="center"/>
                    <w:rPr>
                      <w:rFonts w:hint="default"/>
                      <w:color w:val="auto"/>
                      <w:sz w:val="18"/>
                      <w:szCs w:val="18"/>
                      <w:vertAlign w:val="baseline"/>
                      <w:lang w:val="en-US" w:eastAsia="zh-CN"/>
                    </w:rPr>
                  </w:pPr>
                  <w:r>
                    <w:rPr>
                      <w:rFonts w:hint="eastAsia"/>
                      <w:color w:val="auto"/>
                      <w:sz w:val="18"/>
                      <w:szCs w:val="18"/>
                      <w:vertAlign w:val="baseline"/>
                      <w:lang w:val="en-US" w:eastAsia="zh-CN"/>
                    </w:rPr>
                    <w:t>6</w:t>
                  </w:r>
                </w:p>
              </w:tc>
              <w:tc>
                <w:tcPr>
                  <w:tcW w:w="847" w:type="pct"/>
                  <w:noWrap w:val="0"/>
                  <w:vAlign w:val="center"/>
                </w:tcPr>
                <w:p w14:paraId="13009CBF">
                  <w:pPr>
                    <w:jc w:val="center"/>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车架车厢</w:t>
                  </w:r>
                </w:p>
              </w:tc>
              <w:tc>
                <w:tcPr>
                  <w:tcW w:w="856" w:type="pct"/>
                  <w:noWrap w:val="0"/>
                  <w:vAlign w:val="center"/>
                </w:tcPr>
                <w:p w14:paraId="0DC6598B">
                  <w:pPr>
                    <w:jc w:val="center"/>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10</w:t>
                  </w:r>
                </w:p>
              </w:tc>
              <w:tc>
                <w:tcPr>
                  <w:tcW w:w="756" w:type="pct"/>
                  <w:noWrap w:val="0"/>
                  <w:vAlign w:val="center"/>
                </w:tcPr>
                <w:p w14:paraId="33823177">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万套</w:t>
                  </w:r>
                  <w:r>
                    <w:rPr>
                      <w:rFonts w:hint="default" w:ascii="Times New Roman" w:hAnsi="Times New Roman" w:eastAsia="宋体" w:cs="Times New Roman"/>
                      <w:color w:val="auto"/>
                      <w:sz w:val="18"/>
                      <w:szCs w:val="18"/>
                      <w:vertAlign w:val="baseline"/>
                      <w:lang w:val="en-US" w:eastAsia="zh-CN"/>
                    </w:rPr>
                    <w:t>/a</w:t>
                  </w:r>
                </w:p>
              </w:tc>
              <w:tc>
                <w:tcPr>
                  <w:tcW w:w="748" w:type="pct"/>
                  <w:noWrap w:val="0"/>
                  <w:vAlign w:val="center"/>
                </w:tcPr>
                <w:p w14:paraId="03960259">
                  <w:pPr>
                    <w:jc w:val="center"/>
                    <w:rPr>
                      <w:rFonts w:hint="default"/>
                      <w:color w:val="auto"/>
                      <w:sz w:val="18"/>
                      <w:szCs w:val="18"/>
                      <w:vertAlign w:val="baseline"/>
                      <w:lang w:val="en-US" w:eastAsia="zh-CN"/>
                    </w:rPr>
                  </w:pPr>
                  <w:r>
                    <w:rPr>
                      <w:rFonts w:hint="eastAsia"/>
                      <w:color w:val="auto"/>
                      <w:sz w:val="18"/>
                      <w:szCs w:val="18"/>
                      <w:vertAlign w:val="baseline"/>
                      <w:lang w:val="en-US" w:eastAsia="zh-CN"/>
                    </w:rPr>
                    <w:t>/</w:t>
                  </w:r>
                </w:p>
              </w:tc>
              <w:tc>
                <w:tcPr>
                  <w:tcW w:w="721" w:type="pct"/>
                  <w:noWrap w:val="0"/>
                  <w:vAlign w:val="center"/>
                </w:tcPr>
                <w:p w14:paraId="352F7ED7">
                  <w:pPr>
                    <w:jc w:val="center"/>
                    <w:rPr>
                      <w:rFonts w:hint="default"/>
                      <w:color w:val="auto"/>
                      <w:sz w:val="18"/>
                      <w:szCs w:val="18"/>
                      <w:vertAlign w:val="baseline"/>
                      <w:lang w:val="en-US" w:eastAsia="zh-CN"/>
                    </w:rPr>
                  </w:pPr>
                  <w:r>
                    <w:rPr>
                      <w:rFonts w:hint="eastAsia"/>
                      <w:color w:val="auto"/>
                      <w:sz w:val="18"/>
                      <w:szCs w:val="18"/>
                      <w:vertAlign w:val="baseline"/>
                      <w:lang w:val="en-US" w:eastAsia="zh-CN"/>
                    </w:rPr>
                    <w:t>0.5</w:t>
                  </w:r>
                </w:p>
              </w:tc>
              <w:tc>
                <w:tcPr>
                  <w:tcW w:w="699" w:type="pct"/>
                  <w:noWrap w:val="0"/>
                  <w:vAlign w:val="center"/>
                </w:tcPr>
                <w:p w14:paraId="12860EC9">
                  <w:pPr>
                    <w:jc w:val="center"/>
                    <w:rPr>
                      <w:rFonts w:hint="eastAsia"/>
                      <w:color w:val="auto"/>
                      <w:sz w:val="18"/>
                      <w:szCs w:val="18"/>
                      <w:vertAlign w:val="baseline"/>
                      <w:lang w:val="en-US" w:eastAsia="zh-CN"/>
                    </w:rPr>
                  </w:pPr>
                  <w:r>
                    <w:rPr>
                      <w:rFonts w:hint="eastAsia"/>
                      <w:color w:val="auto"/>
                      <w:sz w:val="18"/>
                      <w:szCs w:val="18"/>
                      <w:vertAlign w:val="baseline"/>
                      <w:lang w:val="en-US" w:eastAsia="zh-CN"/>
                    </w:rPr>
                    <w:t>外购</w:t>
                  </w:r>
                </w:p>
              </w:tc>
            </w:tr>
            <w:tr w14:paraId="402A6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9" w:type="pct"/>
                  <w:noWrap w:val="0"/>
                  <w:vAlign w:val="center"/>
                </w:tcPr>
                <w:p w14:paraId="613C5D55">
                  <w:pPr>
                    <w:jc w:val="center"/>
                    <w:rPr>
                      <w:rFonts w:hint="default"/>
                      <w:color w:val="auto"/>
                      <w:sz w:val="18"/>
                      <w:szCs w:val="18"/>
                      <w:vertAlign w:val="baseline"/>
                      <w:lang w:val="en-US" w:eastAsia="zh-CN"/>
                    </w:rPr>
                  </w:pPr>
                  <w:r>
                    <w:rPr>
                      <w:rFonts w:hint="eastAsia"/>
                      <w:color w:val="auto"/>
                      <w:sz w:val="18"/>
                      <w:szCs w:val="18"/>
                      <w:vertAlign w:val="baseline"/>
                      <w:lang w:val="en-US" w:eastAsia="zh-CN"/>
                    </w:rPr>
                    <w:t>7</w:t>
                  </w:r>
                </w:p>
              </w:tc>
              <w:tc>
                <w:tcPr>
                  <w:tcW w:w="847" w:type="pct"/>
                  <w:noWrap w:val="0"/>
                  <w:vAlign w:val="center"/>
                </w:tcPr>
                <w:p w14:paraId="486B0688">
                  <w:pPr>
                    <w:jc w:val="center"/>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连板</w:t>
                  </w:r>
                </w:p>
              </w:tc>
              <w:tc>
                <w:tcPr>
                  <w:tcW w:w="856" w:type="pct"/>
                  <w:noWrap w:val="0"/>
                  <w:vAlign w:val="center"/>
                </w:tcPr>
                <w:p w14:paraId="7309C6E4">
                  <w:pPr>
                    <w:jc w:val="center"/>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10</w:t>
                  </w:r>
                </w:p>
              </w:tc>
              <w:tc>
                <w:tcPr>
                  <w:tcW w:w="756" w:type="pct"/>
                  <w:noWrap w:val="0"/>
                  <w:vAlign w:val="center"/>
                </w:tcPr>
                <w:p w14:paraId="4B4A254F">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万付</w:t>
                  </w:r>
                  <w:r>
                    <w:rPr>
                      <w:rFonts w:hint="default" w:ascii="Times New Roman" w:hAnsi="Times New Roman" w:eastAsia="宋体" w:cs="Times New Roman"/>
                      <w:color w:val="auto"/>
                      <w:sz w:val="18"/>
                      <w:szCs w:val="18"/>
                      <w:vertAlign w:val="baseline"/>
                      <w:lang w:val="en-US" w:eastAsia="zh-CN"/>
                    </w:rPr>
                    <w:t>/a</w:t>
                  </w:r>
                </w:p>
              </w:tc>
              <w:tc>
                <w:tcPr>
                  <w:tcW w:w="748" w:type="pct"/>
                  <w:noWrap w:val="0"/>
                  <w:vAlign w:val="center"/>
                </w:tcPr>
                <w:p w14:paraId="4CD4F0B8">
                  <w:pPr>
                    <w:jc w:val="center"/>
                    <w:rPr>
                      <w:rFonts w:hint="default"/>
                      <w:color w:val="auto"/>
                      <w:sz w:val="18"/>
                      <w:szCs w:val="18"/>
                      <w:vertAlign w:val="baseline"/>
                      <w:lang w:val="en-US" w:eastAsia="zh-CN"/>
                    </w:rPr>
                  </w:pPr>
                  <w:r>
                    <w:rPr>
                      <w:rFonts w:hint="eastAsia"/>
                      <w:color w:val="auto"/>
                      <w:sz w:val="18"/>
                      <w:szCs w:val="18"/>
                      <w:vertAlign w:val="baseline"/>
                      <w:lang w:val="en-US" w:eastAsia="zh-CN"/>
                    </w:rPr>
                    <w:t>/</w:t>
                  </w:r>
                </w:p>
              </w:tc>
              <w:tc>
                <w:tcPr>
                  <w:tcW w:w="721" w:type="pct"/>
                  <w:noWrap w:val="0"/>
                  <w:vAlign w:val="center"/>
                </w:tcPr>
                <w:p w14:paraId="26AC8A75">
                  <w:pPr>
                    <w:jc w:val="center"/>
                    <w:rPr>
                      <w:rFonts w:hint="default"/>
                      <w:color w:val="auto"/>
                      <w:sz w:val="18"/>
                      <w:szCs w:val="18"/>
                      <w:vertAlign w:val="baseline"/>
                      <w:lang w:val="en-US" w:eastAsia="zh-CN"/>
                    </w:rPr>
                  </w:pPr>
                  <w:r>
                    <w:rPr>
                      <w:rFonts w:hint="eastAsia"/>
                      <w:color w:val="auto"/>
                      <w:sz w:val="18"/>
                      <w:szCs w:val="18"/>
                      <w:vertAlign w:val="baseline"/>
                      <w:lang w:val="en-US" w:eastAsia="zh-CN"/>
                    </w:rPr>
                    <w:t>0.5</w:t>
                  </w:r>
                </w:p>
              </w:tc>
              <w:tc>
                <w:tcPr>
                  <w:tcW w:w="699" w:type="pct"/>
                  <w:noWrap w:val="0"/>
                  <w:vAlign w:val="center"/>
                </w:tcPr>
                <w:p w14:paraId="2B7A69E1">
                  <w:pPr>
                    <w:jc w:val="center"/>
                    <w:rPr>
                      <w:rFonts w:hint="eastAsia"/>
                      <w:color w:val="auto"/>
                      <w:sz w:val="18"/>
                      <w:szCs w:val="18"/>
                      <w:vertAlign w:val="baseline"/>
                      <w:lang w:val="en-US" w:eastAsia="zh-CN"/>
                    </w:rPr>
                  </w:pPr>
                  <w:r>
                    <w:rPr>
                      <w:rFonts w:hint="eastAsia"/>
                      <w:color w:val="auto"/>
                      <w:sz w:val="18"/>
                      <w:szCs w:val="18"/>
                      <w:vertAlign w:val="baseline"/>
                      <w:lang w:val="en-US" w:eastAsia="zh-CN"/>
                    </w:rPr>
                    <w:t>外购</w:t>
                  </w:r>
                </w:p>
              </w:tc>
            </w:tr>
            <w:tr w14:paraId="3D9D9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9" w:type="pct"/>
                  <w:noWrap w:val="0"/>
                  <w:vAlign w:val="center"/>
                </w:tcPr>
                <w:p w14:paraId="69B04A81">
                  <w:pPr>
                    <w:jc w:val="center"/>
                    <w:rPr>
                      <w:rFonts w:hint="default"/>
                      <w:color w:val="auto"/>
                      <w:sz w:val="18"/>
                      <w:szCs w:val="18"/>
                      <w:vertAlign w:val="baseline"/>
                      <w:lang w:val="en-US" w:eastAsia="zh-CN"/>
                    </w:rPr>
                  </w:pPr>
                  <w:r>
                    <w:rPr>
                      <w:rFonts w:hint="eastAsia"/>
                      <w:color w:val="auto"/>
                      <w:sz w:val="18"/>
                      <w:szCs w:val="18"/>
                      <w:vertAlign w:val="baseline"/>
                      <w:lang w:val="en-US" w:eastAsia="zh-CN"/>
                    </w:rPr>
                    <w:t>8</w:t>
                  </w:r>
                </w:p>
              </w:tc>
              <w:tc>
                <w:tcPr>
                  <w:tcW w:w="847" w:type="pct"/>
                  <w:noWrap w:val="0"/>
                  <w:vAlign w:val="center"/>
                </w:tcPr>
                <w:p w14:paraId="15477D09">
                  <w:pPr>
                    <w:jc w:val="center"/>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大灯</w:t>
                  </w:r>
                </w:p>
              </w:tc>
              <w:tc>
                <w:tcPr>
                  <w:tcW w:w="856" w:type="pct"/>
                  <w:noWrap w:val="0"/>
                  <w:vAlign w:val="center"/>
                </w:tcPr>
                <w:p w14:paraId="48BBB2B1">
                  <w:pPr>
                    <w:jc w:val="center"/>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10</w:t>
                  </w:r>
                </w:p>
              </w:tc>
              <w:tc>
                <w:tcPr>
                  <w:tcW w:w="756" w:type="pct"/>
                  <w:noWrap w:val="0"/>
                  <w:vAlign w:val="center"/>
                </w:tcPr>
                <w:p w14:paraId="6C96BE47">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万个</w:t>
                  </w:r>
                  <w:r>
                    <w:rPr>
                      <w:rFonts w:hint="default" w:ascii="Times New Roman" w:hAnsi="Times New Roman" w:eastAsia="宋体" w:cs="Times New Roman"/>
                      <w:color w:val="auto"/>
                      <w:sz w:val="18"/>
                      <w:szCs w:val="18"/>
                      <w:vertAlign w:val="baseline"/>
                      <w:lang w:val="en-US" w:eastAsia="zh-CN"/>
                    </w:rPr>
                    <w:t>/a</w:t>
                  </w:r>
                </w:p>
              </w:tc>
              <w:tc>
                <w:tcPr>
                  <w:tcW w:w="748" w:type="pct"/>
                  <w:noWrap w:val="0"/>
                  <w:vAlign w:val="center"/>
                </w:tcPr>
                <w:p w14:paraId="5BEE0C24">
                  <w:pPr>
                    <w:jc w:val="center"/>
                    <w:rPr>
                      <w:rFonts w:hint="default"/>
                      <w:color w:val="auto"/>
                      <w:sz w:val="18"/>
                      <w:szCs w:val="18"/>
                      <w:vertAlign w:val="baseline"/>
                      <w:lang w:val="en-US" w:eastAsia="zh-CN"/>
                    </w:rPr>
                  </w:pPr>
                  <w:r>
                    <w:rPr>
                      <w:rFonts w:hint="eastAsia"/>
                      <w:color w:val="auto"/>
                      <w:sz w:val="18"/>
                      <w:szCs w:val="18"/>
                      <w:vertAlign w:val="baseline"/>
                      <w:lang w:val="en-US" w:eastAsia="zh-CN"/>
                    </w:rPr>
                    <w:t>/</w:t>
                  </w:r>
                </w:p>
              </w:tc>
              <w:tc>
                <w:tcPr>
                  <w:tcW w:w="721" w:type="pct"/>
                  <w:noWrap w:val="0"/>
                  <w:vAlign w:val="center"/>
                </w:tcPr>
                <w:p w14:paraId="2A193BC3">
                  <w:pPr>
                    <w:jc w:val="center"/>
                    <w:rPr>
                      <w:rFonts w:hint="default"/>
                      <w:color w:val="auto"/>
                      <w:sz w:val="18"/>
                      <w:szCs w:val="18"/>
                      <w:vertAlign w:val="baseline"/>
                      <w:lang w:val="en-US" w:eastAsia="zh-CN"/>
                    </w:rPr>
                  </w:pPr>
                  <w:r>
                    <w:rPr>
                      <w:rFonts w:hint="eastAsia"/>
                      <w:color w:val="auto"/>
                      <w:sz w:val="18"/>
                      <w:szCs w:val="18"/>
                      <w:vertAlign w:val="baseline"/>
                      <w:lang w:val="en-US" w:eastAsia="zh-CN"/>
                    </w:rPr>
                    <w:t>0.5</w:t>
                  </w:r>
                </w:p>
              </w:tc>
              <w:tc>
                <w:tcPr>
                  <w:tcW w:w="699" w:type="pct"/>
                  <w:noWrap w:val="0"/>
                  <w:vAlign w:val="center"/>
                </w:tcPr>
                <w:p w14:paraId="124AC240">
                  <w:pPr>
                    <w:jc w:val="center"/>
                    <w:rPr>
                      <w:rFonts w:hint="eastAsia"/>
                      <w:color w:val="auto"/>
                      <w:sz w:val="18"/>
                      <w:szCs w:val="18"/>
                      <w:vertAlign w:val="baseline"/>
                      <w:lang w:val="en-US" w:eastAsia="zh-CN"/>
                    </w:rPr>
                  </w:pPr>
                  <w:r>
                    <w:rPr>
                      <w:rFonts w:hint="eastAsia"/>
                      <w:color w:val="auto"/>
                      <w:sz w:val="18"/>
                      <w:szCs w:val="18"/>
                      <w:vertAlign w:val="baseline"/>
                      <w:lang w:val="en-US" w:eastAsia="zh-CN"/>
                    </w:rPr>
                    <w:t>外购</w:t>
                  </w:r>
                </w:p>
              </w:tc>
            </w:tr>
            <w:tr w14:paraId="7C248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9" w:type="pct"/>
                  <w:noWrap w:val="0"/>
                  <w:vAlign w:val="center"/>
                </w:tcPr>
                <w:p w14:paraId="56B323C1">
                  <w:pPr>
                    <w:jc w:val="center"/>
                    <w:rPr>
                      <w:rFonts w:hint="default"/>
                      <w:color w:val="auto"/>
                      <w:sz w:val="18"/>
                      <w:szCs w:val="18"/>
                      <w:vertAlign w:val="baseline"/>
                      <w:lang w:val="en-US" w:eastAsia="zh-CN"/>
                    </w:rPr>
                  </w:pPr>
                  <w:r>
                    <w:rPr>
                      <w:rFonts w:hint="eastAsia"/>
                      <w:color w:val="auto"/>
                      <w:sz w:val="18"/>
                      <w:szCs w:val="18"/>
                      <w:vertAlign w:val="baseline"/>
                      <w:lang w:val="en-US" w:eastAsia="zh-CN"/>
                    </w:rPr>
                    <w:t>9</w:t>
                  </w:r>
                </w:p>
              </w:tc>
              <w:tc>
                <w:tcPr>
                  <w:tcW w:w="847" w:type="pct"/>
                  <w:noWrap w:val="0"/>
                  <w:vAlign w:val="center"/>
                </w:tcPr>
                <w:p w14:paraId="75E58DB1">
                  <w:pPr>
                    <w:jc w:val="center"/>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仪表</w:t>
                  </w:r>
                </w:p>
              </w:tc>
              <w:tc>
                <w:tcPr>
                  <w:tcW w:w="856" w:type="pct"/>
                  <w:noWrap w:val="0"/>
                  <w:vAlign w:val="center"/>
                </w:tcPr>
                <w:p w14:paraId="38F8ECD4">
                  <w:pPr>
                    <w:jc w:val="center"/>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10</w:t>
                  </w:r>
                </w:p>
              </w:tc>
              <w:tc>
                <w:tcPr>
                  <w:tcW w:w="756" w:type="pct"/>
                  <w:noWrap w:val="0"/>
                  <w:vAlign w:val="center"/>
                </w:tcPr>
                <w:p w14:paraId="0E2ED16E">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万个</w:t>
                  </w:r>
                  <w:r>
                    <w:rPr>
                      <w:rFonts w:hint="default" w:ascii="Times New Roman" w:hAnsi="Times New Roman" w:eastAsia="宋体" w:cs="Times New Roman"/>
                      <w:color w:val="auto"/>
                      <w:sz w:val="18"/>
                      <w:szCs w:val="18"/>
                      <w:vertAlign w:val="baseline"/>
                      <w:lang w:val="en-US" w:eastAsia="zh-CN"/>
                    </w:rPr>
                    <w:t>/a</w:t>
                  </w:r>
                </w:p>
              </w:tc>
              <w:tc>
                <w:tcPr>
                  <w:tcW w:w="748" w:type="pct"/>
                  <w:noWrap w:val="0"/>
                  <w:vAlign w:val="center"/>
                </w:tcPr>
                <w:p w14:paraId="59E28BDF">
                  <w:pPr>
                    <w:jc w:val="center"/>
                    <w:rPr>
                      <w:rFonts w:hint="default"/>
                      <w:color w:val="auto"/>
                      <w:sz w:val="18"/>
                      <w:szCs w:val="18"/>
                      <w:vertAlign w:val="baseline"/>
                      <w:lang w:val="en-US" w:eastAsia="zh-CN"/>
                    </w:rPr>
                  </w:pPr>
                  <w:r>
                    <w:rPr>
                      <w:rFonts w:hint="eastAsia"/>
                      <w:color w:val="auto"/>
                      <w:sz w:val="18"/>
                      <w:szCs w:val="18"/>
                      <w:vertAlign w:val="baseline"/>
                      <w:lang w:val="en-US" w:eastAsia="zh-CN"/>
                    </w:rPr>
                    <w:t>/</w:t>
                  </w:r>
                </w:p>
              </w:tc>
              <w:tc>
                <w:tcPr>
                  <w:tcW w:w="721" w:type="pct"/>
                  <w:noWrap w:val="0"/>
                  <w:vAlign w:val="center"/>
                </w:tcPr>
                <w:p w14:paraId="0D2E3B6F">
                  <w:pPr>
                    <w:jc w:val="center"/>
                    <w:rPr>
                      <w:rFonts w:hint="default"/>
                      <w:color w:val="auto"/>
                      <w:sz w:val="18"/>
                      <w:szCs w:val="18"/>
                      <w:vertAlign w:val="baseline"/>
                      <w:lang w:val="en-US" w:eastAsia="zh-CN"/>
                    </w:rPr>
                  </w:pPr>
                  <w:r>
                    <w:rPr>
                      <w:rFonts w:hint="eastAsia"/>
                      <w:color w:val="auto"/>
                      <w:sz w:val="18"/>
                      <w:szCs w:val="18"/>
                      <w:vertAlign w:val="baseline"/>
                      <w:lang w:val="en-US" w:eastAsia="zh-CN"/>
                    </w:rPr>
                    <w:t>0.5</w:t>
                  </w:r>
                </w:p>
              </w:tc>
              <w:tc>
                <w:tcPr>
                  <w:tcW w:w="699" w:type="pct"/>
                  <w:noWrap w:val="0"/>
                  <w:vAlign w:val="center"/>
                </w:tcPr>
                <w:p w14:paraId="5388B29A">
                  <w:pPr>
                    <w:jc w:val="center"/>
                    <w:rPr>
                      <w:rFonts w:hint="eastAsia"/>
                      <w:color w:val="auto"/>
                      <w:sz w:val="18"/>
                      <w:szCs w:val="18"/>
                      <w:vertAlign w:val="baseline"/>
                      <w:lang w:val="en-US" w:eastAsia="zh-CN"/>
                    </w:rPr>
                  </w:pPr>
                  <w:r>
                    <w:rPr>
                      <w:rFonts w:hint="eastAsia"/>
                      <w:color w:val="auto"/>
                      <w:sz w:val="18"/>
                      <w:szCs w:val="18"/>
                      <w:vertAlign w:val="baseline"/>
                      <w:lang w:val="en-US" w:eastAsia="zh-CN"/>
                    </w:rPr>
                    <w:t>外购</w:t>
                  </w:r>
                </w:p>
              </w:tc>
            </w:tr>
            <w:tr w14:paraId="0DE95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9" w:type="pct"/>
                  <w:noWrap w:val="0"/>
                  <w:vAlign w:val="center"/>
                </w:tcPr>
                <w:p w14:paraId="49885B82">
                  <w:pPr>
                    <w:jc w:val="center"/>
                    <w:rPr>
                      <w:rFonts w:hint="default"/>
                      <w:color w:val="auto"/>
                      <w:sz w:val="18"/>
                      <w:szCs w:val="18"/>
                      <w:vertAlign w:val="baseline"/>
                      <w:lang w:val="en-US" w:eastAsia="zh-CN"/>
                    </w:rPr>
                  </w:pPr>
                  <w:r>
                    <w:rPr>
                      <w:rFonts w:hint="eastAsia"/>
                      <w:color w:val="auto"/>
                      <w:sz w:val="18"/>
                      <w:szCs w:val="18"/>
                      <w:vertAlign w:val="baseline"/>
                      <w:lang w:val="en-US" w:eastAsia="zh-CN"/>
                    </w:rPr>
                    <w:t>10</w:t>
                  </w:r>
                </w:p>
              </w:tc>
              <w:tc>
                <w:tcPr>
                  <w:tcW w:w="847" w:type="pct"/>
                  <w:noWrap w:val="0"/>
                  <w:vAlign w:val="center"/>
                </w:tcPr>
                <w:p w14:paraId="40736771">
                  <w:pPr>
                    <w:jc w:val="center"/>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泥瓦</w:t>
                  </w:r>
                </w:p>
              </w:tc>
              <w:tc>
                <w:tcPr>
                  <w:tcW w:w="856" w:type="pct"/>
                  <w:noWrap w:val="0"/>
                  <w:vAlign w:val="center"/>
                </w:tcPr>
                <w:p w14:paraId="19B5E479">
                  <w:pPr>
                    <w:jc w:val="center"/>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10</w:t>
                  </w:r>
                </w:p>
              </w:tc>
              <w:tc>
                <w:tcPr>
                  <w:tcW w:w="756" w:type="pct"/>
                  <w:noWrap w:val="0"/>
                  <w:vAlign w:val="center"/>
                </w:tcPr>
                <w:p w14:paraId="32D31BB8">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万个</w:t>
                  </w:r>
                  <w:r>
                    <w:rPr>
                      <w:rFonts w:hint="default" w:ascii="Times New Roman" w:hAnsi="Times New Roman" w:eastAsia="宋体" w:cs="Times New Roman"/>
                      <w:color w:val="auto"/>
                      <w:sz w:val="18"/>
                      <w:szCs w:val="18"/>
                      <w:vertAlign w:val="baseline"/>
                      <w:lang w:val="en-US" w:eastAsia="zh-CN"/>
                    </w:rPr>
                    <w:t>/a</w:t>
                  </w:r>
                </w:p>
              </w:tc>
              <w:tc>
                <w:tcPr>
                  <w:tcW w:w="748" w:type="pct"/>
                  <w:noWrap w:val="0"/>
                  <w:vAlign w:val="center"/>
                </w:tcPr>
                <w:p w14:paraId="5A19F2A5">
                  <w:pPr>
                    <w:jc w:val="center"/>
                    <w:rPr>
                      <w:rFonts w:hint="default"/>
                      <w:color w:val="auto"/>
                      <w:sz w:val="18"/>
                      <w:szCs w:val="18"/>
                      <w:vertAlign w:val="baseline"/>
                      <w:lang w:val="en-US" w:eastAsia="zh-CN"/>
                    </w:rPr>
                  </w:pPr>
                  <w:r>
                    <w:rPr>
                      <w:rFonts w:hint="eastAsia"/>
                      <w:color w:val="auto"/>
                      <w:sz w:val="18"/>
                      <w:szCs w:val="18"/>
                      <w:vertAlign w:val="baseline"/>
                      <w:lang w:val="en-US" w:eastAsia="zh-CN"/>
                    </w:rPr>
                    <w:t>/</w:t>
                  </w:r>
                </w:p>
              </w:tc>
              <w:tc>
                <w:tcPr>
                  <w:tcW w:w="721" w:type="pct"/>
                  <w:noWrap w:val="0"/>
                  <w:vAlign w:val="center"/>
                </w:tcPr>
                <w:p w14:paraId="18388404">
                  <w:pPr>
                    <w:jc w:val="center"/>
                    <w:rPr>
                      <w:rFonts w:hint="default"/>
                      <w:color w:val="auto"/>
                      <w:sz w:val="18"/>
                      <w:szCs w:val="18"/>
                      <w:vertAlign w:val="baseline"/>
                      <w:lang w:val="en-US" w:eastAsia="zh-CN"/>
                    </w:rPr>
                  </w:pPr>
                  <w:r>
                    <w:rPr>
                      <w:rFonts w:hint="eastAsia"/>
                      <w:color w:val="auto"/>
                      <w:sz w:val="18"/>
                      <w:szCs w:val="18"/>
                      <w:vertAlign w:val="baseline"/>
                      <w:lang w:val="en-US" w:eastAsia="zh-CN"/>
                    </w:rPr>
                    <w:t>0.5</w:t>
                  </w:r>
                </w:p>
              </w:tc>
              <w:tc>
                <w:tcPr>
                  <w:tcW w:w="699" w:type="pct"/>
                  <w:noWrap w:val="0"/>
                  <w:vAlign w:val="center"/>
                </w:tcPr>
                <w:p w14:paraId="3403108F">
                  <w:pPr>
                    <w:jc w:val="center"/>
                    <w:rPr>
                      <w:rFonts w:hint="eastAsia"/>
                      <w:color w:val="auto"/>
                      <w:sz w:val="18"/>
                      <w:szCs w:val="18"/>
                      <w:vertAlign w:val="baseline"/>
                      <w:lang w:val="en-US" w:eastAsia="zh-CN"/>
                    </w:rPr>
                  </w:pPr>
                  <w:r>
                    <w:rPr>
                      <w:rFonts w:hint="eastAsia"/>
                      <w:color w:val="auto"/>
                      <w:sz w:val="18"/>
                      <w:szCs w:val="18"/>
                      <w:vertAlign w:val="baseline"/>
                      <w:lang w:val="en-US" w:eastAsia="zh-CN"/>
                    </w:rPr>
                    <w:t>外购</w:t>
                  </w:r>
                </w:p>
              </w:tc>
            </w:tr>
            <w:tr w14:paraId="5F457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9" w:type="pct"/>
                  <w:noWrap w:val="0"/>
                  <w:vAlign w:val="center"/>
                </w:tcPr>
                <w:p w14:paraId="40D75A6C">
                  <w:pPr>
                    <w:jc w:val="center"/>
                    <w:rPr>
                      <w:rFonts w:hint="default"/>
                      <w:color w:val="auto"/>
                      <w:sz w:val="18"/>
                      <w:szCs w:val="18"/>
                      <w:vertAlign w:val="baseline"/>
                      <w:lang w:val="en-US" w:eastAsia="zh-CN"/>
                    </w:rPr>
                  </w:pPr>
                  <w:r>
                    <w:rPr>
                      <w:rFonts w:hint="eastAsia"/>
                      <w:color w:val="auto"/>
                      <w:sz w:val="18"/>
                      <w:szCs w:val="18"/>
                      <w:vertAlign w:val="baseline"/>
                      <w:lang w:val="en-US" w:eastAsia="zh-CN"/>
                    </w:rPr>
                    <w:t>11</w:t>
                  </w:r>
                </w:p>
              </w:tc>
              <w:tc>
                <w:tcPr>
                  <w:tcW w:w="847" w:type="pct"/>
                  <w:noWrap w:val="0"/>
                  <w:vAlign w:val="center"/>
                </w:tcPr>
                <w:p w14:paraId="456A2F14">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螺丝</w:t>
                  </w:r>
                </w:p>
              </w:tc>
              <w:tc>
                <w:tcPr>
                  <w:tcW w:w="856" w:type="pct"/>
                  <w:noWrap w:val="0"/>
                  <w:vAlign w:val="center"/>
                </w:tcPr>
                <w:p w14:paraId="75DB3A88">
                  <w:pPr>
                    <w:jc w:val="center"/>
                    <w:rPr>
                      <w:rFonts w:hint="eastAsia"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10</w:t>
                  </w:r>
                </w:p>
              </w:tc>
              <w:tc>
                <w:tcPr>
                  <w:tcW w:w="756" w:type="pct"/>
                  <w:noWrap w:val="0"/>
                  <w:vAlign w:val="center"/>
                </w:tcPr>
                <w:p w14:paraId="4D1240B0">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万套</w:t>
                  </w:r>
                  <w:r>
                    <w:rPr>
                      <w:rFonts w:hint="default" w:ascii="Times New Roman" w:hAnsi="Times New Roman" w:eastAsia="宋体" w:cs="Times New Roman"/>
                      <w:color w:val="auto"/>
                      <w:sz w:val="18"/>
                      <w:szCs w:val="18"/>
                      <w:vertAlign w:val="baseline"/>
                      <w:lang w:val="en-US" w:eastAsia="zh-CN"/>
                    </w:rPr>
                    <w:t>/a</w:t>
                  </w:r>
                </w:p>
              </w:tc>
              <w:tc>
                <w:tcPr>
                  <w:tcW w:w="748" w:type="pct"/>
                  <w:noWrap w:val="0"/>
                  <w:vAlign w:val="center"/>
                </w:tcPr>
                <w:p w14:paraId="3A9575A1">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w:t>
                  </w:r>
                </w:p>
              </w:tc>
              <w:tc>
                <w:tcPr>
                  <w:tcW w:w="721" w:type="pct"/>
                  <w:noWrap w:val="0"/>
                  <w:vAlign w:val="center"/>
                </w:tcPr>
                <w:p w14:paraId="3D6194EF">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0.5</w:t>
                  </w:r>
                </w:p>
              </w:tc>
              <w:tc>
                <w:tcPr>
                  <w:tcW w:w="699" w:type="pct"/>
                  <w:noWrap w:val="0"/>
                  <w:vAlign w:val="center"/>
                </w:tcPr>
                <w:p w14:paraId="693F6E53">
                  <w:pPr>
                    <w:jc w:val="center"/>
                    <w:rPr>
                      <w:rFonts w:hint="eastAsia"/>
                      <w:color w:val="auto"/>
                      <w:sz w:val="18"/>
                      <w:szCs w:val="18"/>
                      <w:vertAlign w:val="baseline"/>
                      <w:lang w:val="en-US" w:eastAsia="zh-CN"/>
                    </w:rPr>
                  </w:pPr>
                  <w:r>
                    <w:rPr>
                      <w:rFonts w:hint="eastAsia"/>
                      <w:color w:val="auto"/>
                      <w:sz w:val="18"/>
                      <w:szCs w:val="18"/>
                      <w:vertAlign w:val="baseline"/>
                      <w:lang w:val="en-US" w:eastAsia="zh-CN"/>
                    </w:rPr>
                    <w:t>外购</w:t>
                  </w:r>
                </w:p>
              </w:tc>
            </w:tr>
            <w:tr w14:paraId="4D733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9" w:type="pct"/>
                  <w:noWrap w:val="0"/>
                  <w:vAlign w:val="center"/>
                </w:tcPr>
                <w:p w14:paraId="5B0809E8">
                  <w:pPr>
                    <w:jc w:val="center"/>
                    <w:rPr>
                      <w:rFonts w:hint="default"/>
                      <w:color w:val="auto"/>
                      <w:sz w:val="18"/>
                      <w:szCs w:val="18"/>
                      <w:vertAlign w:val="baseline"/>
                      <w:lang w:val="en-US" w:eastAsia="zh-CN"/>
                    </w:rPr>
                  </w:pPr>
                  <w:r>
                    <w:rPr>
                      <w:rFonts w:hint="eastAsia"/>
                      <w:color w:val="auto"/>
                      <w:sz w:val="18"/>
                      <w:szCs w:val="18"/>
                      <w:vertAlign w:val="baseline"/>
                      <w:lang w:val="en-US" w:eastAsia="zh-CN"/>
                    </w:rPr>
                    <w:t>12</w:t>
                  </w:r>
                </w:p>
              </w:tc>
              <w:tc>
                <w:tcPr>
                  <w:tcW w:w="847" w:type="pct"/>
                  <w:noWrap w:val="0"/>
                  <w:vAlign w:val="center"/>
                </w:tcPr>
                <w:p w14:paraId="2356104A">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铭牌</w:t>
                  </w:r>
                </w:p>
              </w:tc>
              <w:tc>
                <w:tcPr>
                  <w:tcW w:w="856" w:type="pct"/>
                  <w:noWrap w:val="0"/>
                  <w:vAlign w:val="center"/>
                </w:tcPr>
                <w:p w14:paraId="2DC22AB0">
                  <w:pPr>
                    <w:jc w:val="center"/>
                    <w:rPr>
                      <w:rFonts w:hint="eastAsia"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10</w:t>
                  </w:r>
                </w:p>
              </w:tc>
              <w:tc>
                <w:tcPr>
                  <w:tcW w:w="756" w:type="pct"/>
                  <w:noWrap w:val="0"/>
                  <w:vAlign w:val="center"/>
                </w:tcPr>
                <w:p w14:paraId="19FE3517">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万个</w:t>
                  </w:r>
                  <w:r>
                    <w:rPr>
                      <w:rFonts w:hint="default" w:ascii="Times New Roman" w:hAnsi="Times New Roman" w:eastAsia="宋体" w:cs="Times New Roman"/>
                      <w:color w:val="auto"/>
                      <w:sz w:val="18"/>
                      <w:szCs w:val="18"/>
                      <w:vertAlign w:val="baseline"/>
                      <w:lang w:val="en-US" w:eastAsia="zh-CN"/>
                    </w:rPr>
                    <w:t>/a</w:t>
                  </w:r>
                </w:p>
              </w:tc>
              <w:tc>
                <w:tcPr>
                  <w:tcW w:w="748" w:type="pct"/>
                  <w:noWrap w:val="0"/>
                  <w:vAlign w:val="center"/>
                </w:tcPr>
                <w:p w14:paraId="1CF98223">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w:t>
                  </w:r>
                </w:p>
              </w:tc>
              <w:tc>
                <w:tcPr>
                  <w:tcW w:w="721" w:type="pct"/>
                  <w:noWrap w:val="0"/>
                  <w:vAlign w:val="center"/>
                </w:tcPr>
                <w:p w14:paraId="1A16D553">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0.5</w:t>
                  </w:r>
                </w:p>
              </w:tc>
              <w:tc>
                <w:tcPr>
                  <w:tcW w:w="699" w:type="pct"/>
                  <w:noWrap w:val="0"/>
                  <w:vAlign w:val="center"/>
                </w:tcPr>
                <w:p w14:paraId="6E4858D6">
                  <w:pPr>
                    <w:jc w:val="center"/>
                    <w:rPr>
                      <w:rFonts w:hint="eastAsia"/>
                      <w:color w:val="auto"/>
                      <w:sz w:val="18"/>
                      <w:szCs w:val="18"/>
                      <w:vertAlign w:val="baseline"/>
                      <w:lang w:val="en-US" w:eastAsia="zh-CN"/>
                    </w:rPr>
                  </w:pPr>
                  <w:r>
                    <w:rPr>
                      <w:rFonts w:hint="eastAsia"/>
                      <w:color w:val="auto"/>
                      <w:sz w:val="18"/>
                      <w:szCs w:val="18"/>
                      <w:vertAlign w:val="baseline"/>
                      <w:lang w:val="en-US" w:eastAsia="zh-CN"/>
                    </w:rPr>
                    <w:t>外购</w:t>
                  </w:r>
                </w:p>
              </w:tc>
            </w:tr>
            <w:tr w14:paraId="1FBEB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9" w:type="pct"/>
                  <w:noWrap w:val="0"/>
                  <w:vAlign w:val="center"/>
                </w:tcPr>
                <w:p w14:paraId="5AFEFDE1">
                  <w:pPr>
                    <w:jc w:val="center"/>
                    <w:rPr>
                      <w:rFonts w:hint="default"/>
                      <w:color w:val="auto"/>
                      <w:sz w:val="18"/>
                      <w:szCs w:val="18"/>
                      <w:vertAlign w:val="baseline"/>
                      <w:lang w:val="en-US" w:eastAsia="zh-CN"/>
                    </w:rPr>
                  </w:pPr>
                  <w:r>
                    <w:rPr>
                      <w:rFonts w:hint="eastAsia"/>
                      <w:color w:val="auto"/>
                      <w:sz w:val="18"/>
                      <w:szCs w:val="18"/>
                      <w:vertAlign w:val="baseline"/>
                      <w:lang w:val="en-US" w:eastAsia="zh-CN"/>
                    </w:rPr>
                    <w:t>13</w:t>
                  </w:r>
                </w:p>
              </w:tc>
              <w:tc>
                <w:tcPr>
                  <w:tcW w:w="847" w:type="pct"/>
                  <w:noWrap w:val="0"/>
                  <w:vAlign w:val="center"/>
                </w:tcPr>
                <w:p w14:paraId="7F65817A">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合格证</w:t>
                  </w:r>
                </w:p>
              </w:tc>
              <w:tc>
                <w:tcPr>
                  <w:tcW w:w="856" w:type="pct"/>
                  <w:noWrap w:val="0"/>
                  <w:vAlign w:val="center"/>
                </w:tcPr>
                <w:p w14:paraId="317C852B">
                  <w:pPr>
                    <w:jc w:val="center"/>
                    <w:rPr>
                      <w:rFonts w:hint="eastAsia"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10</w:t>
                  </w:r>
                </w:p>
              </w:tc>
              <w:tc>
                <w:tcPr>
                  <w:tcW w:w="756" w:type="pct"/>
                  <w:noWrap w:val="0"/>
                  <w:vAlign w:val="center"/>
                </w:tcPr>
                <w:p w14:paraId="04C1DE27">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万张</w:t>
                  </w:r>
                  <w:r>
                    <w:rPr>
                      <w:rFonts w:hint="default" w:ascii="Times New Roman" w:hAnsi="Times New Roman" w:eastAsia="宋体" w:cs="Times New Roman"/>
                      <w:color w:val="auto"/>
                      <w:sz w:val="18"/>
                      <w:szCs w:val="18"/>
                      <w:vertAlign w:val="baseline"/>
                      <w:lang w:val="en-US" w:eastAsia="zh-CN"/>
                    </w:rPr>
                    <w:t>/a</w:t>
                  </w:r>
                </w:p>
              </w:tc>
              <w:tc>
                <w:tcPr>
                  <w:tcW w:w="748" w:type="pct"/>
                  <w:noWrap w:val="0"/>
                  <w:vAlign w:val="center"/>
                </w:tcPr>
                <w:p w14:paraId="6F989678">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w:t>
                  </w:r>
                </w:p>
              </w:tc>
              <w:tc>
                <w:tcPr>
                  <w:tcW w:w="721" w:type="pct"/>
                  <w:noWrap w:val="0"/>
                  <w:vAlign w:val="center"/>
                </w:tcPr>
                <w:p w14:paraId="53EE122C">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0.5</w:t>
                  </w:r>
                </w:p>
              </w:tc>
              <w:tc>
                <w:tcPr>
                  <w:tcW w:w="699" w:type="pct"/>
                  <w:noWrap w:val="0"/>
                  <w:vAlign w:val="center"/>
                </w:tcPr>
                <w:p w14:paraId="5A032963">
                  <w:pPr>
                    <w:jc w:val="center"/>
                    <w:rPr>
                      <w:rFonts w:hint="eastAsia"/>
                      <w:color w:val="auto"/>
                      <w:sz w:val="18"/>
                      <w:szCs w:val="18"/>
                      <w:vertAlign w:val="baseline"/>
                      <w:lang w:val="en-US" w:eastAsia="zh-CN"/>
                    </w:rPr>
                  </w:pPr>
                  <w:r>
                    <w:rPr>
                      <w:rFonts w:hint="eastAsia"/>
                      <w:color w:val="auto"/>
                      <w:sz w:val="18"/>
                      <w:szCs w:val="18"/>
                      <w:vertAlign w:val="baseline"/>
                      <w:lang w:val="en-US" w:eastAsia="zh-CN"/>
                    </w:rPr>
                    <w:t>外购</w:t>
                  </w:r>
                </w:p>
              </w:tc>
            </w:tr>
            <w:tr w14:paraId="36C1B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9" w:type="pct"/>
                  <w:noWrap w:val="0"/>
                  <w:vAlign w:val="center"/>
                </w:tcPr>
                <w:p w14:paraId="6C4C11B9">
                  <w:pPr>
                    <w:jc w:val="center"/>
                    <w:rPr>
                      <w:rFonts w:hint="default"/>
                      <w:color w:val="auto"/>
                      <w:sz w:val="18"/>
                      <w:szCs w:val="18"/>
                      <w:vertAlign w:val="baseline"/>
                      <w:lang w:val="en-US" w:eastAsia="zh-CN"/>
                    </w:rPr>
                  </w:pPr>
                  <w:r>
                    <w:rPr>
                      <w:rFonts w:hint="eastAsia"/>
                      <w:color w:val="auto"/>
                      <w:sz w:val="18"/>
                      <w:szCs w:val="18"/>
                      <w:vertAlign w:val="baseline"/>
                      <w:lang w:val="en-US" w:eastAsia="zh-CN"/>
                    </w:rPr>
                    <w:t>14</w:t>
                  </w:r>
                </w:p>
              </w:tc>
              <w:tc>
                <w:tcPr>
                  <w:tcW w:w="847" w:type="pct"/>
                  <w:noWrap w:val="0"/>
                  <w:vAlign w:val="center"/>
                </w:tcPr>
                <w:p w14:paraId="013ECDD8">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一致性证书</w:t>
                  </w:r>
                </w:p>
              </w:tc>
              <w:tc>
                <w:tcPr>
                  <w:tcW w:w="856" w:type="pct"/>
                  <w:noWrap w:val="0"/>
                  <w:vAlign w:val="center"/>
                </w:tcPr>
                <w:p w14:paraId="06823E81">
                  <w:pPr>
                    <w:jc w:val="center"/>
                    <w:rPr>
                      <w:rFonts w:hint="eastAsia"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10</w:t>
                  </w:r>
                </w:p>
              </w:tc>
              <w:tc>
                <w:tcPr>
                  <w:tcW w:w="756" w:type="pct"/>
                  <w:noWrap w:val="0"/>
                  <w:vAlign w:val="center"/>
                </w:tcPr>
                <w:p w14:paraId="792CA8DF">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万张</w:t>
                  </w:r>
                  <w:r>
                    <w:rPr>
                      <w:rFonts w:hint="default" w:ascii="Times New Roman" w:hAnsi="Times New Roman" w:eastAsia="宋体" w:cs="Times New Roman"/>
                      <w:color w:val="auto"/>
                      <w:sz w:val="18"/>
                      <w:szCs w:val="18"/>
                      <w:vertAlign w:val="baseline"/>
                      <w:lang w:val="en-US" w:eastAsia="zh-CN"/>
                    </w:rPr>
                    <w:t>/a</w:t>
                  </w:r>
                </w:p>
              </w:tc>
              <w:tc>
                <w:tcPr>
                  <w:tcW w:w="748" w:type="pct"/>
                  <w:noWrap w:val="0"/>
                  <w:vAlign w:val="center"/>
                </w:tcPr>
                <w:p w14:paraId="36F6E85D">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w:t>
                  </w:r>
                </w:p>
              </w:tc>
              <w:tc>
                <w:tcPr>
                  <w:tcW w:w="721" w:type="pct"/>
                  <w:noWrap w:val="0"/>
                  <w:vAlign w:val="center"/>
                </w:tcPr>
                <w:p w14:paraId="6CD4E10F">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0.5</w:t>
                  </w:r>
                </w:p>
              </w:tc>
              <w:tc>
                <w:tcPr>
                  <w:tcW w:w="699" w:type="pct"/>
                  <w:noWrap w:val="0"/>
                  <w:vAlign w:val="center"/>
                </w:tcPr>
                <w:p w14:paraId="7309E286">
                  <w:pPr>
                    <w:jc w:val="center"/>
                    <w:rPr>
                      <w:rFonts w:hint="eastAsia"/>
                      <w:color w:val="auto"/>
                      <w:sz w:val="18"/>
                      <w:szCs w:val="18"/>
                      <w:vertAlign w:val="baseline"/>
                      <w:lang w:val="en-US" w:eastAsia="zh-CN"/>
                    </w:rPr>
                  </w:pPr>
                  <w:r>
                    <w:rPr>
                      <w:rFonts w:hint="eastAsia"/>
                      <w:color w:val="auto"/>
                      <w:sz w:val="18"/>
                      <w:szCs w:val="18"/>
                      <w:vertAlign w:val="baseline"/>
                      <w:lang w:val="en-US" w:eastAsia="zh-CN"/>
                    </w:rPr>
                    <w:t>外购</w:t>
                  </w:r>
                </w:p>
              </w:tc>
            </w:tr>
            <w:tr w14:paraId="73835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9" w:type="pct"/>
                  <w:noWrap w:val="0"/>
                  <w:vAlign w:val="center"/>
                </w:tcPr>
                <w:p w14:paraId="0343B586">
                  <w:pPr>
                    <w:jc w:val="center"/>
                    <w:rPr>
                      <w:rFonts w:hint="default"/>
                      <w:color w:val="auto"/>
                      <w:sz w:val="18"/>
                      <w:szCs w:val="18"/>
                      <w:vertAlign w:val="baseline"/>
                      <w:lang w:val="en-US" w:eastAsia="zh-CN"/>
                    </w:rPr>
                  </w:pPr>
                  <w:r>
                    <w:rPr>
                      <w:rFonts w:hint="eastAsia"/>
                      <w:color w:val="auto"/>
                      <w:sz w:val="18"/>
                      <w:szCs w:val="18"/>
                      <w:vertAlign w:val="baseline"/>
                      <w:lang w:val="en-US" w:eastAsia="zh-CN"/>
                    </w:rPr>
                    <w:t>15</w:t>
                  </w:r>
                </w:p>
              </w:tc>
              <w:tc>
                <w:tcPr>
                  <w:tcW w:w="847" w:type="pct"/>
                  <w:noWrap w:val="0"/>
                  <w:vAlign w:val="center"/>
                </w:tcPr>
                <w:p w14:paraId="63D24BA8">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喇叭</w:t>
                  </w:r>
                </w:p>
              </w:tc>
              <w:tc>
                <w:tcPr>
                  <w:tcW w:w="856" w:type="pct"/>
                  <w:noWrap w:val="0"/>
                  <w:vAlign w:val="center"/>
                </w:tcPr>
                <w:p w14:paraId="42847B2A">
                  <w:pPr>
                    <w:jc w:val="center"/>
                    <w:rPr>
                      <w:rFonts w:hint="eastAsia"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10</w:t>
                  </w:r>
                </w:p>
              </w:tc>
              <w:tc>
                <w:tcPr>
                  <w:tcW w:w="756" w:type="pct"/>
                  <w:noWrap w:val="0"/>
                  <w:vAlign w:val="center"/>
                </w:tcPr>
                <w:p w14:paraId="1E1ACE58">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万个</w:t>
                  </w:r>
                  <w:r>
                    <w:rPr>
                      <w:rFonts w:hint="default" w:ascii="Times New Roman" w:hAnsi="Times New Roman" w:eastAsia="宋体" w:cs="Times New Roman"/>
                      <w:color w:val="auto"/>
                      <w:sz w:val="18"/>
                      <w:szCs w:val="18"/>
                      <w:vertAlign w:val="baseline"/>
                      <w:lang w:val="en-US" w:eastAsia="zh-CN"/>
                    </w:rPr>
                    <w:t>/a</w:t>
                  </w:r>
                </w:p>
              </w:tc>
              <w:tc>
                <w:tcPr>
                  <w:tcW w:w="748" w:type="pct"/>
                  <w:noWrap w:val="0"/>
                  <w:vAlign w:val="center"/>
                </w:tcPr>
                <w:p w14:paraId="530A76CE">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w:t>
                  </w:r>
                </w:p>
              </w:tc>
              <w:tc>
                <w:tcPr>
                  <w:tcW w:w="721" w:type="pct"/>
                  <w:noWrap w:val="0"/>
                  <w:vAlign w:val="center"/>
                </w:tcPr>
                <w:p w14:paraId="50BB7E5C">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0.5</w:t>
                  </w:r>
                </w:p>
              </w:tc>
              <w:tc>
                <w:tcPr>
                  <w:tcW w:w="699" w:type="pct"/>
                  <w:noWrap w:val="0"/>
                  <w:vAlign w:val="center"/>
                </w:tcPr>
                <w:p w14:paraId="1938B5BE">
                  <w:pPr>
                    <w:jc w:val="center"/>
                    <w:rPr>
                      <w:rFonts w:hint="eastAsia"/>
                      <w:color w:val="auto"/>
                      <w:sz w:val="18"/>
                      <w:szCs w:val="18"/>
                      <w:vertAlign w:val="baseline"/>
                      <w:lang w:val="en-US" w:eastAsia="zh-CN"/>
                    </w:rPr>
                  </w:pPr>
                  <w:r>
                    <w:rPr>
                      <w:rFonts w:hint="eastAsia"/>
                      <w:color w:val="auto"/>
                      <w:sz w:val="18"/>
                      <w:szCs w:val="18"/>
                      <w:vertAlign w:val="baseline"/>
                      <w:lang w:val="en-US" w:eastAsia="zh-CN"/>
                    </w:rPr>
                    <w:t>外购</w:t>
                  </w:r>
                </w:p>
              </w:tc>
            </w:tr>
            <w:tr w14:paraId="64A76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9" w:type="pct"/>
                  <w:noWrap w:val="0"/>
                  <w:vAlign w:val="center"/>
                </w:tcPr>
                <w:p w14:paraId="27ECFE13">
                  <w:pPr>
                    <w:jc w:val="center"/>
                    <w:rPr>
                      <w:rFonts w:hint="default"/>
                      <w:color w:val="auto"/>
                      <w:sz w:val="18"/>
                      <w:szCs w:val="18"/>
                      <w:vertAlign w:val="baseline"/>
                      <w:lang w:val="en-US" w:eastAsia="zh-CN"/>
                    </w:rPr>
                  </w:pPr>
                  <w:r>
                    <w:rPr>
                      <w:rFonts w:hint="eastAsia"/>
                      <w:color w:val="auto"/>
                      <w:sz w:val="18"/>
                      <w:szCs w:val="18"/>
                      <w:vertAlign w:val="baseline"/>
                      <w:lang w:val="en-US" w:eastAsia="zh-CN"/>
                    </w:rPr>
                    <w:t>16</w:t>
                  </w:r>
                </w:p>
              </w:tc>
              <w:tc>
                <w:tcPr>
                  <w:tcW w:w="847" w:type="pct"/>
                  <w:noWrap w:val="0"/>
                  <w:vAlign w:val="center"/>
                </w:tcPr>
                <w:p w14:paraId="455D2F09">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总成线</w:t>
                  </w:r>
                </w:p>
              </w:tc>
              <w:tc>
                <w:tcPr>
                  <w:tcW w:w="856" w:type="pct"/>
                  <w:noWrap w:val="0"/>
                  <w:vAlign w:val="center"/>
                </w:tcPr>
                <w:p w14:paraId="424A2900">
                  <w:pPr>
                    <w:jc w:val="center"/>
                    <w:rPr>
                      <w:rFonts w:hint="eastAsia"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10</w:t>
                  </w:r>
                </w:p>
              </w:tc>
              <w:tc>
                <w:tcPr>
                  <w:tcW w:w="756" w:type="pct"/>
                  <w:noWrap w:val="0"/>
                  <w:vAlign w:val="center"/>
                </w:tcPr>
                <w:p w14:paraId="70A593E5">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万套</w:t>
                  </w:r>
                  <w:r>
                    <w:rPr>
                      <w:rFonts w:hint="default" w:ascii="Times New Roman" w:hAnsi="Times New Roman" w:eastAsia="宋体" w:cs="Times New Roman"/>
                      <w:color w:val="auto"/>
                      <w:sz w:val="18"/>
                      <w:szCs w:val="18"/>
                      <w:vertAlign w:val="baseline"/>
                      <w:lang w:val="en-US" w:eastAsia="zh-CN"/>
                    </w:rPr>
                    <w:t>/a</w:t>
                  </w:r>
                </w:p>
              </w:tc>
              <w:tc>
                <w:tcPr>
                  <w:tcW w:w="748" w:type="pct"/>
                  <w:noWrap w:val="0"/>
                  <w:vAlign w:val="center"/>
                </w:tcPr>
                <w:p w14:paraId="00340A24">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w:t>
                  </w:r>
                </w:p>
              </w:tc>
              <w:tc>
                <w:tcPr>
                  <w:tcW w:w="721" w:type="pct"/>
                  <w:noWrap w:val="0"/>
                  <w:vAlign w:val="center"/>
                </w:tcPr>
                <w:p w14:paraId="483A07E6">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0.5</w:t>
                  </w:r>
                </w:p>
              </w:tc>
              <w:tc>
                <w:tcPr>
                  <w:tcW w:w="699" w:type="pct"/>
                  <w:noWrap w:val="0"/>
                  <w:vAlign w:val="center"/>
                </w:tcPr>
                <w:p w14:paraId="1516D1FD">
                  <w:pPr>
                    <w:jc w:val="center"/>
                    <w:rPr>
                      <w:rFonts w:hint="eastAsia"/>
                      <w:color w:val="auto"/>
                      <w:sz w:val="18"/>
                      <w:szCs w:val="18"/>
                      <w:vertAlign w:val="baseline"/>
                      <w:lang w:val="en-US" w:eastAsia="zh-CN"/>
                    </w:rPr>
                  </w:pPr>
                  <w:r>
                    <w:rPr>
                      <w:rFonts w:hint="eastAsia"/>
                      <w:color w:val="auto"/>
                      <w:sz w:val="18"/>
                      <w:szCs w:val="18"/>
                      <w:vertAlign w:val="baseline"/>
                      <w:lang w:val="en-US" w:eastAsia="zh-CN"/>
                    </w:rPr>
                    <w:t>外购</w:t>
                  </w:r>
                </w:p>
              </w:tc>
            </w:tr>
            <w:tr w14:paraId="1D982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9" w:type="pct"/>
                  <w:noWrap w:val="0"/>
                  <w:vAlign w:val="center"/>
                </w:tcPr>
                <w:p w14:paraId="4F998C72">
                  <w:pPr>
                    <w:jc w:val="center"/>
                    <w:rPr>
                      <w:rFonts w:hint="default"/>
                      <w:color w:val="auto"/>
                      <w:sz w:val="18"/>
                      <w:szCs w:val="18"/>
                      <w:vertAlign w:val="baseline"/>
                      <w:lang w:val="en-US" w:eastAsia="zh-CN"/>
                    </w:rPr>
                  </w:pPr>
                  <w:r>
                    <w:rPr>
                      <w:rFonts w:hint="eastAsia"/>
                      <w:color w:val="auto"/>
                      <w:sz w:val="18"/>
                      <w:szCs w:val="18"/>
                      <w:vertAlign w:val="baseline"/>
                      <w:lang w:val="en-US" w:eastAsia="zh-CN"/>
                    </w:rPr>
                    <w:t>17</w:t>
                  </w:r>
                </w:p>
              </w:tc>
              <w:tc>
                <w:tcPr>
                  <w:tcW w:w="847" w:type="pct"/>
                  <w:noWrap w:val="0"/>
                  <w:vAlign w:val="center"/>
                </w:tcPr>
                <w:p w14:paraId="61720594">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软连接</w:t>
                  </w:r>
                </w:p>
              </w:tc>
              <w:tc>
                <w:tcPr>
                  <w:tcW w:w="856" w:type="pct"/>
                  <w:noWrap w:val="0"/>
                  <w:vAlign w:val="center"/>
                </w:tcPr>
                <w:p w14:paraId="6EA23A8B">
                  <w:pPr>
                    <w:jc w:val="center"/>
                    <w:rPr>
                      <w:rFonts w:hint="eastAsia"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10</w:t>
                  </w:r>
                </w:p>
              </w:tc>
              <w:tc>
                <w:tcPr>
                  <w:tcW w:w="756" w:type="pct"/>
                  <w:noWrap w:val="0"/>
                  <w:vAlign w:val="center"/>
                </w:tcPr>
                <w:p w14:paraId="489081C5">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万套</w:t>
                  </w:r>
                  <w:r>
                    <w:rPr>
                      <w:rFonts w:hint="default" w:ascii="Times New Roman" w:hAnsi="Times New Roman" w:eastAsia="宋体" w:cs="Times New Roman"/>
                      <w:color w:val="auto"/>
                      <w:sz w:val="18"/>
                      <w:szCs w:val="18"/>
                      <w:vertAlign w:val="baseline"/>
                      <w:lang w:val="en-US" w:eastAsia="zh-CN"/>
                    </w:rPr>
                    <w:t>/a</w:t>
                  </w:r>
                </w:p>
              </w:tc>
              <w:tc>
                <w:tcPr>
                  <w:tcW w:w="748" w:type="pct"/>
                  <w:noWrap w:val="0"/>
                  <w:vAlign w:val="center"/>
                </w:tcPr>
                <w:p w14:paraId="63B5B037">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w:t>
                  </w:r>
                </w:p>
              </w:tc>
              <w:tc>
                <w:tcPr>
                  <w:tcW w:w="721" w:type="pct"/>
                  <w:noWrap w:val="0"/>
                  <w:vAlign w:val="center"/>
                </w:tcPr>
                <w:p w14:paraId="112F46F4">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0.5</w:t>
                  </w:r>
                </w:p>
              </w:tc>
              <w:tc>
                <w:tcPr>
                  <w:tcW w:w="699" w:type="pct"/>
                  <w:noWrap w:val="0"/>
                  <w:vAlign w:val="center"/>
                </w:tcPr>
                <w:p w14:paraId="0EE326D2">
                  <w:pPr>
                    <w:jc w:val="center"/>
                    <w:rPr>
                      <w:rFonts w:hint="eastAsia"/>
                      <w:color w:val="auto"/>
                      <w:sz w:val="18"/>
                      <w:szCs w:val="18"/>
                      <w:vertAlign w:val="baseline"/>
                      <w:lang w:val="en-US" w:eastAsia="zh-CN"/>
                    </w:rPr>
                  </w:pPr>
                  <w:r>
                    <w:rPr>
                      <w:rFonts w:hint="eastAsia"/>
                      <w:color w:val="auto"/>
                      <w:sz w:val="18"/>
                      <w:szCs w:val="18"/>
                      <w:vertAlign w:val="baseline"/>
                      <w:lang w:val="en-US" w:eastAsia="zh-CN"/>
                    </w:rPr>
                    <w:t>外购</w:t>
                  </w:r>
                </w:p>
              </w:tc>
            </w:tr>
            <w:tr w14:paraId="408E2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9" w:type="pct"/>
                  <w:noWrap w:val="0"/>
                  <w:vAlign w:val="center"/>
                </w:tcPr>
                <w:p w14:paraId="440A4D77">
                  <w:pPr>
                    <w:jc w:val="center"/>
                    <w:rPr>
                      <w:rFonts w:hint="default"/>
                      <w:color w:val="auto"/>
                      <w:sz w:val="18"/>
                      <w:szCs w:val="18"/>
                      <w:vertAlign w:val="baseline"/>
                      <w:lang w:val="en-US" w:eastAsia="zh-CN"/>
                    </w:rPr>
                  </w:pPr>
                  <w:r>
                    <w:rPr>
                      <w:rFonts w:hint="eastAsia"/>
                      <w:color w:val="auto"/>
                      <w:sz w:val="18"/>
                      <w:szCs w:val="18"/>
                      <w:vertAlign w:val="baseline"/>
                      <w:lang w:val="en-US" w:eastAsia="zh-CN"/>
                    </w:rPr>
                    <w:t>18</w:t>
                  </w:r>
                </w:p>
              </w:tc>
              <w:tc>
                <w:tcPr>
                  <w:tcW w:w="847" w:type="pct"/>
                  <w:noWrap w:val="0"/>
                  <w:vAlign w:val="center"/>
                </w:tcPr>
                <w:p w14:paraId="7C66734A">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平行拉杆</w:t>
                  </w:r>
                </w:p>
              </w:tc>
              <w:tc>
                <w:tcPr>
                  <w:tcW w:w="856" w:type="pct"/>
                  <w:noWrap w:val="0"/>
                  <w:vAlign w:val="center"/>
                </w:tcPr>
                <w:p w14:paraId="09E53745">
                  <w:pPr>
                    <w:jc w:val="center"/>
                    <w:rPr>
                      <w:rFonts w:hint="eastAsia"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10</w:t>
                  </w:r>
                </w:p>
              </w:tc>
              <w:tc>
                <w:tcPr>
                  <w:tcW w:w="756" w:type="pct"/>
                  <w:noWrap w:val="0"/>
                  <w:vAlign w:val="center"/>
                </w:tcPr>
                <w:p w14:paraId="54BB2507">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万根</w:t>
                  </w:r>
                  <w:r>
                    <w:rPr>
                      <w:rFonts w:hint="default" w:ascii="Times New Roman" w:hAnsi="Times New Roman" w:eastAsia="宋体" w:cs="Times New Roman"/>
                      <w:color w:val="auto"/>
                      <w:sz w:val="18"/>
                      <w:szCs w:val="18"/>
                      <w:vertAlign w:val="baseline"/>
                      <w:lang w:val="en-US" w:eastAsia="zh-CN"/>
                    </w:rPr>
                    <w:t>/a</w:t>
                  </w:r>
                </w:p>
              </w:tc>
              <w:tc>
                <w:tcPr>
                  <w:tcW w:w="748" w:type="pct"/>
                  <w:noWrap w:val="0"/>
                  <w:vAlign w:val="center"/>
                </w:tcPr>
                <w:p w14:paraId="27743462">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w:t>
                  </w:r>
                </w:p>
              </w:tc>
              <w:tc>
                <w:tcPr>
                  <w:tcW w:w="721" w:type="pct"/>
                  <w:noWrap w:val="0"/>
                  <w:vAlign w:val="center"/>
                </w:tcPr>
                <w:p w14:paraId="26C33212">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0.5</w:t>
                  </w:r>
                </w:p>
              </w:tc>
              <w:tc>
                <w:tcPr>
                  <w:tcW w:w="699" w:type="pct"/>
                  <w:noWrap w:val="0"/>
                  <w:vAlign w:val="center"/>
                </w:tcPr>
                <w:p w14:paraId="6BE2C9AB">
                  <w:pPr>
                    <w:jc w:val="center"/>
                    <w:rPr>
                      <w:rFonts w:hint="eastAsia"/>
                      <w:color w:val="auto"/>
                      <w:sz w:val="18"/>
                      <w:szCs w:val="18"/>
                      <w:vertAlign w:val="baseline"/>
                      <w:lang w:val="en-US" w:eastAsia="zh-CN"/>
                    </w:rPr>
                  </w:pPr>
                  <w:r>
                    <w:rPr>
                      <w:rFonts w:hint="eastAsia"/>
                      <w:color w:val="auto"/>
                      <w:sz w:val="18"/>
                      <w:szCs w:val="18"/>
                      <w:vertAlign w:val="baseline"/>
                      <w:lang w:val="en-US" w:eastAsia="zh-CN"/>
                    </w:rPr>
                    <w:t>外购</w:t>
                  </w:r>
                </w:p>
              </w:tc>
            </w:tr>
            <w:tr w14:paraId="02BDF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9" w:type="pct"/>
                  <w:noWrap w:val="0"/>
                  <w:vAlign w:val="center"/>
                </w:tcPr>
                <w:p w14:paraId="7FEC5240">
                  <w:pPr>
                    <w:jc w:val="center"/>
                    <w:rPr>
                      <w:rFonts w:hint="default"/>
                      <w:color w:val="auto"/>
                      <w:sz w:val="18"/>
                      <w:szCs w:val="18"/>
                      <w:vertAlign w:val="baseline"/>
                      <w:lang w:val="en-US" w:eastAsia="zh-CN"/>
                    </w:rPr>
                  </w:pPr>
                  <w:r>
                    <w:rPr>
                      <w:rFonts w:hint="eastAsia"/>
                      <w:color w:val="auto"/>
                      <w:sz w:val="18"/>
                      <w:szCs w:val="18"/>
                      <w:vertAlign w:val="baseline"/>
                      <w:lang w:val="en-US" w:eastAsia="zh-CN"/>
                    </w:rPr>
                    <w:t>19</w:t>
                  </w:r>
                </w:p>
              </w:tc>
              <w:tc>
                <w:tcPr>
                  <w:tcW w:w="847" w:type="pct"/>
                  <w:noWrap w:val="0"/>
                  <w:vAlign w:val="center"/>
                </w:tcPr>
                <w:p w14:paraId="6E475E68">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刹车拉杆</w:t>
                  </w:r>
                </w:p>
              </w:tc>
              <w:tc>
                <w:tcPr>
                  <w:tcW w:w="856" w:type="pct"/>
                  <w:noWrap w:val="0"/>
                  <w:vAlign w:val="center"/>
                </w:tcPr>
                <w:p w14:paraId="0145E233">
                  <w:pPr>
                    <w:jc w:val="center"/>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20</w:t>
                  </w:r>
                </w:p>
              </w:tc>
              <w:tc>
                <w:tcPr>
                  <w:tcW w:w="756" w:type="pct"/>
                  <w:noWrap w:val="0"/>
                  <w:vAlign w:val="center"/>
                </w:tcPr>
                <w:p w14:paraId="0EB2BBF5">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万根</w:t>
                  </w:r>
                  <w:r>
                    <w:rPr>
                      <w:rFonts w:hint="default" w:ascii="Times New Roman" w:hAnsi="Times New Roman" w:eastAsia="宋体" w:cs="Times New Roman"/>
                      <w:color w:val="auto"/>
                      <w:sz w:val="18"/>
                      <w:szCs w:val="18"/>
                      <w:vertAlign w:val="baseline"/>
                      <w:lang w:val="en-US" w:eastAsia="zh-CN"/>
                    </w:rPr>
                    <w:t>/a</w:t>
                  </w:r>
                </w:p>
              </w:tc>
              <w:tc>
                <w:tcPr>
                  <w:tcW w:w="748" w:type="pct"/>
                  <w:noWrap w:val="0"/>
                  <w:vAlign w:val="center"/>
                </w:tcPr>
                <w:p w14:paraId="7FC5CAE1">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w:t>
                  </w:r>
                </w:p>
              </w:tc>
              <w:tc>
                <w:tcPr>
                  <w:tcW w:w="721" w:type="pct"/>
                  <w:noWrap w:val="0"/>
                  <w:vAlign w:val="center"/>
                </w:tcPr>
                <w:p w14:paraId="6636729B">
                  <w:pPr>
                    <w:jc w:val="center"/>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1</w:t>
                  </w:r>
                </w:p>
              </w:tc>
              <w:tc>
                <w:tcPr>
                  <w:tcW w:w="699" w:type="pct"/>
                  <w:noWrap w:val="0"/>
                  <w:vAlign w:val="center"/>
                </w:tcPr>
                <w:p w14:paraId="14EFE016">
                  <w:pPr>
                    <w:jc w:val="center"/>
                    <w:rPr>
                      <w:rFonts w:hint="eastAsia"/>
                      <w:color w:val="auto"/>
                      <w:sz w:val="18"/>
                      <w:szCs w:val="18"/>
                      <w:vertAlign w:val="baseline"/>
                      <w:lang w:val="en-US" w:eastAsia="zh-CN"/>
                    </w:rPr>
                  </w:pPr>
                  <w:r>
                    <w:rPr>
                      <w:rFonts w:hint="eastAsia"/>
                      <w:color w:val="auto"/>
                      <w:sz w:val="18"/>
                      <w:szCs w:val="18"/>
                      <w:vertAlign w:val="baseline"/>
                      <w:lang w:val="en-US" w:eastAsia="zh-CN"/>
                    </w:rPr>
                    <w:t>外购</w:t>
                  </w:r>
                </w:p>
              </w:tc>
            </w:tr>
            <w:tr w14:paraId="7782E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9" w:type="pct"/>
                  <w:noWrap w:val="0"/>
                  <w:vAlign w:val="center"/>
                </w:tcPr>
                <w:p w14:paraId="74F36AF9">
                  <w:pPr>
                    <w:jc w:val="center"/>
                    <w:rPr>
                      <w:rFonts w:hint="default"/>
                      <w:color w:val="auto"/>
                      <w:sz w:val="18"/>
                      <w:szCs w:val="18"/>
                      <w:vertAlign w:val="baseline"/>
                      <w:lang w:val="en-US" w:eastAsia="zh-CN"/>
                    </w:rPr>
                  </w:pPr>
                  <w:r>
                    <w:rPr>
                      <w:rFonts w:hint="eastAsia"/>
                      <w:color w:val="auto"/>
                      <w:sz w:val="18"/>
                      <w:szCs w:val="18"/>
                      <w:vertAlign w:val="baseline"/>
                      <w:lang w:val="en-US" w:eastAsia="zh-CN"/>
                    </w:rPr>
                    <w:t>20</w:t>
                  </w:r>
                </w:p>
              </w:tc>
              <w:tc>
                <w:tcPr>
                  <w:tcW w:w="847" w:type="pct"/>
                  <w:noWrap w:val="0"/>
                  <w:vAlign w:val="center"/>
                </w:tcPr>
                <w:p w14:paraId="3F92DDCA">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断电开关</w:t>
                  </w:r>
                </w:p>
              </w:tc>
              <w:tc>
                <w:tcPr>
                  <w:tcW w:w="856" w:type="pct"/>
                  <w:noWrap w:val="0"/>
                  <w:vAlign w:val="center"/>
                </w:tcPr>
                <w:p w14:paraId="35BFEAE2">
                  <w:pPr>
                    <w:jc w:val="center"/>
                    <w:rPr>
                      <w:rFonts w:hint="eastAsia"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10</w:t>
                  </w:r>
                </w:p>
              </w:tc>
              <w:tc>
                <w:tcPr>
                  <w:tcW w:w="756" w:type="pct"/>
                  <w:noWrap w:val="0"/>
                  <w:vAlign w:val="center"/>
                </w:tcPr>
                <w:p w14:paraId="7B136294">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万个</w:t>
                  </w:r>
                  <w:r>
                    <w:rPr>
                      <w:rFonts w:hint="default" w:ascii="Times New Roman" w:hAnsi="Times New Roman" w:eastAsia="宋体" w:cs="Times New Roman"/>
                      <w:color w:val="auto"/>
                      <w:sz w:val="18"/>
                      <w:szCs w:val="18"/>
                      <w:vertAlign w:val="baseline"/>
                      <w:lang w:val="en-US" w:eastAsia="zh-CN"/>
                    </w:rPr>
                    <w:t>/a</w:t>
                  </w:r>
                </w:p>
              </w:tc>
              <w:tc>
                <w:tcPr>
                  <w:tcW w:w="748" w:type="pct"/>
                  <w:noWrap w:val="0"/>
                  <w:vAlign w:val="center"/>
                </w:tcPr>
                <w:p w14:paraId="0668F544">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w:t>
                  </w:r>
                </w:p>
              </w:tc>
              <w:tc>
                <w:tcPr>
                  <w:tcW w:w="721" w:type="pct"/>
                  <w:noWrap w:val="0"/>
                  <w:vAlign w:val="center"/>
                </w:tcPr>
                <w:p w14:paraId="5D0C31C0">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0.5</w:t>
                  </w:r>
                </w:p>
              </w:tc>
              <w:tc>
                <w:tcPr>
                  <w:tcW w:w="699" w:type="pct"/>
                  <w:noWrap w:val="0"/>
                  <w:vAlign w:val="center"/>
                </w:tcPr>
                <w:p w14:paraId="77A47CDC">
                  <w:pPr>
                    <w:jc w:val="center"/>
                    <w:rPr>
                      <w:rFonts w:hint="eastAsia"/>
                      <w:color w:val="auto"/>
                      <w:sz w:val="18"/>
                      <w:szCs w:val="18"/>
                      <w:vertAlign w:val="baseline"/>
                      <w:lang w:val="en-US" w:eastAsia="zh-CN"/>
                    </w:rPr>
                  </w:pPr>
                  <w:r>
                    <w:rPr>
                      <w:rFonts w:hint="eastAsia"/>
                      <w:color w:val="auto"/>
                      <w:sz w:val="18"/>
                      <w:szCs w:val="18"/>
                      <w:vertAlign w:val="baseline"/>
                      <w:lang w:val="en-US" w:eastAsia="zh-CN"/>
                    </w:rPr>
                    <w:t>外购</w:t>
                  </w:r>
                </w:p>
              </w:tc>
            </w:tr>
            <w:tr w14:paraId="2805F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9" w:type="pct"/>
                  <w:noWrap w:val="0"/>
                  <w:vAlign w:val="center"/>
                </w:tcPr>
                <w:p w14:paraId="5B6ECDFB">
                  <w:pPr>
                    <w:jc w:val="center"/>
                    <w:rPr>
                      <w:rFonts w:hint="default"/>
                      <w:color w:val="auto"/>
                      <w:sz w:val="18"/>
                      <w:szCs w:val="18"/>
                      <w:vertAlign w:val="baseline"/>
                      <w:lang w:val="en-US" w:eastAsia="zh-CN"/>
                    </w:rPr>
                  </w:pPr>
                  <w:r>
                    <w:rPr>
                      <w:rFonts w:hint="eastAsia"/>
                      <w:color w:val="auto"/>
                      <w:sz w:val="18"/>
                      <w:szCs w:val="18"/>
                      <w:vertAlign w:val="baseline"/>
                      <w:lang w:val="en-US" w:eastAsia="zh-CN"/>
                    </w:rPr>
                    <w:t>21</w:t>
                  </w:r>
                </w:p>
              </w:tc>
              <w:tc>
                <w:tcPr>
                  <w:tcW w:w="847" w:type="pct"/>
                  <w:noWrap w:val="0"/>
                  <w:vAlign w:val="center"/>
                </w:tcPr>
                <w:p w14:paraId="0BE6C6EA">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脚踏皮</w:t>
                  </w:r>
                </w:p>
              </w:tc>
              <w:tc>
                <w:tcPr>
                  <w:tcW w:w="856" w:type="pct"/>
                  <w:noWrap w:val="0"/>
                  <w:vAlign w:val="center"/>
                </w:tcPr>
                <w:p w14:paraId="2409DBE0">
                  <w:pPr>
                    <w:jc w:val="center"/>
                    <w:rPr>
                      <w:rFonts w:hint="eastAsia"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10</w:t>
                  </w:r>
                </w:p>
              </w:tc>
              <w:tc>
                <w:tcPr>
                  <w:tcW w:w="756" w:type="pct"/>
                  <w:noWrap w:val="0"/>
                  <w:vAlign w:val="center"/>
                </w:tcPr>
                <w:p w14:paraId="6163CC1E">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万张</w:t>
                  </w:r>
                  <w:r>
                    <w:rPr>
                      <w:rFonts w:hint="default" w:ascii="Times New Roman" w:hAnsi="Times New Roman" w:eastAsia="宋体" w:cs="Times New Roman"/>
                      <w:color w:val="auto"/>
                      <w:sz w:val="18"/>
                      <w:szCs w:val="18"/>
                      <w:vertAlign w:val="baseline"/>
                      <w:lang w:val="en-US" w:eastAsia="zh-CN"/>
                    </w:rPr>
                    <w:t>/a</w:t>
                  </w:r>
                </w:p>
              </w:tc>
              <w:tc>
                <w:tcPr>
                  <w:tcW w:w="748" w:type="pct"/>
                  <w:noWrap w:val="0"/>
                  <w:vAlign w:val="center"/>
                </w:tcPr>
                <w:p w14:paraId="3DD81BDE">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w:t>
                  </w:r>
                </w:p>
              </w:tc>
              <w:tc>
                <w:tcPr>
                  <w:tcW w:w="721" w:type="pct"/>
                  <w:noWrap w:val="0"/>
                  <w:vAlign w:val="center"/>
                </w:tcPr>
                <w:p w14:paraId="623AEF9E">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0.5</w:t>
                  </w:r>
                </w:p>
              </w:tc>
              <w:tc>
                <w:tcPr>
                  <w:tcW w:w="699" w:type="pct"/>
                  <w:noWrap w:val="0"/>
                  <w:vAlign w:val="center"/>
                </w:tcPr>
                <w:p w14:paraId="3514C603">
                  <w:pPr>
                    <w:jc w:val="center"/>
                    <w:rPr>
                      <w:rFonts w:hint="eastAsia"/>
                      <w:color w:val="auto"/>
                      <w:sz w:val="18"/>
                      <w:szCs w:val="18"/>
                      <w:vertAlign w:val="baseline"/>
                      <w:lang w:val="en-US" w:eastAsia="zh-CN"/>
                    </w:rPr>
                  </w:pPr>
                  <w:r>
                    <w:rPr>
                      <w:rFonts w:hint="eastAsia"/>
                      <w:color w:val="auto"/>
                      <w:sz w:val="18"/>
                      <w:szCs w:val="18"/>
                      <w:vertAlign w:val="baseline"/>
                      <w:lang w:val="en-US" w:eastAsia="zh-CN"/>
                    </w:rPr>
                    <w:t>外购</w:t>
                  </w:r>
                </w:p>
              </w:tc>
            </w:tr>
            <w:tr w14:paraId="79D38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9" w:type="pct"/>
                  <w:noWrap w:val="0"/>
                  <w:vAlign w:val="center"/>
                </w:tcPr>
                <w:p w14:paraId="192C1ECD">
                  <w:pPr>
                    <w:jc w:val="center"/>
                    <w:rPr>
                      <w:rFonts w:hint="default"/>
                      <w:color w:val="auto"/>
                      <w:sz w:val="18"/>
                      <w:szCs w:val="18"/>
                      <w:vertAlign w:val="baseline"/>
                      <w:lang w:val="en-US" w:eastAsia="zh-CN"/>
                    </w:rPr>
                  </w:pPr>
                  <w:r>
                    <w:rPr>
                      <w:rFonts w:hint="eastAsia"/>
                      <w:color w:val="auto"/>
                      <w:sz w:val="18"/>
                      <w:szCs w:val="18"/>
                      <w:vertAlign w:val="baseline"/>
                      <w:lang w:val="en-US" w:eastAsia="zh-CN"/>
                    </w:rPr>
                    <w:t>22</w:t>
                  </w:r>
                </w:p>
              </w:tc>
              <w:tc>
                <w:tcPr>
                  <w:tcW w:w="847" w:type="pct"/>
                  <w:noWrap w:val="0"/>
                  <w:vAlign w:val="center"/>
                </w:tcPr>
                <w:p w14:paraId="551E367A">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贴花</w:t>
                  </w:r>
                </w:p>
              </w:tc>
              <w:tc>
                <w:tcPr>
                  <w:tcW w:w="856" w:type="pct"/>
                  <w:noWrap w:val="0"/>
                  <w:vAlign w:val="center"/>
                </w:tcPr>
                <w:p w14:paraId="15117117">
                  <w:pPr>
                    <w:jc w:val="center"/>
                    <w:rPr>
                      <w:rFonts w:hint="eastAsia"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10</w:t>
                  </w:r>
                </w:p>
              </w:tc>
              <w:tc>
                <w:tcPr>
                  <w:tcW w:w="756" w:type="pct"/>
                  <w:noWrap w:val="0"/>
                  <w:vAlign w:val="center"/>
                </w:tcPr>
                <w:p w14:paraId="3A0AED85">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万张</w:t>
                  </w:r>
                  <w:r>
                    <w:rPr>
                      <w:rFonts w:hint="default" w:ascii="Times New Roman" w:hAnsi="Times New Roman" w:eastAsia="宋体" w:cs="Times New Roman"/>
                      <w:color w:val="auto"/>
                      <w:sz w:val="18"/>
                      <w:szCs w:val="18"/>
                      <w:vertAlign w:val="baseline"/>
                      <w:lang w:val="en-US" w:eastAsia="zh-CN"/>
                    </w:rPr>
                    <w:t>/a</w:t>
                  </w:r>
                </w:p>
              </w:tc>
              <w:tc>
                <w:tcPr>
                  <w:tcW w:w="748" w:type="pct"/>
                  <w:noWrap w:val="0"/>
                  <w:vAlign w:val="center"/>
                </w:tcPr>
                <w:p w14:paraId="0A930BD9">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w:t>
                  </w:r>
                </w:p>
              </w:tc>
              <w:tc>
                <w:tcPr>
                  <w:tcW w:w="721" w:type="pct"/>
                  <w:noWrap w:val="0"/>
                  <w:vAlign w:val="center"/>
                </w:tcPr>
                <w:p w14:paraId="7F5D08B3">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0.5</w:t>
                  </w:r>
                </w:p>
              </w:tc>
              <w:tc>
                <w:tcPr>
                  <w:tcW w:w="699" w:type="pct"/>
                  <w:noWrap w:val="0"/>
                  <w:vAlign w:val="center"/>
                </w:tcPr>
                <w:p w14:paraId="349D7B96">
                  <w:pPr>
                    <w:jc w:val="center"/>
                    <w:rPr>
                      <w:rFonts w:hint="eastAsia"/>
                      <w:color w:val="auto"/>
                      <w:sz w:val="18"/>
                      <w:szCs w:val="18"/>
                      <w:vertAlign w:val="baseline"/>
                      <w:lang w:val="en-US" w:eastAsia="zh-CN"/>
                    </w:rPr>
                  </w:pPr>
                  <w:r>
                    <w:rPr>
                      <w:rFonts w:hint="eastAsia"/>
                      <w:color w:val="auto"/>
                      <w:sz w:val="18"/>
                      <w:szCs w:val="18"/>
                      <w:vertAlign w:val="baseline"/>
                      <w:lang w:val="en-US" w:eastAsia="zh-CN"/>
                    </w:rPr>
                    <w:t>外购</w:t>
                  </w:r>
                </w:p>
              </w:tc>
            </w:tr>
            <w:tr w14:paraId="1F68C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9" w:type="pct"/>
                  <w:noWrap w:val="0"/>
                  <w:vAlign w:val="center"/>
                </w:tcPr>
                <w:p w14:paraId="0B7A11A3">
                  <w:pPr>
                    <w:jc w:val="center"/>
                    <w:rPr>
                      <w:rFonts w:hint="default"/>
                      <w:color w:val="auto"/>
                      <w:sz w:val="18"/>
                      <w:szCs w:val="18"/>
                      <w:vertAlign w:val="baseline"/>
                      <w:lang w:val="en-US" w:eastAsia="zh-CN"/>
                    </w:rPr>
                  </w:pPr>
                  <w:r>
                    <w:rPr>
                      <w:rFonts w:hint="eastAsia"/>
                      <w:color w:val="auto"/>
                      <w:sz w:val="18"/>
                      <w:szCs w:val="18"/>
                      <w:vertAlign w:val="baseline"/>
                      <w:lang w:val="en-US" w:eastAsia="zh-CN"/>
                    </w:rPr>
                    <w:t>23</w:t>
                  </w:r>
                </w:p>
              </w:tc>
              <w:tc>
                <w:tcPr>
                  <w:tcW w:w="847" w:type="pct"/>
                  <w:noWrap w:val="0"/>
                  <w:vAlign w:val="center"/>
                </w:tcPr>
                <w:p w14:paraId="43BF73CD">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尾灯</w:t>
                  </w:r>
                </w:p>
              </w:tc>
              <w:tc>
                <w:tcPr>
                  <w:tcW w:w="856" w:type="pct"/>
                  <w:noWrap w:val="0"/>
                  <w:vAlign w:val="center"/>
                </w:tcPr>
                <w:p w14:paraId="5CAA7BA2">
                  <w:pPr>
                    <w:jc w:val="center"/>
                    <w:rPr>
                      <w:rFonts w:hint="eastAsia"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10</w:t>
                  </w:r>
                </w:p>
              </w:tc>
              <w:tc>
                <w:tcPr>
                  <w:tcW w:w="756" w:type="pct"/>
                  <w:noWrap w:val="0"/>
                  <w:vAlign w:val="center"/>
                </w:tcPr>
                <w:p w14:paraId="2F16DD7B">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万付</w:t>
                  </w:r>
                  <w:r>
                    <w:rPr>
                      <w:rFonts w:hint="default" w:ascii="Times New Roman" w:hAnsi="Times New Roman" w:eastAsia="宋体" w:cs="Times New Roman"/>
                      <w:color w:val="auto"/>
                      <w:sz w:val="18"/>
                      <w:szCs w:val="18"/>
                      <w:vertAlign w:val="baseline"/>
                      <w:lang w:val="en-US" w:eastAsia="zh-CN"/>
                    </w:rPr>
                    <w:t>/a</w:t>
                  </w:r>
                </w:p>
              </w:tc>
              <w:tc>
                <w:tcPr>
                  <w:tcW w:w="748" w:type="pct"/>
                  <w:noWrap w:val="0"/>
                  <w:vAlign w:val="center"/>
                </w:tcPr>
                <w:p w14:paraId="300B6198">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w:t>
                  </w:r>
                </w:p>
              </w:tc>
              <w:tc>
                <w:tcPr>
                  <w:tcW w:w="721" w:type="pct"/>
                  <w:noWrap w:val="0"/>
                  <w:vAlign w:val="center"/>
                </w:tcPr>
                <w:p w14:paraId="2B25B215">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0.5</w:t>
                  </w:r>
                </w:p>
              </w:tc>
              <w:tc>
                <w:tcPr>
                  <w:tcW w:w="699" w:type="pct"/>
                  <w:noWrap w:val="0"/>
                  <w:vAlign w:val="center"/>
                </w:tcPr>
                <w:p w14:paraId="34A7C34F">
                  <w:pPr>
                    <w:jc w:val="center"/>
                    <w:rPr>
                      <w:rFonts w:hint="eastAsia"/>
                      <w:color w:val="auto"/>
                      <w:sz w:val="18"/>
                      <w:szCs w:val="18"/>
                      <w:vertAlign w:val="baseline"/>
                      <w:lang w:val="en-US" w:eastAsia="zh-CN"/>
                    </w:rPr>
                  </w:pPr>
                  <w:r>
                    <w:rPr>
                      <w:rFonts w:hint="eastAsia"/>
                      <w:color w:val="auto"/>
                      <w:sz w:val="18"/>
                      <w:szCs w:val="18"/>
                      <w:vertAlign w:val="baseline"/>
                      <w:lang w:val="en-US" w:eastAsia="zh-CN"/>
                    </w:rPr>
                    <w:t>外购</w:t>
                  </w:r>
                </w:p>
              </w:tc>
            </w:tr>
            <w:tr w14:paraId="7AC90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9" w:type="pct"/>
                  <w:noWrap w:val="0"/>
                  <w:vAlign w:val="center"/>
                </w:tcPr>
                <w:p w14:paraId="4D593ED6">
                  <w:pPr>
                    <w:jc w:val="center"/>
                    <w:rPr>
                      <w:rFonts w:hint="default"/>
                      <w:color w:val="auto"/>
                      <w:sz w:val="18"/>
                      <w:szCs w:val="18"/>
                      <w:vertAlign w:val="baseline"/>
                      <w:lang w:val="en-US" w:eastAsia="zh-CN"/>
                    </w:rPr>
                  </w:pPr>
                  <w:r>
                    <w:rPr>
                      <w:rFonts w:hint="eastAsia"/>
                      <w:color w:val="auto"/>
                      <w:sz w:val="18"/>
                      <w:szCs w:val="18"/>
                      <w:vertAlign w:val="baseline"/>
                      <w:lang w:val="en-US" w:eastAsia="zh-CN"/>
                    </w:rPr>
                    <w:t>24</w:t>
                  </w:r>
                </w:p>
              </w:tc>
              <w:tc>
                <w:tcPr>
                  <w:tcW w:w="847" w:type="pct"/>
                  <w:noWrap w:val="0"/>
                  <w:vAlign w:val="center"/>
                </w:tcPr>
                <w:p w14:paraId="5A3D3578">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坐板</w:t>
                  </w:r>
                </w:p>
              </w:tc>
              <w:tc>
                <w:tcPr>
                  <w:tcW w:w="856" w:type="pct"/>
                  <w:noWrap w:val="0"/>
                  <w:vAlign w:val="center"/>
                </w:tcPr>
                <w:p w14:paraId="15298BE4">
                  <w:pPr>
                    <w:jc w:val="center"/>
                    <w:rPr>
                      <w:rFonts w:hint="eastAsia"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10</w:t>
                  </w:r>
                </w:p>
              </w:tc>
              <w:tc>
                <w:tcPr>
                  <w:tcW w:w="756" w:type="pct"/>
                  <w:noWrap w:val="0"/>
                  <w:vAlign w:val="center"/>
                </w:tcPr>
                <w:p w14:paraId="5FCA7949">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万套</w:t>
                  </w:r>
                  <w:r>
                    <w:rPr>
                      <w:rFonts w:hint="default" w:ascii="Times New Roman" w:hAnsi="Times New Roman" w:eastAsia="宋体" w:cs="Times New Roman"/>
                      <w:color w:val="auto"/>
                      <w:sz w:val="18"/>
                      <w:szCs w:val="18"/>
                      <w:vertAlign w:val="baseline"/>
                      <w:lang w:val="en-US" w:eastAsia="zh-CN"/>
                    </w:rPr>
                    <w:t>/a</w:t>
                  </w:r>
                </w:p>
              </w:tc>
              <w:tc>
                <w:tcPr>
                  <w:tcW w:w="748" w:type="pct"/>
                  <w:noWrap w:val="0"/>
                  <w:vAlign w:val="center"/>
                </w:tcPr>
                <w:p w14:paraId="699073B4">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w:t>
                  </w:r>
                </w:p>
              </w:tc>
              <w:tc>
                <w:tcPr>
                  <w:tcW w:w="721" w:type="pct"/>
                  <w:noWrap w:val="0"/>
                  <w:vAlign w:val="center"/>
                </w:tcPr>
                <w:p w14:paraId="396CCFF6">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0.5</w:t>
                  </w:r>
                </w:p>
              </w:tc>
              <w:tc>
                <w:tcPr>
                  <w:tcW w:w="699" w:type="pct"/>
                  <w:noWrap w:val="0"/>
                  <w:vAlign w:val="center"/>
                </w:tcPr>
                <w:p w14:paraId="6AC77CA2">
                  <w:pPr>
                    <w:jc w:val="center"/>
                    <w:rPr>
                      <w:rFonts w:hint="eastAsia"/>
                      <w:color w:val="auto"/>
                      <w:sz w:val="18"/>
                      <w:szCs w:val="18"/>
                      <w:vertAlign w:val="baseline"/>
                      <w:lang w:val="en-US" w:eastAsia="zh-CN"/>
                    </w:rPr>
                  </w:pPr>
                  <w:r>
                    <w:rPr>
                      <w:rFonts w:hint="eastAsia"/>
                      <w:color w:val="auto"/>
                      <w:sz w:val="18"/>
                      <w:szCs w:val="18"/>
                      <w:vertAlign w:val="baseline"/>
                      <w:lang w:val="en-US" w:eastAsia="zh-CN"/>
                    </w:rPr>
                    <w:t>外购</w:t>
                  </w:r>
                </w:p>
              </w:tc>
            </w:tr>
            <w:tr w14:paraId="4EC87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9" w:type="pct"/>
                  <w:noWrap w:val="0"/>
                  <w:vAlign w:val="center"/>
                </w:tcPr>
                <w:p w14:paraId="7ACD2567">
                  <w:pPr>
                    <w:jc w:val="center"/>
                    <w:rPr>
                      <w:rFonts w:hint="default"/>
                      <w:color w:val="auto"/>
                      <w:sz w:val="18"/>
                      <w:szCs w:val="18"/>
                      <w:vertAlign w:val="baseline"/>
                      <w:lang w:val="en-US" w:eastAsia="zh-CN"/>
                    </w:rPr>
                  </w:pPr>
                  <w:r>
                    <w:rPr>
                      <w:rFonts w:hint="eastAsia"/>
                      <w:color w:val="auto"/>
                      <w:sz w:val="18"/>
                      <w:szCs w:val="18"/>
                      <w:vertAlign w:val="baseline"/>
                      <w:lang w:val="en-US" w:eastAsia="zh-CN"/>
                    </w:rPr>
                    <w:t>25</w:t>
                  </w:r>
                </w:p>
              </w:tc>
              <w:tc>
                <w:tcPr>
                  <w:tcW w:w="847" w:type="pct"/>
                  <w:noWrap w:val="0"/>
                  <w:vAlign w:val="center"/>
                </w:tcPr>
                <w:p w14:paraId="70BF0770">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断电弹簧</w:t>
                  </w:r>
                </w:p>
              </w:tc>
              <w:tc>
                <w:tcPr>
                  <w:tcW w:w="856" w:type="pct"/>
                  <w:noWrap w:val="0"/>
                  <w:vAlign w:val="center"/>
                </w:tcPr>
                <w:p w14:paraId="5D83AD36">
                  <w:pPr>
                    <w:jc w:val="center"/>
                    <w:rPr>
                      <w:rFonts w:hint="eastAsia"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10</w:t>
                  </w:r>
                </w:p>
              </w:tc>
              <w:tc>
                <w:tcPr>
                  <w:tcW w:w="756" w:type="pct"/>
                  <w:noWrap w:val="0"/>
                  <w:vAlign w:val="center"/>
                </w:tcPr>
                <w:p w14:paraId="29CD206D">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万个</w:t>
                  </w:r>
                  <w:r>
                    <w:rPr>
                      <w:rFonts w:hint="default" w:ascii="Times New Roman" w:hAnsi="Times New Roman" w:eastAsia="宋体" w:cs="Times New Roman"/>
                      <w:color w:val="auto"/>
                      <w:sz w:val="18"/>
                      <w:szCs w:val="18"/>
                      <w:vertAlign w:val="baseline"/>
                      <w:lang w:val="en-US" w:eastAsia="zh-CN"/>
                    </w:rPr>
                    <w:t>/a</w:t>
                  </w:r>
                </w:p>
              </w:tc>
              <w:tc>
                <w:tcPr>
                  <w:tcW w:w="748" w:type="pct"/>
                  <w:noWrap w:val="0"/>
                  <w:vAlign w:val="center"/>
                </w:tcPr>
                <w:p w14:paraId="0D509100">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w:t>
                  </w:r>
                </w:p>
              </w:tc>
              <w:tc>
                <w:tcPr>
                  <w:tcW w:w="721" w:type="pct"/>
                  <w:noWrap w:val="0"/>
                  <w:vAlign w:val="center"/>
                </w:tcPr>
                <w:p w14:paraId="5AA680D6">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0.5</w:t>
                  </w:r>
                </w:p>
              </w:tc>
              <w:tc>
                <w:tcPr>
                  <w:tcW w:w="699" w:type="pct"/>
                  <w:noWrap w:val="0"/>
                  <w:vAlign w:val="center"/>
                </w:tcPr>
                <w:p w14:paraId="77F69945">
                  <w:pPr>
                    <w:jc w:val="center"/>
                    <w:rPr>
                      <w:rFonts w:hint="eastAsia"/>
                      <w:color w:val="auto"/>
                      <w:sz w:val="18"/>
                      <w:szCs w:val="18"/>
                      <w:vertAlign w:val="baseline"/>
                      <w:lang w:val="en-US" w:eastAsia="zh-CN"/>
                    </w:rPr>
                  </w:pPr>
                  <w:r>
                    <w:rPr>
                      <w:rFonts w:hint="eastAsia"/>
                      <w:color w:val="auto"/>
                      <w:sz w:val="18"/>
                      <w:szCs w:val="18"/>
                      <w:vertAlign w:val="baseline"/>
                      <w:lang w:val="en-US" w:eastAsia="zh-CN"/>
                    </w:rPr>
                    <w:t>外购</w:t>
                  </w:r>
                </w:p>
              </w:tc>
            </w:tr>
            <w:tr w14:paraId="7A3E2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9" w:type="pct"/>
                  <w:noWrap w:val="0"/>
                  <w:vAlign w:val="center"/>
                </w:tcPr>
                <w:p w14:paraId="02D431E4">
                  <w:pPr>
                    <w:jc w:val="center"/>
                    <w:rPr>
                      <w:rFonts w:hint="default"/>
                      <w:color w:val="auto"/>
                      <w:sz w:val="18"/>
                      <w:szCs w:val="18"/>
                      <w:vertAlign w:val="baseline"/>
                      <w:lang w:val="en-US" w:eastAsia="zh-CN"/>
                    </w:rPr>
                  </w:pPr>
                  <w:r>
                    <w:rPr>
                      <w:rFonts w:hint="eastAsia"/>
                      <w:color w:val="auto"/>
                      <w:sz w:val="18"/>
                      <w:szCs w:val="18"/>
                      <w:vertAlign w:val="baseline"/>
                      <w:lang w:val="en-US" w:eastAsia="zh-CN"/>
                    </w:rPr>
                    <w:t>26</w:t>
                  </w:r>
                </w:p>
              </w:tc>
              <w:tc>
                <w:tcPr>
                  <w:tcW w:w="847" w:type="pct"/>
                  <w:noWrap w:val="0"/>
                  <w:vAlign w:val="center"/>
                </w:tcPr>
                <w:p w14:paraId="3087BF72">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液压撑杆</w:t>
                  </w:r>
                </w:p>
              </w:tc>
              <w:tc>
                <w:tcPr>
                  <w:tcW w:w="856" w:type="pct"/>
                  <w:noWrap w:val="0"/>
                  <w:vAlign w:val="center"/>
                </w:tcPr>
                <w:p w14:paraId="11406284">
                  <w:pPr>
                    <w:jc w:val="center"/>
                    <w:rPr>
                      <w:rFonts w:hint="eastAsia"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10</w:t>
                  </w:r>
                </w:p>
              </w:tc>
              <w:tc>
                <w:tcPr>
                  <w:tcW w:w="756" w:type="pct"/>
                  <w:noWrap w:val="0"/>
                  <w:vAlign w:val="center"/>
                </w:tcPr>
                <w:p w14:paraId="415D3FC8">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万根</w:t>
                  </w:r>
                  <w:r>
                    <w:rPr>
                      <w:rFonts w:hint="default" w:ascii="Times New Roman" w:hAnsi="Times New Roman" w:eastAsia="宋体" w:cs="Times New Roman"/>
                      <w:color w:val="auto"/>
                      <w:sz w:val="18"/>
                      <w:szCs w:val="18"/>
                      <w:vertAlign w:val="baseline"/>
                      <w:lang w:val="en-US" w:eastAsia="zh-CN"/>
                    </w:rPr>
                    <w:t>/a</w:t>
                  </w:r>
                </w:p>
              </w:tc>
              <w:tc>
                <w:tcPr>
                  <w:tcW w:w="748" w:type="pct"/>
                  <w:noWrap w:val="0"/>
                  <w:vAlign w:val="center"/>
                </w:tcPr>
                <w:p w14:paraId="43ACF920">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w:t>
                  </w:r>
                </w:p>
              </w:tc>
              <w:tc>
                <w:tcPr>
                  <w:tcW w:w="721" w:type="pct"/>
                  <w:noWrap w:val="0"/>
                  <w:vAlign w:val="center"/>
                </w:tcPr>
                <w:p w14:paraId="75EDD1A4">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0.5</w:t>
                  </w:r>
                </w:p>
              </w:tc>
              <w:tc>
                <w:tcPr>
                  <w:tcW w:w="699" w:type="pct"/>
                  <w:noWrap w:val="0"/>
                  <w:vAlign w:val="center"/>
                </w:tcPr>
                <w:p w14:paraId="6FE0A734">
                  <w:pPr>
                    <w:jc w:val="center"/>
                    <w:rPr>
                      <w:rFonts w:hint="eastAsia"/>
                      <w:color w:val="auto"/>
                      <w:sz w:val="18"/>
                      <w:szCs w:val="18"/>
                      <w:vertAlign w:val="baseline"/>
                      <w:lang w:val="en-US" w:eastAsia="zh-CN"/>
                    </w:rPr>
                  </w:pPr>
                  <w:r>
                    <w:rPr>
                      <w:rFonts w:hint="eastAsia"/>
                      <w:color w:val="auto"/>
                      <w:sz w:val="18"/>
                      <w:szCs w:val="18"/>
                      <w:vertAlign w:val="baseline"/>
                      <w:lang w:val="en-US" w:eastAsia="zh-CN"/>
                    </w:rPr>
                    <w:t>外购</w:t>
                  </w:r>
                </w:p>
              </w:tc>
            </w:tr>
            <w:tr w14:paraId="7B32C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9" w:type="pct"/>
                  <w:noWrap w:val="0"/>
                  <w:vAlign w:val="center"/>
                </w:tcPr>
                <w:p w14:paraId="7CA8F276">
                  <w:pPr>
                    <w:jc w:val="center"/>
                    <w:rPr>
                      <w:rFonts w:hint="default"/>
                      <w:color w:val="auto"/>
                      <w:sz w:val="18"/>
                      <w:szCs w:val="18"/>
                      <w:vertAlign w:val="baseline"/>
                      <w:lang w:val="en-US" w:eastAsia="zh-CN"/>
                    </w:rPr>
                  </w:pPr>
                  <w:r>
                    <w:rPr>
                      <w:rFonts w:hint="eastAsia"/>
                      <w:color w:val="auto"/>
                      <w:sz w:val="18"/>
                      <w:szCs w:val="18"/>
                      <w:vertAlign w:val="baseline"/>
                      <w:lang w:val="en-US" w:eastAsia="zh-CN"/>
                    </w:rPr>
                    <w:t>27</w:t>
                  </w:r>
                </w:p>
              </w:tc>
              <w:tc>
                <w:tcPr>
                  <w:tcW w:w="847" w:type="pct"/>
                  <w:noWrap w:val="0"/>
                  <w:vAlign w:val="center"/>
                </w:tcPr>
                <w:p w14:paraId="3FD5D66D">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测试电池</w:t>
                  </w:r>
                </w:p>
              </w:tc>
              <w:tc>
                <w:tcPr>
                  <w:tcW w:w="856" w:type="pct"/>
                  <w:noWrap w:val="0"/>
                  <w:vAlign w:val="center"/>
                </w:tcPr>
                <w:p w14:paraId="5A4DED5E">
                  <w:pPr>
                    <w:jc w:val="center"/>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2</w:t>
                  </w:r>
                </w:p>
              </w:tc>
              <w:tc>
                <w:tcPr>
                  <w:tcW w:w="756" w:type="pct"/>
                  <w:noWrap w:val="0"/>
                  <w:vAlign w:val="center"/>
                </w:tcPr>
                <w:p w14:paraId="6D3B5F0A">
                  <w:pPr>
                    <w:jc w:val="center"/>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组</w:t>
                  </w:r>
                </w:p>
              </w:tc>
              <w:tc>
                <w:tcPr>
                  <w:tcW w:w="748" w:type="pct"/>
                  <w:noWrap w:val="0"/>
                  <w:vAlign w:val="center"/>
                </w:tcPr>
                <w:p w14:paraId="56B079EE">
                  <w:pPr>
                    <w:jc w:val="center"/>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铅酸电池72V</w:t>
                  </w:r>
                </w:p>
              </w:tc>
              <w:tc>
                <w:tcPr>
                  <w:tcW w:w="721" w:type="pct"/>
                  <w:noWrap w:val="0"/>
                  <w:vAlign w:val="center"/>
                </w:tcPr>
                <w:p w14:paraId="63BF563F">
                  <w:pPr>
                    <w:jc w:val="center"/>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2</w:t>
                  </w:r>
                </w:p>
              </w:tc>
              <w:tc>
                <w:tcPr>
                  <w:tcW w:w="699" w:type="pct"/>
                  <w:noWrap w:val="0"/>
                  <w:vAlign w:val="center"/>
                </w:tcPr>
                <w:p w14:paraId="5E896461">
                  <w:pPr>
                    <w:jc w:val="center"/>
                    <w:rPr>
                      <w:rFonts w:hint="default"/>
                      <w:color w:val="auto"/>
                      <w:sz w:val="18"/>
                      <w:szCs w:val="18"/>
                      <w:vertAlign w:val="baseline"/>
                      <w:lang w:val="en-US" w:eastAsia="zh-CN"/>
                    </w:rPr>
                  </w:pPr>
                  <w:r>
                    <w:rPr>
                      <w:rFonts w:hint="eastAsia"/>
                      <w:color w:val="auto"/>
                      <w:sz w:val="18"/>
                      <w:szCs w:val="18"/>
                      <w:vertAlign w:val="baseline"/>
                      <w:lang w:val="en-US" w:eastAsia="zh-CN"/>
                    </w:rPr>
                    <w:t>外购</w:t>
                  </w:r>
                </w:p>
              </w:tc>
            </w:tr>
            <w:tr w14:paraId="18824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9" w:type="pct"/>
                  <w:noWrap w:val="0"/>
                  <w:vAlign w:val="center"/>
                </w:tcPr>
                <w:p w14:paraId="6D084ABC">
                  <w:pPr>
                    <w:jc w:val="center"/>
                    <w:rPr>
                      <w:rFonts w:hint="default"/>
                      <w:color w:val="auto"/>
                      <w:sz w:val="18"/>
                      <w:szCs w:val="18"/>
                      <w:vertAlign w:val="baseline"/>
                      <w:lang w:val="en-US" w:eastAsia="zh-CN"/>
                    </w:rPr>
                  </w:pPr>
                  <w:r>
                    <w:rPr>
                      <w:rFonts w:hint="eastAsia"/>
                      <w:color w:val="auto"/>
                      <w:sz w:val="18"/>
                      <w:szCs w:val="18"/>
                      <w:vertAlign w:val="baseline"/>
                      <w:lang w:val="en-US" w:eastAsia="zh-CN"/>
                    </w:rPr>
                    <w:t>28</w:t>
                  </w:r>
                </w:p>
              </w:tc>
              <w:tc>
                <w:tcPr>
                  <w:tcW w:w="847" w:type="pct"/>
                  <w:noWrap w:val="0"/>
                  <w:vAlign w:val="center"/>
                </w:tcPr>
                <w:p w14:paraId="52DA96B9">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维修机油</w:t>
                  </w:r>
                </w:p>
              </w:tc>
              <w:tc>
                <w:tcPr>
                  <w:tcW w:w="856" w:type="pct"/>
                  <w:noWrap w:val="0"/>
                  <w:vAlign w:val="center"/>
                </w:tcPr>
                <w:p w14:paraId="391E58FC">
                  <w:pPr>
                    <w:jc w:val="center"/>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10</w:t>
                  </w:r>
                </w:p>
              </w:tc>
              <w:tc>
                <w:tcPr>
                  <w:tcW w:w="756" w:type="pct"/>
                  <w:noWrap w:val="0"/>
                  <w:vAlign w:val="center"/>
                </w:tcPr>
                <w:p w14:paraId="685B9239">
                  <w:pPr>
                    <w:jc w:val="center"/>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kg</w:t>
                  </w:r>
                </w:p>
              </w:tc>
              <w:tc>
                <w:tcPr>
                  <w:tcW w:w="748" w:type="pct"/>
                  <w:noWrap w:val="0"/>
                  <w:vAlign w:val="center"/>
                </w:tcPr>
                <w:p w14:paraId="507BAE21">
                  <w:pPr>
                    <w:jc w:val="center"/>
                    <w:rPr>
                      <w:rFonts w:hint="default"/>
                      <w:color w:val="auto"/>
                      <w:sz w:val="18"/>
                      <w:szCs w:val="18"/>
                      <w:vertAlign w:val="baseline"/>
                      <w:lang w:val="en-US" w:eastAsia="zh-CN"/>
                    </w:rPr>
                  </w:pPr>
                  <w:r>
                    <w:rPr>
                      <w:rFonts w:hint="eastAsia"/>
                      <w:color w:val="auto"/>
                      <w:sz w:val="18"/>
                      <w:szCs w:val="18"/>
                      <w:vertAlign w:val="baseline"/>
                      <w:lang w:val="en-US" w:eastAsia="zh-CN"/>
                    </w:rPr>
                    <w:t>矿物油</w:t>
                  </w:r>
                </w:p>
              </w:tc>
              <w:tc>
                <w:tcPr>
                  <w:tcW w:w="721" w:type="pct"/>
                  <w:noWrap w:val="0"/>
                  <w:vAlign w:val="center"/>
                </w:tcPr>
                <w:p w14:paraId="4F03678C">
                  <w:pPr>
                    <w:jc w:val="center"/>
                    <w:rPr>
                      <w:rFonts w:hint="default"/>
                      <w:color w:val="auto"/>
                      <w:sz w:val="18"/>
                      <w:szCs w:val="18"/>
                      <w:vertAlign w:val="baseline"/>
                      <w:lang w:val="en-US" w:eastAsia="zh-CN"/>
                    </w:rPr>
                  </w:pPr>
                  <w:r>
                    <w:rPr>
                      <w:rFonts w:hint="eastAsia"/>
                      <w:color w:val="auto"/>
                      <w:sz w:val="18"/>
                      <w:szCs w:val="18"/>
                      <w:vertAlign w:val="baseline"/>
                      <w:lang w:val="en-US" w:eastAsia="zh-CN"/>
                    </w:rPr>
                    <w:t>即买即用</w:t>
                  </w:r>
                </w:p>
              </w:tc>
              <w:tc>
                <w:tcPr>
                  <w:tcW w:w="699" w:type="pct"/>
                  <w:noWrap w:val="0"/>
                  <w:vAlign w:val="center"/>
                </w:tcPr>
                <w:p w14:paraId="311803A4">
                  <w:pPr>
                    <w:jc w:val="center"/>
                    <w:rPr>
                      <w:rFonts w:hint="default"/>
                      <w:color w:val="auto"/>
                      <w:sz w:val="18"/>
                      <w:szCs w:val="18"/>
                      <w:vertAlign w:val="baseline"/>
                      <w:lang w:val="en-US" w:eastAsia="zh-CN"/>
                    </w:rPr>
                  </w:pPr>
                  <w:r>
                    <w:rPr>
                      <w:rFonts w:hint="eastAsia"/>
                      <w:color w:val="auto"/>
                      <w:sz w:val="18"/>
                      <w:szCs w:val="18"/>
                      <w:vertAlign w:val="baseline"/>
                      <w:lang w:val="en-US" w:eastAsia="zh-CN"/>
                    </w:rPr>
                    <w:t>外购</w:t>
                  </w:r>
                </w:p>
              </w:tc>
            </w:tr>
            <w:tr w14:paraId="66641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9" w:type="pct"/>
                  <w:vMerge w:val="restart"/>
                  <w:noWrap w:val="0"/>
                  <w:vAlign w:val="center"/>
                </w:tcPr>
                <w:p w14:paraId="2D43B372">
                  <w:pPr>
                    <w:jc w:val="center"/>
                    <w:rPr>
                      <w:rFonts w:hint="default"/>
                      <w:color w:val="auto"/>
                      <w:sz w:val="18"/>
                      <w:szCs w:val="18"/>
                      <w:vertAlign w:val="baseline"/>
                      <w:lang w:val="en-US" w:eastAsia="zh-CN"/>
                    </w:rPr>
                  </w:pPr>
                  <w:r>
                    <w:rPr>
                      <w:rFonts w:hint="eastAsia"/>
                      <w:color w:val="auto"/>
                      <w:sz w:val="18"/>
                      <w:szCs w:val="18"/>
                      <w:vertAlign w:val="baseline"/>
                      <w:lang w:val="en-US" w:eastAsia="zh-CN"/>
                    </w:rPr>
                    <w:t>能源</w:t>
                  </w:r>
                </w:p>
              </w:tc>
              <w:tc>
                <w:tcPr>
                  <w:tcW w:w="847" w:type="pct"/>
                  <w:noWrap w:val="0"/>
                  <w:vAlign w:val="center"/>
                </w:tcPr>
                <w:p w14:paraId="37BE8C15">
                  <w:pPr>
                    <w:jc w:val="center"/>
                    <w:rPr>
                      <w:rFonts w:hint="eastAsia"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电</w:t>
                  </w:r>
                </w:p>
              </w:tc>
              <w:tc>
                <w:tcPr>
                  <w:tcW w:w="856" w:type="pct"/>
                  <w:noWrap w:val="0"/>
                  <w:vAlign w:val="center"/>
                </w:tcPr>
                <w:p w14:paraId="630EF5F1">
                  <w:pPr>
                    <w:jc w:val="center"/>
                    <w:rPr>
                      <w:rFonts w:hint="default"/>
                      <w:color w:val="auto"/>
                      <w:sz w:val="18"/>
                      <w:szCs w:val="18"/>
                      <w:vertAlign w:val="baseline"/>
                      <w:lang w:val="en-US" w:eastAsia="zh-CN"/>
                    </w:rPr>
                  </w:pPr>
                  <w:r>
                    <w:rPr>
                      <w:rFonts w:hint="eastAsia"/>
                      <w:color w:val="auto"/>
                      <w:sz w:val="18"/>
                      <w:szCs w:val="18"/>
                      <w:vertAlign w:val="baseline"/>
                      <w:lang w:val="en-US" w:eastAsia="zh-CN"/>
                    </w:rPr>
                    <w:t>50万</w:t>
                  </w:r>
                </w:p>
              </w:tc>
              <w:tc>
                <w:tcPr>
                  <w:tcW w:w="756" w:type="pct"/>
                  <w:noWrap w:val="0"/>
                  <w:vAlign w:val="center"/>
                </w:tcPr>
                <w:p w14:paraId="498184C8">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kW·h/a</w:t>
                  </w:r>
                </w:p>
              </w:tc>
              <w:tc>
                <w:tcPr>
                  <w:tcW w:w="748" w:type="pct"/>
                  <w:vMerge w:val="restart"/>
                  <w:noWrap w:val="0"/>
                  <w:vAlign w:val="center"/>
                </w:tcPr>
                <w:p w14:paraId="45B99EB0">
                  <w:pPr>
                    <w:jc w:val="center"/>
                    <w:rPr>
                      <w:rFonts w:hint="default"/>
                      <w:color w:val="auto"/>
                      <w:sz w:val="18"/>
                      <w:szCs w:val="18"/>
                      <w:vertAlign w:val="baseline"/>
                      <w:lang w:val="en-US" w:eastAsia="zh-CN"/>
                    </w:rPr>
                  </w:pPr>
                  <w:r>
                    <w:rPr>
                      <w:rFonts w:hint="eastAsia"/>
                      <w:color w:val="auto"/>
                      <w:sz w:val="18"/>
                      <w:szCs w:val="18"/>
                      <w:vertAlign w:val="baseline"/>
                      <w:lang w:val="en-US" w:eastAsia="zh-CN"/>
                    </w:rPr>
                    <w:t>/</w:t>
                  </w:r>
                </w:p>
              </w:tc>
              <w:tc>
                <w:tcPr>
                  <w:tcW w:w="721" w:type="pct"/>
                  <w:vMerge w:val="restart"/>
                  <w:noWrap w:val="0"/>
                  <w:vAlign w:val="center"/>
                </w:tcPr>
                <w:p w14:paraId="3E738B65">
                  <w:pPr>
                    <w:jc w:val="center"/>
                    <w:rPr>
                      <w:rFonts w:hint="default"/>
                      <w:color w:val="auto"/>
                      <w:sz w:val="18"/>
                      <w:szCs w:val="18"/>
                      <w:vertAlign w:val="baseline"/>
                      <w:lang w:val="en-US" w:eastAsia="zh-CN"/>
                    </w:rPr>
                  </w:pPr>
                  <w:r>
                    <w:rPr>
                      <w:rFonts w:hint="eastAsia"/>
                      <w:color w:val="auto"/>
                      <w:sz w:val="18"/>
                      <w:szCs w:val="18"/>
                      <w:vertAlign w:val="baseline"/>
                      <w:lang w:val="en-US" w:eastAsia="zh-CN"/>
                    </w:rPr>
                    <w:t>/</w:t>
                  </w:r>
                </w:p>
              </w:tc>
              <w:tc>
                <w:tcPr>
                  <w:tcW w:w="699" w:type="pct"/>
                  <w:noWrap w:val="0"/>
                  <w:vAlign w:val="center"/>
                </w:tcPr>
                <w:p w14:paraId="15CA5361">
                  <w:pPr>
                    <w:jc w:val="center"/>
                    <w:rPr>
                      <w:rFonts w:hint="default"/>
                      <w:color w:val="auto"/>
                      <w:sz w:val="18"/>
                      <w:szCs w:val="18"/>
                      <w:vertAlign w:val="baseline"/>
                      <w:lang w:val="en-US" w:eastAsia="zh-CN"/>
                    </w:rPr>
                  </w:pPr>
                  <w:r>
                    <w:rPr>
                      <w:rFonts w:hint="eastAsia"/>
                      <w:color w:val="auto"/>
                      <w:sz w:val="18"/>
                      <w:szCs w:val="18"/>
                      <w:vertAlign w:val="baseline"/>
                      <w:lang w:val="en-US" w:eastAsia="zh-CN"/>
                    </w:rPr>
                    <w:t>市政供电</w:t>
                  </w:r>
                </w:p>
              </w:tc>
            </w:tr>
            <w:tr w14:paraId="26431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369" w:type="pct"/>
                  <w:vMerge w:val="continue"/>
                  <w:noWrap w:val="0"/>
                  <w:vAlign w:val="center"/>
                </w:tcPr>
                <w:p w14:paraId="6D555ECF">
                  <w:pPr>
                    <w:jc w:val="center"/>
                    <w:rPr>
                      <w:rFonts w:hint="eastAsia"/>
                      <w:color w:val="auto"/>
                      <w:sz w:val="18"/>
                      <w:szCs w:val="18"/>
                      <w:vertAlign w:val="baseline"/>
                      <w:lang w:val="en-US" w:eastAsia="zh-CN"/>
                    </w:rPr>
                  </w:pPr>
                </w:p>
              </w:tc>
              <w:tc>
                <w:tcPr>
                  <w:tcW w:w="847" w:type="pct"/>
                  <w:noWrap w:val="0"/>
                  <w:vAlign w:val="center"/>
                </w:tcPr>
                <w:p w14:paraId="7DA6515A">
                  <w:pPr>
                    <w:jc w:val="center"/>
                    <w:rPr>
                      <w:rFonts w:hint="eastAsia"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水</w:t>
                  </w:r>
                </w:p>
              </w:tc>
              <w:tc>
                <w:tcPr>
                  <w:tcW w:w="856" w:type="pct"/>
                  <w:noWrap w:val="0"/>
                  <w:vAlign w:val="center"/>
                </w:tcPr>
                <w:p w14:paraId="1D5A26FA">
                  <w:pPr>
                    <w:jc w:val="center"/>
                    <w:rPr>
                      <w:rFonts w:hint="default"/>
                      <w:color w:val="auto"/>
                      <w:sz w:val="18"/>
                      <w:szCs w:val="18"/>
                      <w:vertAlign w:val="baseline"/>
                      <w:lang w:val="en-US" w:eastAsia="zh-CN"/>
                    </w:rPr>
                  </w:pPr>
                  <w:r>
                    <w:rPr>
                      <w:rFonts w:hint="eastAsia"/>
                      <w:color w:val="auto"/>
                      <w:sz w:val="18"/>
                      <w:szCs w:val="18"/>
                      <w:vertAlign w:val="baseline"/>
                      <w:lang w:val="en-US" w:eastAsia="zh-CN"/>
                    </w:rPr>
                    <w:t>5520</w:t>
                  </w:r>
                </w:p>
              </w:tc>
              <w:tc>
                <w:tcPr>
                  <w:tcW w:w="756" w:type="pct"/>
                  <w:noWrap w:val="0"/>
                  <w:vAlign w:val="center"/>
                </w:tcPr>
                <w:p w14:paraId="53C6463D">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m</w:t>
                  </w:r>
                  <w:r>
                    <w:rPr>
                      <w:rFonts w:hint="default" w:ascii="Times New Roman" w:hAnsi="Times New Roman" w:eastAsia="宋体" w:cs="Times New Roman"/>
                      <w:color w:val="auto"/>
                      <w:sz w:val="18"/>
                      <w:szCs w:val="18"/>
                      <w:vertAlign w:val="superscript"/>
                    </w:rPr>
                    <w:t>3</w:t>
                  </w:r>
                  <w:r>
                    <w:rPr>
                      <w:rFonts w:hint="default" w:ascii="Times New Roman" w:hAnsi="Times New Roman" w:eastAsia="宋体" w:cs="Times New Roman"/>
                      <w:color w:val="auto"/>
                      <w:sz w:val="18"/>
                      <w:szCs w:val="18"/>
                    </w:rPr>
                    <w:t>/a</w:t>
                  </w:r>
                </w:p>
              </w:tc>
              <w:tc>
                <w:tcPr>
                  <w:tcW w:w="748" w:type="pct"/>
                  <w:vMerge w:val="continue"/>
                  <w:noWrap w:val="0"/>
                  <w:vAlign w:val="center"/>
                </w:tcPr>
                <w:p w14:paraId="20217EBD">
                  <w:pPr>
                    <w:jc w:val="center"/>
                    <w:rPr>
                      <w:rFonts w:hint="eastAsia"/>
                      <w:color w:val="auto"/>
                      <w:sz w:val="18"/>
                      <w:szCs w:val="18"/>
                      <w:vertAlign w:val="baseline"/>
                      <w:lang w:eastAsia="zh-CN"/>
                    </w:rPr>
                  </w:pPr>
                </w:p>
              </w:tc>
              <w:tc>
                <w:tcPr>
                  <w:tcW w:w="721" w:type="pct"/>
                  <w:vMerge w:val="continue"/>
                  <w:noWrap w:val="0"/>
                  <w:vAlign w:val="center"/>
                </w:tcPr>
                <w:p w14:paraId="44B1BFF9">
                  <w:pPr>
                    <w:jc w:val="center"/>
                    <w:rPr>
                      <w:rFonts w:hint="eastAsia"/>
                      <w:color w:val="auto"/>
                      <w:sz w:val="18"/>
                      <w:szCs w:val="18"/>
                      <w:vertAlign w:val="baseline"/>
                      <w:lang w:eastAsia="zh-CN"/>
                    </w:rPr>
                  </w:pPr>
                </w:p>
              </w:tc>
              <w:tc>
                <w:tcPr>
                  <w:tcW w:w="699" w:type="pct"/>
                  <w:noWrap w:val="0"/>
                  <w:vAlign w:val="center"/>
                </w:tcPr>
                <w:p w14:paraId="7F10D537">
                  <w:pPr>
                    <w:jc w:val="center"/>
                    <w:rPr>
                      <w:rFonts w:hint="default"/>
                      <w:color w:val="auto"/>
                      <w:sz w:val="18"/>
                      <w:szCs w:val="18"/>
                      <w:vertAlign w:val="baseline"/>
                      <w:lang w:val="en-US" w:eastAsia="zh-CN"/>
                    </w:rPr>
                  </w:pPr>
                  <w:r>
                    <w:rPr>
                      <w:rFonts w:hint="eastAsia"/>
                      <w:color w:val="auto"/>
                      <w:sz w:val="18"/>
                      <w:szCs w:val="18"/>
                      <w:vertAlign w:val="baseline"/>
                      <w:lang w:val="en-US" w:eastAsia="zh-CN"/>
                    </w:rPr>
                    <w:t>市政供水</w:t>
                  </w:r>
                </w:p>
              </w:tc>
            </w:tr>
          </w:tbl>
          <w:p w14:paraId="192E7128">
            <w:pPr>
              <w:pStyle w:val="19"/>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b/>
                <w:bCs/>
                <w:color w:val="auto"/>
                <w:kern w:val="2"/>
                <w:sz w:val="21"/>
                <w:szCs w:val="24"/>
                <w:lang w:val="en-US" w:eastAsia="zh-CN" w:bidi="ar-SA"/>
              </w:rPr>
            </w:pPr>
          </w:p>
          <w:p w14:paraId="53A9A698">
            <w:pPr>
              <w:spacing w:line="360" w:lineRule="auto"/>
              <w:ind w:firstLine="422" w:firstLineChars="200"/>
              <w:rPr>
                <w:rFonts w:hint="default" w:ascii="Times New Roman"/>
                <w:b/>
                <w:bCs/>
                <w:color w:val="auto"/>
                <w:kern w:val="2"/>
                <w:sz w:val="21"/>
                <w:szCs w:val="24"/>
                <w:lang w:val="en-US" w:eastAsia="zh-CN" w:bidi="ar-SA"/>
              </w:rPr>
            </w:pPr>
            <w:r>
              <w:rPr>
                <w:rFonts w:hint="eastAsia"/>
                <w:b/>
                <w:bCs/>
                <w:color w:val="auto"/>
                <w:kern w:val="2"/>
                <w:sz w:val="21"/>
                <w:szCs w:val="24"/>
                <w:lang w:val="en-US" w:eastAsia="zh-CN" w:bidi="ar-SA"/>
              </w:rPr>
              <w:t>主要原辅料介绍</w:t>
            </w:r>
          </w:p>
          <w:p w14:paraId="413375F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color w:val="auto"/>
                <w:lang w:val="en-US" w:eastAsia="zh-CN"/>
              </w:rPr>
            </w:pPr>
            <w:r>
              <w:rPr>
                <w:rFonts w:hint="eastAsia" w:cs="Times New Roman"/>
                <w:b w:val="0"/>
                <w:bCs w:val="0"/>
                <w:color w:val="auto"/>
                <w:lang w:val="en-US" w:eastAsia="zh-CN"/>
              </w:rPr>
              <w:t>维修机油：是用在各类型汽车、机械设备上以减少摩擦，保护机械及加工件的液体或半固体润滑剂，主要起润滑、辅助冷却、防锈、清洁、密封和缓冲等作用。一般由基础油和添加剂两部分组成。</w:t>
            </w:r>
          </w:p>
          <w:p w14:paraId="3C22E9E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default" w:cs="Times New Roman"/>
                <w:b w:val="0"/>
                <w:bCs w:val="0"/>
                <w:color w:val="auto"/>
                <w:lang w:val="en-US" w:eastAsia="zh-CN"/>
              </w:rPr>
            </w:pPr>
            <w:r>
              <w:rPr>
                <w:rFonts w:hint="eastAsia" w:cs="Times New Roman"/>
                <w:b w:val="0"/>
                <w:bCs w:val="0"/>
                <w:color w:val="auto"/>
                <w:lang w:val="en-US" w:eastAsia="zh-CN"/>
              </w:rPr>
              <w:t>铅酸电池：是一种电极主要由</w:t>
            </w:r>
            <w:r>
              <w:rPr>
                <w:rFonts w:hint="default" w:cs="Times New Roman"/>
                <w:b w:val="0"/>
                <w:bCs w:val="0"/>
                <w:color w:val="auto"/>
                <w:lang w:val="en-US" w:eastAsia="zh-CN"/>
              </w:rPr>
              <w:fldChar w:fldCharType="begin"/>
            </w:r>
            <w:r>
              <w:rPr>
                <w:rFonts w:hint="default" w:cs="Times New Roman"/>
                <w:b w:val="0"/>
                <w:bCs w:val="0"/>
                <w:color w:val="auto"/>
                <w:lang w:val="en-US" w:eastAsia="zh-CN"/>
              </w:rPr>
              <w:instrText xml:space="preserve"> HYPERLINK "https://baike.baidu.com/item/%E9%93%85/2141563?fromModule=lemma_inlink" \t "https://baike.baidu.com/item/%E9%93%85%E9%85%B8%E7%94%B5%E6%B1%A0/_blank" </w:instrText>
            </w:r>
            <w:r>
              <w:rPr>
                <w:rFonts w:hint="default" w:cs="Times New Roman"/>
                <w:b w:val="0"/>
                <w:bCs w:val="0"/>
                <w:color w:val="auto"/>
                <w:lang w:val="en-US" w:eastAsia="zh-CN"/>
              </w:rPr>
              <w:fldChar w:fldCharType="separate"/>
            </w:r>
            <w:r>
              <w:rPr>
                <w:rFonts w:hint="default" w:cs="Times New Roman"/>
                <w:b w:val="0"/>
                <w:bCs w:val="0"/>
                <w:color w:val="auto"/>
                <w:lang w:val="en-US" w:eastAsia="zh-CN"/>
              </w:rPr>
              <w:t>铅</w:t>
            </w:r>
            <w:r>
              <w:rPr>
                <w:rFonts w:hint="default" w:cs="Times New Roman"/>
                <w:b w:val="0"/>
                <w:bCs w:val="0"/>
                <w:color w:val="auto"/>
                <w:lang w:val="en-US" w:eastAsia="zh-CN"/>
              </w:rPr>
              <w:fldChar w:fldCharType="end"/>
            </w:r>
            <w:r>
              <w:rPr>
                <w:rFonts w:hint="default" w:cs="Times New Roman"/>
                <w:b w:val="0"/>
                <w:bCs w:val="0"/>
                <w:color w:val="auto"/>
                <w:lang w:val="en-US" w:eastAsia="zh-CN"/>
              </w:rPr>
              <w:t>及其氧化物制成，</w:t>
            </w:r>
            <w:r>
              <w:rPr>
                <w:rFonts w:hint="default" w:cs="Times New Roman"/>
                <w:b w:val="0"/>
                <w:bCs w:val="0"/>
                <w:color w:val="auto"/>
                <w:lang w:val="en-US" w:eastAsia="zh-CN"/>
              </w:rPr>
              <w:fldChar w:fldCharType="begin"/>
            </w:r>
            <w:r>
              <w:rPr>
                <w:rFonts w:hint="default" w:cs="Times New Roman"/>
                <w:b w:val="0"/>
                <w:bCs w:val="0"/>
                <w:color w:val="auto"/>
                <w:lang w:val="en-US" w:eastAsia="zh-CN"/>
              </w:rPr>
              <w:instrText xml:space="preserve"> HYPERLINK "https://baike.baidu.com/item/%E7%94%B5%E8%A7%A3%E6%B6%B2/10614261?fromModule=lemma_inlink" \t "https://baike.baidu.com/item/%E9%93%85%E9%85%B8%E7%94%B5%E6%B1%A0/_blank" </w:instrText>
            </w:r>
            <w:r>
              <w:rPr>
                <w:rFonts w:hint="default" w:cs="Times New Roman"/>
                <w:b w:val="0"/>
                <w:bCs w:val="0"/>
                <w:color w:val="auto"/>
                <w:lang w:val="en-US" w:eastAsia="zh-CN"/>
              </w:rPr>
              <w:fldChar w:fldCharType="separate"/>
            </w:r>
            <w:r>
              <w:rPr>
                <w:rFonts w:hint="default" w:cs="Times New Roman"/>
                <w:b w:val="0"/>
                <w:bCs w:val="0"/>
                <w:color w:val="auto"/>
                <w:lang w:val="en-US" w:eastAsia="zh-CN"/>
              </w:rPr>
              <w:t>电解液</w:t>
            </w:r>
            <w:r>
              <w:rPr>
                <w:rFonts w:hint="default" w:cs="Times New Roman"/>
                <w:b w:val="0"/>
                <w:bCs w:val="0"/>
                <w:color w:val="auto"/>
                <w:lang w:val="en-US" w:eastAsia="zh-CN"/>
              </w:rPr>
              <w:fldChar w:fldCharType="end"/>
            </w:r>
            <w:r>
              <w:rPr>
                <w:rFonts w:hint="default" w:cs="Times New Roman"/>
                <w:b w:val="0"/>
                <w:bCs w:val="0"/>
                <w:color w:val="auto"/>
                <w:lang w:val="en-US" w:eastAsia="zh-CN"/>
              </w:rPr>
              <w:t>是硫酸溶液的</w:t>
            </w:r>
            <w:r>
              <w:rPr>
                <w:rFonts w:hint="default" w:cs="Times New Roman"/>
                <w:b w:val="0"/>
                <w:bCs w:val="0"/>
                <w:color w:val="auto"/>
                <w:lang w:val="en-US" w:eastAsia="zh-CN"/>
              </w:rPr>
              <w:fldChar w:fldCharType="begin"/>
            </w:r>
            <w:r>
              <w:rPr>
                <w:rFonts w:hint="default" w:cs="Times New Roman"/>
                <w:b w:val="0"/>
                <w:bCs w:val="0"/>
                <w:color w:val="auto"/>
                <w:lang w:val="en-US" w:eastAsia="zh-CN"/>
              </w:rPr>
              <w:instrText xml:space="preserve"> HYPERLINK "https://baike.baidu.com/item/%E8%93%84%E7%94%B5%E6%B1%A0/990661?fromModule=lemma_inlink" \t "https://baike.baidu.com/item/%E9%93%85%E9%85%B8%E7%94%B5%E6%B1%A0/_blank" </w:instrText>
            </w:r>
            <w:r>
              <w:rPr>
                <w:rFonts w:hint="default" w:cs="Times New Roman"/>
                <w:b w:val="0"/>
                <w:bCs w:val="0"/>
                <w:color w:val="auto"/>
                <w:lang w:val="en-US" w:eastAsia="zh-CN"/>
              </w:rPr>
              <w:fldChar w:fldCharType="separate"/>
            </w:r>
            <w:r>
              <w:rPr>
                <w:rFonts w:hint="default" w:cs="Times New Roman"/>
                <w:b w:val="0"/>
                <w:bCs w:val="0"/>
                <w:color w:val="auto"/>
                <w:lang w:val="en-US" w:eastAsia="zh-CN"/>
              </w:rPr>
              <w:t>蓄电池</w:t>
            </w:r>
            <w:r>
              <w:rPr>
                <w:rFonts w:hint="default" w:cs="Times New Roman"/>
                <w:b w:val="0"/>
                <w:bCs w:val="0"/>
                <w:color w:val="auto"/>
                <w:lang w:val="en-US" w:eastAsia="zh-CN"/>
              </w:rPr>
              <w:fldChar w:fldCharType="end"/>
            </w:r>
            <w:r>
              <w:rPr>
                <w:rFonts w:hint="default" w:cs="Times New Roman"/>
                <w:b w:val="0"/>
                <w:bCs w:val="0"/>
                <w:color w:val="auto"/>
                <w:lang w:val="en-US" w:eastAsia="zh-CN"/>
              </w:rPr>
              <w:t>。铅酸电池放电状态下，</w:t>
            </w:r>
            <w:r>
              <w:rPr>
                <w:rFonts w:hint="default" w:cs="Times New Roman"/>
                <w:b w:val="0"/>
                <w:bCs w:val="0"/>
                <w:color w:val="auto"/>
                <w:lang w:val="en-US" w:eastAsia="zh-CN"/>
              </w:rPr>
              <w:fldChar w:fldCharType="begin"/>
            </w:r>
            <w:r>
              <w:rPr>
                <w:rFonts w:hint="default" w:cs="Times New Roman"/>
                <w:b w:val="0"/>
                <w:bCs w:val="0"/>
                <w:color w:val="auto"/>
                <w:lang w:val="en-US" w:eastAsia="zh-CN"/>
              </w:rPr>
              <w:instrText xml:space="preserve"> HYPERLINK "https://baike.baidu.com/item/%E6%AD%A3%E6%9E%81/6470250?fromModule=lemma_inlink" \t "https://baike.baidu.com/item/%E9%93%85%E9%85%B8%E7%94%B5%E6%B1%A0/_blank" </w:instrText>
            </w:r>
            <w:r>
              <w:rPr>
                <w:rFonts w:hint="default" w:cs="Times New Roman"/>
                <w:b w:val="0"/>
                <w:bCs w:val="0"/>
                <w:color w:val="auto"/>
                <w:lang w:val="en-US" w:eastAsia="zh-CN"/>
              </w:rPr>
              <w:fldChar w:fldCharType="separate"/>
            </w:r>
            <w:r>
              <w:rPr>
                <w:rFonts w:hint="default" w:cs="Times New Roman"/>
                <w:b w:val="0"/>
                <w:bCs w:val="0"/>
                <w:color w:val="auto"/>
                <w:lang w:val="en-US" w:eastAsia="zh-CN"/>
              </w:rPr>
              <w:t>正极</w:t>
            </w:r>
            <w:r>
              <w:rPr>
                <w:rFonts w:hint="default" w:cs="Times New Roman"/>
                <w:b w:val="0"/>
                <w:bCs w:val="0"/>
                <w:color w:val="auto"/>
                <w:lang w:val="en-US" w:eastAsia="zh-CN"/>
              </w:rPr>
              <w:fldChar w:fldCharType="end"/>
            </w:r>
            <w:r>
              <w:rPr>
                <w:rFonts w:hint="default" w:cs="Times New Roman"/>
                <w:b w:val="0"/>
                <w:bCs w:val="0"/>
                <w:color w:val="auto"/>
                <w:lang w:val="en-US" w:eastAsia="zh-CN"/>
              </w:rPr>
              <w:t>主要成分为</w:t>
            </w:r>
            <w:r>
              <w:rPr>
                <w:rFonts w:hint="default" w:cs="Times New Roman"/>
                <w:b w:val="0"/>
                <w:bCs w:val="0"/>
                <w:color w:val="auto"/>
                <w:lang w:val="en-US" w:eastAsia="zh-CN"/>
              </w:rPr>
              <w:fldChar w:fldCharType="begin"/>
            </w:r>
            <w:r>
              <w:rPr>
                <w:rFonts w:hint="default" w:cs="Times New Roman"/>
                <w:b w:val="0"/>
                <w:bCs w:val="0"/>
                <w:color w:val="auto"/>
                <w:lang w:val="en-US" w:eastAsia="zh-CN"/>
              </w:rPr>
              <w:instrText xml:space="preserve"> HYPERLINK "https://baike.baidu.com/item/%E4%BA%8C%E6%B0%A7%E5%8C%96%E9%93%85/10222801?fromModule=lemma_inlink" \t "https://baike.baidu.com/item/%E9%93%85%E9%85%B8%E7%94%B5%E6%B1%A0/_blank" </w:instrText>
            </w:r>
            <w:r>
              <w:rPr>
                <w:rFonts w:hint="default" w:cs="Times New Roman"/>
                <w:b w:val="0"/>
                <w:bCs w:val="0"/>
                <w:color w:val="auto"/>
                <w:lang w:val="en-US" w:eastAsia="zh-CN"/>
              </w:rPr>
              <w:fldChar w:fldCharType="separate"/>
            </w:r>
            <w:r>
              <w:rPr>
                <w:rFonts w:hint="default" w:cs="Times New Roman"/>
                <w:b w:val="0"/>
                <w:bCs w:val="0"/>
                <w:color w:val="auto"/>
                <w:lang w:val="en-US" w:eastAsia="zh-CN"/>
              </w:rPr>
              <w:t>二氧化铅</w:t>
            </w:r>
            <w:r>
              <w:rPr>
                <w:rFonts w:hint="default" w:cs="Times New Roman"/>
                <w:b w:val="0"/>
                <w:bCs w:val="0"/>
                <w:color w:val="auto"/>
                <w:lang w:val="en-US" w:eastAsia="zh-CN"/>
              </w:rPr>
              <w:fldChar w:fldCharType="end"/>
            </w:r>
            <w:r>
              <w:rPr>
                <w:rFonts w:hint="default" w:cs="Times New Roman"/>
                <w:b w:val="0"/>
                <w:bCs w:val="0"/>
                <w:color w:val="auto"/>
                <w:lang w:val="en-US" w:eastAsia="zh-CN"/>
              </w:rPr>
              <w:t>，</w:t>
            </w:r>
            <w:r>
              <w:rPr>
                <w:rFonts w:hint="default" w:cs="Times New Roman"/>
                <w:b w:val="0"/>
                <w:bCs w:val="0"/>
                <w:color w:val="auto"/>
                <w:lang w:val="en-US" w:eastAsia="zh-CN"/>
              </w:rPr>
              <w:fldChar w:fldCharType="begin"/>
            </w:r>
            <w:r>
              <w:rPr>
                <w:rFonts w:hint="default" w:cs="Times New Roman"/>
                <w:b w:val="0"/>
                <w:bCs w:val="0"/>
                <w:color w:val="auto"/>
                <w:lang w:val="en-US" w:eastAsia="zh-CN"/>
              </w:rPr>
              <w:instrText xml:space="preserve"> HYPERLINK "https://baike.baidu.com/item/%E8%B4%9F%E6%9E%81/3466351?fromModule=lemma_inlink" \t "https://baike.baidu.com/item/%E9%93%85%E9%85%B8%E7%94%B5%E6%B1%A0/_blank" </w:instrText>
            </w:r>
            <w:r>
              <w:rPr>
                <w:rFonts w:hint="default" w:cs="Times New Roman"/>
                <w:b w:val="0"/>
                <w:bCs w:val="0"/>
                <w:color w:val="auto"/>
                <w:lang w:val="en-US" w:eastAsia="zh-CN"/>
              </w:rPr>
              <w:fldChar w:fldCharType="separate"/>
            </w:r>
            <w:r>
              <w:rPr>
                <w:rFonts w:hint="default" w:cs="Times New Roman"/>
                <w:b w:val="0"/>
                <w:bCs w:val="0"/>
                <w:color w:val="auto"/>
                <w:lang w:val="en-US" w:eastAsia="zh-CN"/>
              </w:rPr>
              <w:t>负极</w:t>
            </w:r>
            <w:r>
              <w:rPr>
                <w:rFonts w:hint="default" w:cs="Times New Roman"/>
                <w:b w:val="0"/>
                <w:bCs w:val="0"/>
                <w:color w:val="auto"/>
                <w:lang w:val="en-US" w:eastAsia="zh-CN"/>
              </w:rPr>
              <w:fldChar w:fldCharType="end"/>
            </w:r>
            <w:r>
              <w:rPr>
                <w:rFonts w:hint="default" w:cs="Times New Roman"/>
                <w:b w:val="0"/>
                <w:bCs w:val="0"/>
                <w:color w:val="auto"/>
                <w:lang w:val="en-US" w:eastAsia="zh-CN"/>
              </w:rPr>
              <w:t>主要成分为铅；充电状态下，正负极的主要成分均为</w:t>
            </w:r>
            <w:r>
              <w:rPr>
                <w:rFonts w:hint="default" w:cs="Times New Roman"/>
                <w:b w:val="0"/>
                <w:bCs w:val="0"/>
                <w:color w:val="auto"/>
                <w:lang w:val="en-US" w:eastAsia="zh-CN"/>
              </w:rPr>
              <w:fldChar w:fldCharType="begin"/>
            </w:r>
            <w:r>
              <w:rPr>
                <w:rFonts w:hint="default" w:cs="Times New Roman"/>
                <w:b w:val="0"/>
                <w:bCs w:val="0"/>
                <w:color w:val="auto"/>
                <w:lang w:val="en-US" w:eastAsia="zh-CN"/>
              </w:rPr>
              <w:instrText xml:space="preserve"> HYPERLINK "https://baike.baidu.com/item/%E7%A1%AB%E9%85%B8%E9%93%85/2695216?fromModule=lemma_inlink" \t "https://baike.baidu.com/item/%E9%93%85%E9%85%B8%E7%94%B5%E6%B1%A0/_blank" </w:instrText>
            </w:r>
            <w:r>
              <w:rPr>
                <w:rFonts w:hint="default" w:cs="Times New Roman"/>
                <w:b w:val="0"/>
                <w:bCs w:val="0"/>
                <w:color w:val="auto"/>
                <w:lang w:val="en-US" w:eastAsia="zh-CN"/>
              </w:rPr>
              <w:fldChar w:fldCharType="separate"/>
            </w:r>
            <w:r>
              <w:rPr>
                <w:rFonts w:hint="default" w:cs="Times New Roman"/>
                <w:b w:val="0"/>
                <w:bCs w:val="0"/>
                <w:color w:val="auto"/>
                <w:lang w:val="en-US" w:eastAsia="zh-CN"/>
              </w:rPr>
              <w:t>硫酸铅</w:t>
            </w:r>
            <w:r>
              <w:rPr>
                <w:rFonts w:hint="default" w:cs="Times New Roman"/>
                <w:b w:val="0"/>
                <w:bCs w:val="0"/>
                <w:color w:val="auto"/>
                <w:lang w:val="en-US" w:eastAsia="zh-CN"/>
              </w:rPr>
              <w:fldChar w:fldCharType="end"/>
            </w:r>
            <w:r>
              <w:rPr>
                <w:rFonts w:hint="default" w:cs="Times New Roman"/>
                <w:b w:val="0"/>
                <w:bCs w:val="0"/>
                <w:color w:val="auto"/>
                <w:lang w:val="en-US" w:eastAsia="zh-CN"/>
              </w:rPr>
              <w:t>。</w:t>
            </w:r>
          </w:p>
          <w:p w14:paraId="54B1B39A">
            <w:pPr>
              <w:pStyle w:val="19"/>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b/>
                <w:bCs/>
                <w:color w:val="auto"/>
                <w:kern w:val="2"/>
                <w:sz w:val="21"/>
                <w:szCs w:val="24"/>
                <w:lang w:val="en-US" w:eastAsia="zh-CN" w:bidi="ar-SA"/>
              </w:rPr>
            </w:pPr>
            <w:r>
              <w:rPr>
                <w:rFonts w:hint="eastAsia" w:ascii="Times New Roman"/>
                <w:b/>
                <w:bCs/>
                <w:color w:val="auto"/>
                <w:kern w:val="2"/>
                <w:sz w:val="21"/>
                <w:szCs w:val="24"/>
                <w:lang w:val="en-US" w:eastAsia="zh-CN" w:bidi="ar-SA"/>
              </w:rPr>
              <w:t>7、主要设备</w:t>
            </w:r>
          </w:p>
          <w:p w14:paraId="1055938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auto"/>
                <w:kern w:val="2"/>
                <w:szCs w:val="24"/>
                <w:lang w:val="en-US" w:eastAsia="zh-CN" w:bidi="ar-SA"/>
              </w:rPr>
            </w:pPr>
            <w:r>
              <w:rPr>
                <w:color w:val="auto"/>
              </w:rPr>
              <w:t>本项目设备清单见下表：</w:t>
            </w:r>
          </w:p>
          <w:p w14:paraId="3D2E6519">
            <w:pPr>
              <w:snapToGrid w:val="0"/>
              <w:spacing w:before="120" w:beforeLines="50"/>
              <w:jc w:val="center"/>
              <w:rPr>
                <w:rFonts w:hint="eastAsia"/>
                <w:b/>
                <w:color w:val="auto"/>
                <w:sz w:val="21"/>
                <w:szCs w:val="21"/>
                <w:lang w:val="en-US" w:eastAsia="zh-CN"/>
              </w:rPr>
            </w:pPr>
            <w:r>
              <w:rPr>
                <w:rFonts w:hint="eastAsia"/>
                <w:b/>
                <w:color w:val="auto"/>
                <w:sz w:val="21"/>
                <w:szCs w:val="21"/>
                <w:lang w:val="en-US" w:eastAsia="zh-CN"/>
              </w:rPr>
              <w:t>表2-5 主要生产设备一览表</w:t>
            </w:r>
          </w:p>
          <w:tbl>
            <w:tblPr>
              <w:tblStyle w:val="30"/>
              <w:tblW w:w="4934" w:type="pct"/>
              <w:tblInd w:w="0" w:type="dxa"/>
              <w:tblLayout w:type="autofit"/>
              <w:tblCellMar>
                <w:top w:w="0" w:type="dxa"/>
                <w:left w:w="108" w:type="dxa"/>
                <w:bottom w:w="0" w:type="dxa"/>
                <w:right w:w="108" w:type="dxa"/>
              </w:tblCellMar>
            </w:tblPr>
            <w:tblGrid>
              <w:gridCol w:w="3226"/>
              <w:gridCol w:w="2445"/>
              <w:gridCol w:w="1393"/>
              <w:gridCol w:w="1244"/>
            </w:tblGrid>
            <w:tr w14:paraId="3A3B072C">
              <w:tblPrEx>
                <w:tblCellMar>
                  <w:top w:w="0" w:type="dxa"/>
                  <w:left w:w="108" w:type="dxa"/>
                  <w:bottom w:w="0" w:type="dxa"/>
                  <w:right w:w="108" w:type="dxa"/>
                </w:tblCellMar>
              </w:tblPrEx>
              <w:trPr>
                <w:trHeight w:val="285" w:hRule="atLeast"/>
              </w:trPr>
              <w:tc>
                <w:tcPr>
                  <w:tcW w:w="194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D1E94A">
                  <w:pPr>
                    <w:jc w:val="center"/>
                    <w:rPr>
                      <w:rFonts w:hint="eastAsia" w:ascii="Times New Roman" w:hAnsi="Times New Roman" w:eastAsia="宋体" w:cs="Times New Roman"/>
                      <w:color w:val="auto"/>
                      <w:sz w:val="18"/>
                      <w:szCs w:val="18"/>
                      <w:vertAlign w:val="baseline"/>
                      <w:lang w:eastAsia="zh-CN"/>
                    </w:rPr>
                  </w:pPr>
                  <w:r>
                    <w:rPr>
                      <w:rFonts w:hint="eastAsia" w:ascii="Times New Roman" w:hAnsi="Times New Roman" w:eastAsia="宋体" w:cs="Times New Roman"/>
                      <w:color w:val="auto"/>
                      <w:sz w:val="18"/>
                      <w:szCs w:val="18"/>
                      <w:vertAlign w:val="baseline"/>
                      <w:lang w:val="en-US" w:eastAsia="zh-CN"/>
                    </w:rPr>
                    <w:t>设备仪器名称</w:t>
                  </w:r>
                </w:p>
              </w:tc>
              <w:tc>
                <w:tcPr>
                  <w:tcW w:w="14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B8A38C">
                  <w:pPr>
                    <w:jc w:val="center"/>
                    <w:rPr>
                      <w:rFonts w:hint="eastAsia" w:ascii="Times New Roman" w:hAnsi="Times New Roman" w:eastAsia="宋体" w:cs="Times New Roman"/>
                      <w:color w:val="auto"/>
                      <w:sz w:val="18"/>
                      <w:szCs w:val="18"/>
                      <w:vertAlign w:val="baseline"/>
                      <w:lang w:eastAsia="zh-CN"/>
                    </w:rPr>
                  </w:pPr>
                  <w:r>
                    <w:rPr>
                      <w:rFonts w:hint="eastAsia" w:ascii="Times New Roman" w:hAnsi="Times New Roman" w:eastAsia="宋体" w:cs="Times New Roman"/>
                      <w:color w:val="auto"/>
                      <w:sz w:val="18"/>
                      <w:szCs w:val="18"/>
                      <w:vertAlign w:val="baseline"/>
                      <w:lang w:val="en-US" w:eastAsia="zh-CN"/>
                    </w:rPr>
                    <w:t>型号、品牌、规格</w:t>
                  </w:r>
                </w:p>
              </w:tc>
              <w:tc>
                <w:tcPr>
                  <w:tcW w:w="83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2C0ED8">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数量</w:t>
                  </w:r>
                </w:p>
                <w:p w14:paraId="692633FB">
                  <w:pPr>
                    <w:jc w:val="center"/>
                    <w:rPr>
                      <w:rFonts w:hint="eastAsia" w:ascii="Times New Roman" w:hAnsi="Times New Roman" w:eastAsia="宋体" w:cs="Times New Roman"/>
                      <w:color w:val="auto"/>
                      <w:sz w:val="18"/>
                      <w:szCs w:val="18"/>
                      <w:vertAlign w:val="baseline"/>
                      <w:lang w:eastAsia="zh-CN"/>
                    </w:rPr>
                  </w:pPr>
                  <w:r>
                    <w:rPr>
                      <w:rFonts w:hint="eastAsia" w:ascii="Times New Roman" w:hAnsi="Times New Roman" w:eastAsia="宋体" w:cs="Times New Roman"/>
                      <w:color w:val="auto"/>
                      <w:sz w:val="18"/>
                      <w:szCs w:val="18"/>
                      <w:vertAlign w:val="baseline"/>
                      <w:lang w:val="en-US" w:eastAsia="zh-CN"/>
                    </w:rPr>
                    <w:t>（台/套）</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2A369A">
                  <w:pPr>
                    <w:jc w:val="center"/>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备注</w:t>
                  </w:r>
                </w:p>
              </w:tc>
            </w:tr>
            <w:tr w14:paraId="70CB4035">
              <w:tblPrEx>
                <w:tblCellMar>
                  <w:top w:w="0" w:type="dxa"/>
                  <w:left w:w="108" w:type="dxa"/>
                  <w:bottom w:w="0" w:type="dxa"/>
                  <w:right w:w="108" w:type="dxa"/>
                </w:tblCellMar>
              </w:tblPrEx>
              <w:trPr>
                <w:trHeight w:val="285" w:hRule="atLeast"/>
              </w:trPr>
              <w:tc>
                <w:tcPr>
                  <w:tcW w:w="194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99A439">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空压机</w:t>
                  </w:r>
                </w:p>
              </w:tc>
              <w:tc>
                <w:tcPr>
                  <w:tcW w:w="14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DB54A3">
                  <w:pPr>
                    <w:jc w:val="center"/>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w:t>
                  </w:r>
                </w:p>
              </w:tc>
              <w:tc>
                <w:tcPr>
                  <w:tcW w:w="83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34B1E2">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2</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117E11">
                  <w:pPr>
                    <w:jc w:val="center"/>
                    <w:rPr>
                      <w:rFonts w:hint="eastAsia" w:ascii="Times New Roman" w:hAnsi="Times New Roman" w:eastAsia="宋体" w:cs="Times New Roman"/>
                      <w:color w:val="auto"/>
                      <w:sz w:val="18"/>
                      <w:szCs w:val="18"/>
                      <w:vertAlign w:val="baseline"/>
                      <w:lang w:val="en-US" w:eastAsia="zh-CN"/>
                    </w:rPr>
                  </w:pPr>
                </w:p>
              </w:tc>
            </w:tr>
            <w:tr w14:paraId="3199DA22">
              <w:tblPrEx>
                <w:tblCellMar>
                  <w:top w:w="0" w:type="dxa"/>
                  <w:left w:w="108" w:type="dxa"/>
                  <w:bottom w:w="0" w:type="dxa"/>
                  <w:right w:w="108" w:type="dxa"/>
                </w:tblCellMar>
              </w:tblPrEx>
              <w:trPr>
                <w:trHeight w:val="285" w:hRule="atLeast"/>
              </w:trPr>
              <w:tc>
                <w:tcPr>
                  <w:tcW w:w="194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FC64F8">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电葫芦</w:t>
                  </w:r>
                </w:p>
              </w:tc>
              <w:tc>
                <w:tcPr>
                  <w:tcW w:w="14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C0C136">
                  <w:pPr>
                    <w:jc w:val="center"/>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w:t>
                  </w:r>
                </w:p>
              </w:tc>
              <w:tc>
                <w:tcPr>
                  <w:tcW w:w="83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A625B5">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2</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C11A0D">
                  <w:pPr>
                    <w:jc w:val="center"/>
                    <w:rPr>
                      <w:rFonts w:hint="eastAsia" w:ascii="Times New Roman" w:hAnsi="Times New Roman" w:eastAsia="宋体" w:cs="Times New Roman"/>
                      <w:color w:val="auto"/>
                      <w:sz w:val="18"/>
                      <w:szCs w:val="18"/>
                      <w:vertAlign w:val="baseline"/>
                      <w:lang w:val="en-US" w:eastAsia="zh-CN"/>
                    </w:rPr>
                  </w:pPr>
                </w:p>
              </w:tc>
            </w:tr>
            <w:tr w14:paraId="426EC409">
              <w:tblPrEx>
                <w:tblCellMar>
                  <w:top w:w="0" w:type="dxa"/>
                  <w:left w:w="108" w:type="dxa"/>
                  <w:bottom w:w="0" w:type="dxa"/>
                  <w:right w:w="108" w:type="dxa"/>
                </w:tblCellMar>
              </w:tblPrEx>
              <w:trPr>
                <w:trHeight w:val="285" w:hRule="atLeast"/>
              </w:trPr>
              <w:tc>
                <w:tcPr>
                  <w:tcW w:w="194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BC8FD7">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质检台</w:t>
                  </w:r>
                </w:p>
              </w:tc>
              <w:tc>
                <w:tcPr>
                  <w:tcW w:w="14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D06A56">
                  <w:pPr>
                    <w:jc w:val="center"/>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w:t>
                  </w:r>
                </w:p>
              </w:tc>
              <w:tc>
                <w:tcPr>
                  <w:tcW w:w="83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BFA18F">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1</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FB8BD2">
                  <w:pPr>
                    <w:jc w:val="center"/>
                    <w:rPr>
                      <w:rFonts w:hint="eastAsia" w:ascii="Times New Roman" w:hAnsi="Times New Roman" w:eastAsia="宋体" w:cs="Times New Roman"/>
                      <w:color w:val="auto"/>
                      <w:sz w:val="18"/>
                      <w:szCs w:val="18"/>
                      <w:vertAlign w:val="baseline"/>
                      <w:lang w:val="en-US" w:eastAsia="zh-CN"/>
                    </w:rPr>
                  </w:pPr>
                </w:p>
              </w:tc>
            </w:tr>
            <w:tr w14:paraId="0ADE967C">
              <w:tblPrEx>
                <w:tblCellMar>
                  <w:top w:w="0" w:type="dxa"/>
                  <w:left w:w="108" w:type="dxa"/>
                  <w:bottom w:w="0" w:type="dxa"/>
                  <w:right w:w="108" w:type="dxa"/>
                </w:tblCellMar>
              </w:tblPrEx>
              <w:trPr>
                <w:trHeight w:val="285" w:hRule="atLeast"/>
              </w:trPr>
              <w:tc>
                <w:tcPr>
                  <w:tcW w:w="194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F5466E">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叉车</w:t>
                  </w:r>
                </w:p>
              </w:tc>
              <w:tc>
                <w:tcPr>
                  <w:tcW w:w="14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692F77">
                  <w:pPr>
                    <w:jc w:val="center"/>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w:t>
                  </w:r>
                </w:p>
              </w:tc>
              <w:tc>
                <w:tcPr>
                  <w:tcW w:w="83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39E6CB">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1</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30336D">
                  <w:pPr>
                    <w:jc w:val="center"/>
                    <w:rPr>
                      <w:rFonts w:hint="eastAsia" w:ascii="Times New Roman" w:hAnsi="Times New Roman" w:eastAsia="宋体" w:cs="Times New Roman"/>
                      <w:color w:val="auto"/>
                      <w:sz w:val="18"/>
                      <w:szCs w:val="18"/>
                      <w:vertAlign w:val="baseline"/>
                      <w:lang w:val="en-US" w:eastAsia="zh-CN"/>
                    </w:rPr>
                  </w:pPr>
                </w:p>
              </w:tc>
            </w:tr>
            <w:tr w14:paraId="6A7CDBEB">
              <w:tblPrEx>
                <w:tblCellMar>
                  <w:top w:w="0" w:type="dxa"/>
                  <w:left w:w="108" w:type="dxa"/>
                  <w:bottom w:w="0" w:type="dxa"/>
                  <w:right w:w="108" w:type="dxa"/>
                </w:tblCellMar>
              </w:tblPrEx>
              <w:trPr>
                <w:trHeight w:val="285" w:hRule="atLeast"/>
              </w:trPr>
              <w:tc>
                <w:tcPr>
                  <w:tcW w:w="194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941F0B">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行吊</w:t>
                  </w:r>
                </w:p>
              </w:tc>
              <w:tc>
                <w:tcPr>
                  <w:tcW w:w="14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5F7218">
                  <w:pPr>
                    <w:jc w:val="center"/>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w:t>
                  </w:r>
                </w:p>
              </w:tc>
              <w:tc>
                <w:tcPr>
                  <w:tcW w:w="83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84E1B5">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3</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707990">
                  <w:pPr>
                    <w:jc w:val="center"/>
                    <w:rPr>
                      <w:rFonts w:hint="eastAsia" w:ascii="Times New Roman" w:hAnsi="Times New Roman" w:eastAsia="宋体" w:cs="Times New Roman"/>
                      <w:color w:val="auto"/>
                      <w:sz w:val="18"/>
                      <w:szCs w:val="18"/>
                      <w:vertAlign w:val="baseline"/>
                      <w:lang w:val="en-US" w:eastAsia="zh-CN"/>
                    </w:rPr>
                  </w:pPr>
                </w:p>
              </w:tc>
            </w:tr>
            <w:tr w14:paraId="1038052F">
              <w:tblPrEx>
                <w:tblCellMar>
                  <w:top w:w="0" w:type="dxa"/>
                  <w:left w:w="108" w:type="dxa"/>
                  <w:bottom w:w="0" w:type="dxa"/>
                  <w:right w:w="108" w:type="dxa"/>
                </w:tblCellMar>
              </w:tblPrEx>
              <w:trPr>
                <w:trHeight w:val="285" w:hRule="atLeast"/>
              </w:trPr>
              <w:tc>
                <w:tcPr>
                  <w:tcW w:w="3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BE9571">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打标机</w:t>
                  </w:r>
                </w:p>
              </w:tc>
              <w:tc>
                <w:tcPr>
                  <w:tcW w:w="24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6B1CD7">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w:t>
                  </w:r>
                </w:p>
              </w:tc>
              <w:tc>
                <w:tcPr>
                  <w:tcW w:w="83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6913A5">
                  <w:pPr>
                    <w:jc w:val="center"/>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1</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0FE539">
                  <w:pPr>
                    <w:jc w:val="center"/>
                    <w:rPr>
                      <w:rFonts w:hint="eastAsia" w:ascii="Times New Roman" w:hAnsi="Times New Roman" w:eastAsia="宋体" w:cs="Times New Roman"/>
                      <w:color w:val="auto"/>
                      <w:sz w:val="18"/>
                      <w:szCs w:val="18"/>
                      <w:vertAlign w:val="baseline"/>
                      <w:lang w:val="en-US" w:eastAsia="zh-CN"/>
                    </w:rPr>
                  </w:pPr>
                </w:p>
              </w:tc>
            </w:tr>
            <w:tr w14:paraId="48C96372">
              <w:tblPrEx>
                <w:tblCellMar>
                  <w:top w:w="0" w:type="dxa"/>
                  <w:left w:w="108" w:type="dxa"/>
                  <w:bottom w:w="0" w:type="dxa"/>
                  <w:right w:w="108" w:type="dxa"/>
                </w:tblCellMar>
              </w:tblPrEx>
              <w:trPr>
                <w:trHeight w:val="285" w:hRule="atLeast"/>
              </w:trPr>
              <w:tc>
                <w:tcPr>
                  <w:tcW w:w="3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34430F">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激光刻印机</w:t>
                  </w:r>
                </w:p>
              </w:tc>
              <w:tc>
                <w:tcPr>
                  <w:tcW w:w="24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1776F2">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w:t>
                  </w:r>
                </w:p>
              </w:tc>
              <w:tc>
                <w:tcPr>
                  <w:tcW w:w="83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3B5907">
                  <w:pPr>
                    <w:jc w:val="center"/>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1</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E75B9B">
                  <w:pPr>
                    <w:jc w:val="center"/>
                    <w:rPr>
                      <w:rFonts w:hint="eastAsia" w:ascii="Times New Roman" w:hAnsi="Times New Roman" w:eastAsia="宋体" w:cs="Times New Roman"/>
                      <w:color w:val="auto"/>
                      <w:sz w:val="18"/>
                      <w:szCs w:val="18"/>
                      <w:vertAlign w:val="baseline"/>
                      <w:lang w:val="en-US" w:eastAsia="zh-CN"/>
                    </w:rPr>
                  </w:pPr>
                </w:p>
              </w:tc>
            </w:tr>
            <w:tr w14:paraId="2D5E30C7">
              <w:tblPrEx>
                <w:tblCellMar>
                  <w:top w:w="0" w:type="dxa"/>
                  <w:left w:w="108" w:type="dxa"/>
                  <w:bottom w:w="0" w:type="dxa"/>
                  <w:right w:w="108" w:type="dxa"/>
                </w:tblCellMar>
              </w:tblPrEx>
              <w:trPr>
                <w:trHeight w:val="285" w:hRule="atLeast"/>
              </w:trPr>
              <w:tc>
                <w:tcPr>
                  <w:tcW w:w="3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685D45">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打印机</w:t>
                  </w:r>
                </w:p>
              </w:tc>
              <w:tc>
                <w:tcPr>
                  <w:tcW w:w="24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08164D">
                  <w:pPr>
                    <w:jc w:val="center"/>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w:t>
                  </w:r>
                </w:p>
              </w:tc>
              <w:tc>
                <w:tcPr>
                  <w:tcW w:w="83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A486F2">
                  <w:pPr>
                    <w:jc w:val="center"/>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2</w:t>
                  </w:r>
                </w:p>
              </w:tc>
              <w:tc>
                <w:tcPr>
                  <w:tcW w:w="7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5FA1F5">
                  <w:pPr>
                    <w:jc w:val="center"/>
                    <w:rPr>
                      <w:rFonts w:hint="eastAsia" w:ascii="Times New Roman" w:hAnsi="Times New Roman" w:eastAsia="宋体" w:cs="Times New Roman"/>
                      <w:color w:val="auto"/>
                      <w:sz w:val="18"/>
                      <w:szCs w:val="18"/>
                      <w:vertAlign w:val="baseline"/>
                      <w:lang w:val="en-US" w:eastAsia="zh-CN"/>
                    </w:rPr>
                  </w:pPr>
                </w:p>
              </w:tc>
            </w:tr>
          </w:tbl>
          <w:p w14:paraId="7DDEEF10">
            <w:pPr>
              <w:pStyle w:val="19"/>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auto"/>
              <w:textAlignment w:val="auto"/>
              <w:rPr>
                <w:rFonts w:hint="eastAsia" w:ascii="Times New Roman"/>
                <w:b/>
                <w:bCs/>
                <w:color w:val="auto"/>
                <w:kern w:val="2"/>
                <w:sz w:val="21"/>
                <w:szCs w:val="24"/>
                <w:lang w:val="en-US" w:eastAsia="zh-CN" w:bidi="ar-SA"/>
              </w:rPr>
            </w:pPr>
            <w:r>
              <w:rPr>
                <w:rFonts w:hint="eastAsia" w:ascii="Times New Roman"/>
                <w:b/>
                <w:bCs/>
                <w:color w:val="auto"/>
                <w:kern w:val="2"/>
                <w:sz w:val="21"/>
                <w:szCs w:val="24"/>
                <w:lang w:val="en-US" w:eastAsia="zh-CN" w:bidi="ar-SA"/>
              </w:rPr>
              <w:t>8、劳动定员及工作制度</w:t>
            </w:r>
          </w:p>
          <w:p w14:paraId="565E338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hd w:val="clear" w:color="auto" w:fill="auto"/>
                <w:lang w:val="en-US" w:eastAsia="zh-CN"/>
              </w:rPr>
            </w:pPr>
            <w:r>
              <w:rPr>
                <w:rFonts w:hint="eastAsia" w:ascii="宋体" w:hAnsi="宋体" w:eastAsia="宋体" w:cs="宋体"/>
                <w:color w:val="auto"/>
                <w:shd w:val="clear" w:color="auto" w:fill="auto"/>
                <w:lang w:val="en-US" w:eastAsia="zh-CN"/>
              </w:rPr>
              <w:t>本项目职工人数为</w:t>
            </w:r>
            <w:r>
              <w:rPr>
                <w:rFonts w:hint="eastAsia" w:ascii="宋体" w:hAnsi="宋体" w:cs="宋体"/>
                <w:color w:val="auto"/>
                <w:shd w:val="clear" w:color="auto" w:fill="auto"/>
                <w:lang w:val="en-US" w:eastAsia="zh-CN"/>
              </w:rPr>
              <w:t>12</w:t>
            </w:r>
            <w:r>
              <w:rPr>
                <w:rFonts w:hint="eastAsia" w:ascii="宋体" w:hAnsi="宋体" w:eastAsia="宋体" w:cs="宋体"/>
                <w:color w:val="auto"/>
                <w:shd w:val="clear" w:color="auto" w:fill="auto"/>
                <w:lang w:val="en-US" w:eastAsia="zh-CN"/>
              </w:rPr>
              <w:t>0人，实行8小时工作制，年开工时间300天。</w:t>
            </w:r>
          </w:p>
          <w:p w14:paraId="76CC600E">
            <w:pPr>
              <w:pStyle w:val="19"/>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b/>
                <w:bCs/>
                <w:color w:val="auto"/>
                <w:kern w:val="2"/>
                <w:sz w:val="21"/>
                <w:szCs w:val="24"/>
                <w:lang w:val="en-US" w:eastAsia="zh-CN" w:bidi="ar-SA"/>
              </w:rPr>
            </w:pPr>
            <w:r>
              <w:rPr>
                <w:rFonts w:hint="eastAsia" w:ascii="Times New Roman"/>
                <w:b/>
                <w:bCs/>
                <w:color w:val="auto"/>
                <w:kern w:val="2"/>
                <w:sz w:val="21"/>
                <w:szCs w:val="24"/>
                <w:lang w:val="en-US" w:eastAsia="zh-CN" w:bidi="ar-SA"/>
              </w:rPr>
              <w:t>9、</w:t>
            </w:r>
            <w:r>
              <w:rPr>
                <w:rFonts w:hint="eastAsia" w:ascii="Times New Roman" w:hAnsi="Times New Roman" w:eastAsia="宋体" w:cs="Times New Roman"/>
                <w:b/>
                <w:bCs/>
                <w:color w:val="auto"/>
                <w:kern w:val="2"/>
                <w:sz w:val="21"/>
                <w:szCs w:val="24"/>
                <w:lang w:val="en-US" w:eastAsia="zh-CN" w:bidi="ar-SA"/>
              </w:rPr>
              <w:t>用水及动力供给</w:t>
            </w:r>
          </w:p>
          <w:p w14:paraId="1A360020">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w:t>
            </w:r>
            <w:r>
              <w:rPr>
                <w:rFonts w:hint="default" w:ascii="宋体" w:hAnsi="宋体" w:eastAsia="宋体" w:cs="宋体"/>
                <w:b/>
                <w:bCs/>
                <w:color w:val="auto"/>
                <w:sz w:val="21"/>
                <w:szCs w:val="21"/>
                <w:lang w:val="en-US" w:eastAsia="zh-CN"/>
              </w:rPr>
              <w:t>1</w:t>
            </w:r>
            <w:r>
              <w:rPr>
                <w:rFonts w:hint="eastAsia" w:ascii="宋体" w:hAnsi="宋体" w:eastAsia="宋体" w:cs="宋体"/>
                <w:b/>
                <w:bCs/>
                <w:color w:val="auto"/>
                <w:sz w:val="21"/>
                <w:szCs w:val="21"/>
                <w:lang w:val="en-US" w:eastAsia="zh-CN"/>
              </w:rPr>
              <w:t xml:space="preserve">）供电 </w:t>
            </w:r>
          </w:p>
          <w:p w14:paraId="62E3321B">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本项目所用电由国家电网提供。电力供给完全可以满足本项目的生产需要。 </w:t>
            </w:r>
          </w:p>
          <w:p w14:paraId="197B961B">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 xml:space="preserve">（2）供水 </w:t>
            </w:r>
          </w:p>
          <w:p w14:paraId="7FC69905">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根据业主提供资料，本项目主要工艺为组装工艺，生产方面无用水需求，本项目无生产废水产生。</w:t>
            </w:r>
            <w:r>
              <w:rPr>
                <w:b/>
                <w:bCs/>
                <w:i w:val="0"/>
                <w:iCs w:val="0"/>
                <w:color w:val="auto"/>
                <w:sz w:val="21"/>
                <w:szCs w:val="21"/>
                <w:u w:val="single"/>
              </w:rPr>
              <w:t>营运期生产车间内地坪日常清洁使用扫帚打扫，不进行冲洗</w:t>
            </w:r>
            <w:r>
              <w:rPr>
                <w:rFonts w:hint="eastAsia"/>
                <w:b/>
                <w:bCs/>
                <w:i w:val="0"/>
                <w:iCs w:val="0"/>
                <w:color w:val="auto"/>
                <w:sz w:val="21"/>
                <w:szCs w:val="21"/>
                <w:u w:val="single"/>
                <w:lang w:eastAsia="zh-CN"/>
              </w:rPr>
              <w:t>，</w:t>
            </w:r>
            <w:r>
              <w:rPr>
                <w:rFonts w:hint="eastAsia"/>
                <w:b/>
                <w:bCs/>
                <w:i w:val="0"/>
                <w:iCs w:val="0"/>
                <w:color w:val="auto"/>
                <w:sz w:val="21"/>
                <w:szCs w:val="21"/>
                <w:u w:val="single"/>
                <w:lang w:val="en-US" w:eastAsia="zh-CN"/>
              </w:rPr>
              <w:t>此外员工工作后洗手清洁废水产生量较小，含有少量油污，本次环评均按照办公生活废水进行评价。</w:t>
            </w:r>
            <w:r>
              <w:rPr>
                <w:rFonts w:hint="eastAsia" w:ascii="宋体" w:hAnsi="宋体" w:eastAsia="宋体" w:cs="宋体"/>
                <w:color w:val="auto"/>
                <w:sz w:val="21"/>
                <w:szCs w:val="21"/>
                <w:lang w:val="en-US" w:eastAsia="zh-CN"/>
              </w:rPr>
              <w:t>本项目用水主要为生活用水、绿化用水，用水由市政供水管网统一供给。</w:t>
            </w:r>
          </w:p>
          <w:p w14:paraId="5D2402D4">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①生活用水：本项目职工人数为</w:t>
            </w:r>
            <w:r>
              <w:rPr>
                <w:rFonts w:hint="eastAsia" w:ascii="宋体" w:hAnsi="宋体" w:cs="宋体"/>
                <w:color w:val="auto"/>
                <w:sz w:val="21"/>
                <w:szCs w:val="21"/>
                <w:lang w:val="en-US" w:eastAsia="zh-CN"/>
              </w:rPr>
              <w:t>12</w:t>
            </w:r>
            <w:r>
              <w:rPr>
                <w:rFonts w:hint="eastAsia" w:ascii="宋体" w:hAnsi="宋体" w:eastAsia="宋体" w:cs="宋体"/>
                <w:color w:val="auto"/>
                <w:sz w:val="21"/>
                <w:szCs w:val="21"/>
                <w:lang w:val="en-US" w:eastAsia="zh-CN"/>
              </w:rPr>
              <w:t>0人，项目不设置食堂和住宿。根据《建筑给水排水设计规范》（GB50015-2009）并结合《四川省地方标准用水定额》（2021版），本项目办公生活用水按照住宿50L/人·d计算，年工作日为300天，则本项目员工生活用水量约为</w:t>
            </w:r>
            <w:r>
              <w:rPr>
                <w:rFonts w:hint="eastAsia" w:ascii="宋体" w:hAnsi="宋体" w:cs="宋体"/>
                <w:color w:val="auto"/>
                <w:sz w:val="21"/>
                <w:szCs w:val="21"/>
                <w:lang w:val="en-US" w:eastAsia="zh-CN"/>
              </w:rPr>
              <w:t>6</w:t>
            </w:r>
            <w:r>
              <w:rPr>
                <w:rFonts w:hint="eastAsia" w:ascii="宋体" w:hAnsi="宋体" w:eastAsia="宋体" w:cs="宋体"/>
                <w:color w:val="auto"/>
                <w:sz w:val="21"/>
                <w:szCs w:val="21"/>
                <w:lang w:val="en-US" w:eastAsia="zh-CN"/>
              </w:rPr>
              <w:t>m</w:t>
            </w:r>
            <w:r>
              <w:rPr>
                <w:rFonts w:hint="eastAsia" w:ascii="宋体" w:hAnsi="宋体" w:eastAsia="宋体" w:cs="宋体"/>
                <w:color w:val="auto"/>
                <w:sz w:val="21"/>
                <w:szCs w:val="21"/>
                <w:vertAlign w:val="superscript"/>
                <w:lang w:val="en-US" w:eastAsia="zh-CN"/>
              </w:rPr>
              <w:t>3</w:t>
            </w:r>
            <w:r>
              <w:rPr>
                <w:rFonts w:hint="eastAsia" w:ascii="宋体" w:hAnsi="宋体" w:eastAsia="宋体" w:cs="宋体"/>
                <w:color w:val="auto"/>
                <w:sz w:val="21"/>
                <w:szCs w:val="21"/>
                <w:lang w:val="en-US" w:eastAsia="zh-CN"/>
              </w:rPr>
              <w:t>/d（</w:t>
            </w:r>
            <w:r>
              <w:rPr>
                <w:rFonts w:hint="eastAsia" w:ascii="宋体" w:hAnsi="宋体" w:cs="宋体"/>
                <w:color w:val="auto"/>
                <w:sz w:val="21"/>
                <w:szCs w:val="21"/>
                <w:lang w:val="en-US" w:eastAsia="zh-CN"/>
              </w:rPr>
              <w:t>1800</w:t>
            </w:r>
            <w:r>
              <w:rPr>
                <w:rFonts w:hint="eastAsia" w:ascii="宋体" w:hAnsi="宋体" w:eastAsia="宋体" w:cs="宋体"/>
                <w:color w:val="auto"/>
                <w:sz w:val="21"/>
                <w:szCs w:val="21"/>
                <w:lang w:val="en-US" w:eastAsia="zh-CN"/>
              </w:rPr>
              <w:t>m</w:t>
            </w:r>
            <w:r>
              <w:rPr>
                <w:rFonts w:hint="eastAsia" w:ascii="宋体" w:hAnsi="宋体" w:eastAsia="宋体" w:cs="宋体"/>
                <w:color w:val="auto"/>
                <w:sz w:val="21"/>
                <w:szCs w:val="21"/>
                <w:vertAlign w:val="superscript"/>
                <w:lang w:val="en-US" w:eastAsia="zh-CN"/>
              </w:rPr>
              <w:t>3</w:t>
            </w:r>
            <w:r>
              <w:rPr>
                <w:rFonts w:hint="eastAsia" w:ascii="宋体" w:hAnsi="宋体" w:eastAsia="宋体" w:cs="宋体"/>
                <w:color w:val="auto"/>
                <w:sz w:val="21"/>
                <w:szCs w:val="21"/>
                <w:lang w:val="en-US" w:eastAsia="zh-CN"/>
              </w:rPr>
              <w:t>/a）。生活污水按生活用水量的0.8计，最高日生活污水排放量约</w:t>
            </w:r>
            <w:r>
              <w:rPr>
                <w:rFonts w:hint="eastAsia" w:ascii="宋体" w:hAnsi="宋体" w:cs="宋体"/>
                <w:color w:val="auto"/>
                <w:sz w:val="21"/>
                <w:szCs w:val="21"/>
                <w:lang w:val="en-US" w:eastAsia="zh-CN"/>
              </w:rPr>
              <w:t>4.8</w:t>
            </w:r>
            <w:r>
              <w:rPr>
                <w:rFonts w:hint="eastAsia" w:ascii="宋体" w:hAnsi="宋体" w:eastAsia="宋体" w:cs="宋体"/>
                <w:color w:val="auto"/>
                <w:sz w:val="21"/>
                <w:szCs w:val="21"/>
                <w:lang w:val="en-US" w:eastAsia="zh-CN"/>
              </w:rPr>
              <w:t>m</w:t>
            </w:r>
            <w:r>
              <w:rPr>
                <w:rFonts w:hint="eastAsia" w:ascii="宋体" w:hAnsi="宋体" w:eastAsia="宋体" w:cs="宋体"/>
                <w:color w:val="auto"/>
                <w:sz w:val="21"/>
                <w:szCs w:val="21"/>
                <w:vertAlign w:val="superscript"/>
                <w:lang w:val="en-US" w:eastAsia="zh-CN"/>
              </w:rPr>
              <w:t>3</w:t>
            </w:r>
            <w:r>
              <w:rPr>
                <w:rFonts w:hint="eastAsia" w:ascii="宋体" w:hAnsi="宋体" w:eastAsia="宋体" w:cs="宋体"/>
                <w:color w:val="auto"/>
                <w:sz w:val="21"/>
                <w:szCs w:val="21"/>
                <w:lang w:val="en-US" w:eastAsia="zh-CN"/>
              </w:rPr>
              <w:t>/d，全年约</w:t>
            </w:r>
            <w:r>
              <w:rPr>
                <w:rFonts w:hint="eastAsia" w:ascii="宋体" w:hAnsi="宋体" w:cs="宋体"/>
                <w:color w:val="auto"/>
                <w:sz w:val="21"/>
                <w:szCs w:val="21"/>
                <w:lang w:val="en-US" w:eastAsia="zh-CN"/>
              </w:rPr>
              <w:t>1440</w:t>
            </w:r>
            <w:r>
              <w:rPr>
                <w:rFonts w:hint="eastAsia" w:ascii="宋体" w:hAnsi="宋体" w:eastAsia="宋体" w:cs="宋体"/>
                <w:color w:val="auto"/>
                <w:sz w:val="21"/>
                <w:szCs w:val="21"/>
                <w:lang w:val="en-US" w:eastAsia="zh-CN"/>
              </w:rPr>
              <w:t>m</w:t>
            </w:r>
            <w:r>
              <w:rPr>
                <w:rFonts w:hint="eastAsia" w:ascii="宋体" w:hAnsi="宋体" w:eastAsia="宋体" w:cs="宋体"/>
                <w:color w:val="auto"/>
                <w:sz w:val="21"/>
                <w:szCs w:val="21"/>
                <w:vertAlign w:val="superscript"/>
                <w:lang w:val="en-US" w:eastAsia="zh-CN"/>
              </w:rPr>
              <w:t>3</w:t>
            </w:r>
            <w:r>
              <w:rPr>
                <w:rFonts w:hint="eastAsia" w:ascii="宋体" w:hAnsi="宋体" w:eastAsia="宋体" w:cs="宋体"/>
                <w:color w:val="auto"/>
                <w:sz w:val="21"/>
                <w:szCs w:val="21"/>
                <w:lang w:val="en-US" w:eastAsia="zh-CN"/>
              </w:rPr>
              <w:t xml:space="preserve">/a。供水由市政管网供水，可以满足本项目生产生活用水的需求。 </w:t>
            </w:r>
          </w:p>
          <w:p w14:paraId="461F8FE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宋体" w:hAnsi="宋体" w:eastAsia="宋体" w:cs="宋体"/>
                <w:color w:val="auto"/>
                <w:sz w:val="21"/>
                <w:szCs w:val="21"/>
                <w:lang w:val="en-US" w:eastAsia="zh-CN"/>
              </w:rPr>
            </w:pPr>
            <w:r>
              <w:rPr>
                <w:rFonts w:hint="eastAsia"/>
                <w:color w:val="auto"/>
                <w:kern w:val="0"/>
                <w:lang w:val="en-US" w:eastAsia="zh-CN"/>
              </w:rPr>
              <w:t>②</w:t>
            </w:r>
            <w:r>
              <w:rPr>
                <w:rFonts w:hint="eastAsia"/>
                <w:color w:val="auto"/>
                <w:kern w:val="0"/>
              </w:rPr>
              <w:t>绿化用水：本项目绿</w:t>
            </w:r>
            <w:r>
              <w:rPr>
                <w:rFonts w:hint="eastAsia"/>
                <w:color w:val="auto"/>
                <w:kern w:val="0"/>
                <w:lang w:val="en-US" w:eastAsia="zh-CN"/>
              </w:rPr>
              <w:t>化</w:t>
            </w:r>
            <w:r>
              <w:rPr>
                <w:rFonts w:hint="eastAsia"/>
                <w:color w:val="auto"/>
                <w:kern w:val="0"/>
              </w:rPr>
              <w:t>面积</w:t>
            </w:r>
            <w:r>
              <w:rPr>
                <w:rFonts w:hint="eastAsia"/>
                <w:color w:val="auto"/>
                <w:kern w:val="0"/>
                <w:lang w:val="en-US" w:eastAsia="zh-CN"/>
              </w:rPr>
              <w:t>约为</w:t>
            </w:r>
            <w:r>
              <w:rPr>
                <w:rFonts w:hint="eastAsia" w:cs="Times New Roman"/>
                <w:color w:val="auto"/>
                <w:kern w:val="0"/>
                <w:lang w:val="en-US" w:eastAsia="zh-CN"/>
              </w:rPr>
              <w:t>3800</w:t>
            </w:r>
            <w:r>
              <w:rPr>
                <w:rFonts w:hint="eastAsia"/>
                <w:color w:val="auto"/>
                <w:kern w:val="0"/>
              </w:rPr>
              <w:t>m</w:t>
            </w:r>
            <w:r>
              <w:rPr>
                <w:rFonts w:hint="eastAsia"/>
                <w:color w:val="auto"/>
                <w:kern w:val="0"/>
                <w:vertAlign w:val="superscript"/>
              </w:rPr>
              <w:t>2</w:t>
            </w:r>
            <w:r>
              <w:rPr>
                <w:rFonts w:hint="eastAsia"/>
                <w:color w:val="auto"/>
                <w:kern w:val="0"/>
              </w:rPr>
              <w:t>，绿化用水量按2L/m</w:t>
            </w:r>
            <w:r>
              <w:rPr>
                <w:rFonts w:hint="eastAsia"/>
                <w:color w:val="auto"/>
                <w:kern w:val="0"/>
                <w:vertAlign w:val="superscript"/>
              </w:rPr>
              <w:t>2</w:t>
            </w:r>
            <w:r>
              <w:rPr>
                <w:rFonts w:hint="eastAsia"/>
                <w:color w:val="auto"/>
                <w:kern w:val="0"/>
              </w:rPr>
              <w:t>·d计，绿化用水量</w:t>
            </w:r>
            <w:r>
              <w:rPr>
                <w:rFonts w:hint="eastAsia"/>
                <w:color w:val="auto"/>
                <w:kern w:val="0"/>
                <w:lang w:val="en-US" w:eastAsia="zh-CN"/>
              </w:rPr>
              <w:t>约</w:t>
            </w:r>
            <w:r>
              <w:rPr>
                <w:rFonts w:hint="eastAsia"/>
                <w:color w:val="auto"/>
                <w:kern w:val="0"/>
              </w:rPr>
              <w:t>为</w:t>
            </w:r>
            <w:r>
              <w:rPr>
                <w:rFonts w:hint="eastAsia"/>
                <w:color w:val="auto"/>
                <w:kern w:val="0"/>
                <w:lang w:val="en-US" w:eastAsia="zh-CN"/>
              </w:rPr>
              <w:t>7.6</w:t>
            </w:r>
            <w:r>
              <w:rPr>
                <w:color w:val="auto"/>
                <w:kern w:val="0"/>
              </w:rPr>
              <w:t>m</w:t>
            </w:r>
            <w:r>
              <w:rPr>
                <w:color w:val="auto"/>
                <w:kern w:val="0"/>
                <w:vertAlign w:val="superscript"/>
              </w:rPr>
              <w:t>3</w:t>
            </w:r>
            <w:r>
              <w:rPr>
                <w:rFonts w:hint="eastAsia"/>
                <w:color w:val="auto"/>
                <w:kern w:val="0"/>
              </w:rPr>
              <w:t>/d，绿化期按</w:t>
            </w:r>
            <w:r>
              <w:rPr>
                <w:rFonts w:hint="eastAsia"/>
                <w:color w:val="auto"/>
                <w:kern w:val="0"/>
                <w:lang w:val="en-US" w:eastAsia="zh-CN"/>
              </w:rPr>
              <w:t>150</w:t>
            </w:r>
            <w:r>
              <w:rPr>
                <w:rFonts w:hint="eastAsia"/>
                <w:color w:val="auto"/>
                <w:kern w:val="0"/>
              </w:rPr>
              <w:t>天计，则年总绿化用水量为</w:t>
            </w:r>
            <w:r>
              <w:rPr>
                <w:rFonts w:hint="eastAsia"/>
                <w:color w:val="auto"/>
                <w:kern w:val="0"/>
                <w:lang w:val="en-US" w:eastAsia="zh-CN"/>
              </w:rPr>
              <w:t>1140</w:t>
            </w:r>
            <w:r>
              <w:rPr>
                <w:rFonts w:hint="eastAsia"/>
                <w:color w:val="auto"/>
                <w:kern w:val="0"/>
              </w:rPr>
              <w:t>m</w:t>
            </w:r>
            <w:r>
              <w:rPr>
                <w:rFonts w:hint="eastAsia"/>
                <w:color w:val="auto"/>
                <w:kern w:val="0"/>
                <w:vertAlign w:val="superscript"/>
              </w:rPr>
              <w:t>3</w:t>
            </w:r>
            <w:r>
              <w:rPr>
                <w:rFonts w:hint="eastAsia"/>
                <w:color w:val="auto"/>
                <w:kern w:val="0"/>
              </w:rPr>
              <w:t>/a。</w:t>
            </w:r>
          </w:p>
          <w:p w14:paraId="03BA6ECB">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（3）排水</w:t>
            </w:r>
          </w:p>
          <w:p w14:paraId="1F167590">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项目实行雨污分流制，雨水收集排入雨水管网统一进入市政雨水管网。</w:t>
            </w:r>
          </w:p>
          <w:p w14:paraId="57D3919F">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rPr>
            </w:pPr>
            <w:r>
              <w:rPr>
                <w:rFonts w:hint="eastAsia"/>
                <w:color w:val="auto"/>
                <w:kern w:val="0"/>
                <w:szCs w:val="21"/>
              </w:rPr>
              <w:t>项目绿化用水全部蒸发损耗，不外排</w:t>
            </w:r>
            <w:r>
              <w:rPr>
                <w:rFonts w:hint="eastAsia"/>
                <w:color w:val="auto"/>
                <w:kern w:val="0"/>
                <w:szCs w:val="21"/>
                <w:lang w:eastAsia="zh-CN"/>
              </w:rPr>
              <w:t>；</w:t>
            </w:r>
            <w:r>
              <w:rPr>
                <w:rFonts w:hint="eastAsia" w:ascii="宋体" w:hAnsi="宋体" w:cs="宋体"/>
                <w:color w:val="auto"/>
                <w:sz w:val="21"/>
                <w:szCs w:val="21"/>
                <w:lang w:val="en-US" w:eastAsia="zh-CN"/>
              </w:rPr>
              <w:t>外排废水主要为</w:t>
            </w:r>
            <w:r>
              <w:rPr>
                <w:rFonts w:hint="eastAsia" w:ascii="宋体" w:hAnsi="宋体" w:eastAsia="宋体" w:cs="宋体"/>
                <w:color w:val="auto"/>
                <w:sz w:val="21"/>
                <w:szCs w:val="21"/>
                <w:lang w:val="en-US" w:eastAsia="zh-CN"/>
              </w:rPr>
              <w:t>生活污水，外排废水约为</w:t>
            </w:r>
            <w:r>
              <w:rPr>
                <w:rFonts w:hint="eastAsia" w:ascii="宋体" w:hAnsi="宋体" w:cs="宋体"/>
                <w:color w:val="auto"/>
                <w:sz w:val="21"/>
                <w:szCs w:val="21"/>
                <w:lang w:val="en-US" w:eastAsia="zh-CN"/>
              </w:rPr>
              <w:t>4.8</w:t>
            </w:r>
            <w:r>
              <w:rPr>
                <w:rFonts w:hint="eastAsia" w:ascii="宋体" w:hAnsi="宋体" w:eastAsia="宋体" w:cs="宋体"/>
                <w:color w:val="auto"/>
                <w:sz w:val="21"/>
                <w:szCs w:val="21"/>
                <w:lang w:val="en-US" w:eastAsia="zh-CN"/>
              </w:rPr>
              <w:t>m</w:t>
            </w:r>
            <w:r>
              <w:rPr>
                <w:rFonts w:hint="eastAsia" w:ascii="宋体" w:hAnsi="宋体" w:eastAsia="宋体" w:cs="宋体"/>
                <w:color w:val="auto"/>
                <w:sz w:val="21"/>
                <w:szCs w:val="21"/>
                <w:vertAlign w:val="superscript"/>
                <w:lang w:val="en-US" w:eastAsia="zh-CN"/>
              </w:rPr>
              <w:t>3</w:t>
            </w:r>
            <w:r>
              <w:rPr>
                <w:rFonts w:hint="eastAsia" w:ascii="宋体" w:hAnsi="宋体" w:eastAsia="宋体" w:cs="宋体"/>
                <w:color w:val="auto"/>
                <w:sz w:val="21"/>
                <w:szCs w:val="21"/>
                <w:lang w:val="en-US" w:eastAsia="zh-CN"/>
              </w:rPr>
              <w:t>/d。项目生活污水经厂区化粪池</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1</w:t>
            </w:r>
            <w:r>
              <w:rPr>
                <w:rFonts w:hint="eastAsia" w:ascii="宋体" w:hAnsi="宋体" w:cs="宋体"/>
                <w:color w:val="auto"/>
                <w:sz w:val="21"/>
                <w:szCs w:val="21"/>
                <w:lang w:val="en-US" w:eastAsia="zh-CN"/>
              </w:rPr>
              <w:t>0</w:t>
            </w:r>
            <w:r>
              <w:rPr>
                <w:rFonts w:hint="eastAsia" w:ascii="宋体" w:hAnsi="宋体" w:eastAsia="宋体" w:cs="宋体"/>
                <w:color w:val="auto"/>
                <w:sz w:val="21"/>
                <w:szCs w:val="21"/>
                <w:lang w:val="en-US" w:eastAsia="zh-CN"/>
              </w:rPr>
              <w:t>m</w:t>
            </w:r>
            <w:r>
              <w:rPr>
                <w:rFonts w:hint="eastAsia" w:ascii="宋体" w:hAnsi="宋体" w:eastAsia="宋体" w:cs="宋体"/>
                <w:color w:val="auto"/>
                <w:sz w:val="21"/>
                <w:szCs w:val="21"/>
                <w:vertAlign w:val="superscript"/>
                <w:lang w:val="en-US" w:eastAsia="zh-CN"/>
              </w:rPr>
              <w:t>3</w:t>
            </w:r>
            <w:r>
              <w:rPr>
                <w:rFonts w:hint="eastAsia" w:ascii="宋体" w:hAnsi="宋体" w:eastAsia="宋体" w:cs="宋体"/>
                <w:color w:val="auto"/>
                <w:sz w:val="21"/>
                <w:szCs w:val="21"/>
                <w:lang w:val="en-US" w:eastAsia="zh-CN"/>
              </w:rPr>
              <w:t>）处理达到</w:t>
            </w:r>
            <w:r>
              <w:rPr>
                <w:rFonts w:hint="eastAsia" w:ascii="宋体" w:hAnsi="宋体" w:eastAsia="宋体" w:cs="宋体"/>
                <w:b w:val="0"/>
                <w:bCs/>
                <w:color w:val="auto"/>
                <w:sz w:val="21"/>
                <w:szCs w:val="21"/>
              </w:rPr>
              <w:t>《污水综合排放标准》（GB8978-1996）中三级排放标准</w:t>
            </w:r>
            <w:r>
              <w:rPr>
                <w:rFonts w:hint="eastAsia" w:ascii="宋体" w:hAnsi="宋体" w:eastAsia="宋体" w:cs="宋体"/>
                <w:color w:val="auto"/>
                <w:sz w:val="21"/>
                <w:szCs w:val="21"/>
                <w:lang w:val="en-US" w:eastAsia="zh-CN"/>
              </w:rPr>
              <w:t xml:space="preserve">后，由厂区排口排入园区污水管网龙眼井污水处理厂处理，达标后排入琼江。 </w:t>
            </w:r>
          </w:p>
          <w:p w14:paraId="6A7FDB65">
            <w:pPr>
              <w:snapToGrid w:val="0"/>
              <w:spacing w:before="120" w:beforeLines="50"/>
              <w:jc w:val="center"/>
              <w:rPr>
                <w:b/>
                <w:color w:val="auto"/>
                <w:sz w:val="21"/>
                <w:szCs w:val="21"/>
              </w:rPr>
            </w:pPr>
            <w:r>
              <w:rPr>
                <w:b/>
                <w:color w:val="auto"/>
                <w:sz w:val="21"/>
                <w:szCs w:val="21"/>
              </w:rPr>
              <w:t>表</w:t>
            </w:r>
            <w:r>
              <w:rPr>
                <w:rFonts w:hint="eastAsia"/>
                <w:b/>
                <w:color w:val="auto"/>
                <w:sz w:val="21"/>
                <w:szCs w:val="21"/>
                <w:lang w:val="en-US" w:eastAsia="zh-CN"/>
              </w:rPr>
              <w:t>2-6</w:t>
            </w:r>
            <w:r>
              <w:rPr>
                <w:b/>
                <w:color w:val="auto"/>
                <w:sz w:val="21"/>
                <w:szCs w:val="21"/>
              </w:rPr>
              <w:tab/>
            </w:r>
            <w:r>
              <w:rPr>
                <w:b/>
                <w:color w:val="auto"/>
                <w:sz w:val="21"/>
                <w:szCs w:val="21"/>
              </w:rPr>
              <w:t>本项目用水量及排放情况</w:t>
            </w:r>
          </w:p>
          <w:tbl>
            <w:tblPr>
              <w:tblStyle w:val="3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94"/>
              <w:gridCol w:w="1710"/>
              <w:gridCol w:w="1196"/>
              <w:gridCol w:w="1102"/>
              <w:gridCol w:w="1144"/>
              <w:gridCol w:w="984"/>
              <w:gridCol w:w="1142"/>
              <w:gridCol w:w="732"/>
            </w:tblGrid>
            <w:tr w14:paraId="205BC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1" w:hRule="atLeast"/>
                <w:jc w:val="center"/>
              </w:trPr>
              <w:tc>
                <w:tcPr>
                  <w:tcW w:w="235" w:type="pct"/>
                  <w:noWrap w:val="0"/>
                  <w:vAlign w:val="center"/>
                </w:tcPr>
                <w:p w14:paraId="745E5702">
                  <w:pPr>
                    <w:widowControl/>
                    <w:jc w:val="center"/>
                    <w:rPr>
                      <w:rFonts w:hint="default" w:ascii="宋体" w:hAnsi="宋体" w:eastAsia="宋体" w:cs="宋体"/>
                      <w:b/>
                      <w:bCs/>
                      <w:color w:val="auto"/>
                      <w:kern w:val="0"/>
                      <w:sz w:val="18"/>
                      <w:szCs w:val="18"/>
                      <w:lang w:val="en-US" w:eastAsia="zh-CN"/>
                    </w:rPr>
                  </w:pPr>
                  <w:r>
                    <w:rPr>
                      <w:rFonts w:hint="default" w:ascii="宋体" w:hAnsi="宋体" w:eastAsia="宋体" w:cs="宋体"/>
                      <w:b/>
                      <w:bCs/>
                      <w:color w:val="auto"/>
                      <w:kern w:val="0"/>
                      <w:sz w:val="18"/>
                      <w:szCs w:val="18"/>
                      <w:lang w:val="en-US" w:eastAsia="zh-CN"/>
                    </w:rPr>
                    <w:t>序号</w:t>
                  </w:r>
                </w:p>
              </w:tc>
              <w:tc>
                <w:tcPr>
                  <w:tcW w:w="1017" w:type="pct"/>
                  <w:noWrap w:val="0"/>
                  <w:vAlign w:val="center"/>
                </w:tcPr>
                <w:p w14:paraId="0BB3B1CC">
                  <w:pPr>
                    <w:widowControl/>
                    <w:jc w:val="center"/>
                    <w:rPr>
                      <w:rFonts w:hint="default" w:ascii="宋体" w:hAnsi="宋体" w:eastAsia="宋体" w:cs="宋体"/>
                      <w:b/>
                      <w:bCs/>
                      <w:color w:val="auto"/>
                      <w:kern w:val="0"/>
                      <w:sz w:val="18"/>
                      <w:szCs w:val="18"/>
                      <w:lang w:val="en-US" w:eastAsia="zh-CN"/>
                    </w:rPr>
                  </w:pPr>
                  <w:r>
                    <w:rPr>
                      <w:rFonts w:hint="default" w:ascii="宋体" w:hAnsi="宋体" w:eastAsia="宋体" w:cs="宋体"/>
                      <w:b/>
                      <w:bCs/>
                      <w:color w:val="auto"/>
                      <w:kern w:val="0"/>
                      <w:sz w:val="18"/>
                      <w:szCs w:val="18"/>
                      <w:lang w:val="en-US" w:eastAsia="zh-CN"/>
                    </w:rPr>
                    <w:t>项目</w:t>
                  </w:r>
                </w:p>
              </w:tc>
              <w:tc>
                <w:tcPr>
                  <w:tcW w:w="711" w:type="pct"/>
                  <w:noWrap w:val="0"/>
                  <w:vAlign w:val="center"/>
                </w:tcPr>
                <w:p w14:paraId="19882F60">
                  <w:pPr>
                    <w:widowControl/>
                    <w:jc w:val="center"/>
                    <w:rPr>
                      <w:rFonts w:hint="default" w:ascii="宋体" w:hAnsi="宋体" w:eastAsia="宋体" w:cs="宋体"/>
                      <w:b/>
                      <w:bCs/>
                      <w:color w:val="auto"/>
                      <w:kern w:val="0"/>
                      <w:sz w:val="18"/>
                      <w:szCs w:val="18"/>
                      <w:lang w:val="en-US" w:eastAsia="zh-CN"/>
                    </w:rPr>
                  </w:pPr>
                  <w:r>
                    <w:rPr>
                      <w:rFonts w:hint="default" w:ascii="宋体" w:hAnsi="宋体" w:eastAsia="宋体" w:cs="宋体"/>
                      <w:b/>
                      <w:bCs/>
                      <w:color w:val="auto"/>
                      <w:kern w:val="0"/>
                      <w:sz w:val="18"/>
                      <w:szCs w:val="18"/>
                      <w:lang w:val="en-US" w:eastAsia="zh-CN"/>
                    </w:rPr>
                    <w:t>规模</w:t>
                  </w:r>
                </w:p>
              </w:tc>
              <w:tc>
                <w:tcPr>
                  <w:tcW w:w="654" w:type="pct"/>
                  <w:noWrap w:val="0"/>
                  <w:vAlign w:val="center"/>
                </w:tcPr>
                <w:p w14:paraId="594538CD">
                  <w:pPr>
                    <w:widowControl/>
                    <w:jc w:val="center"/>
                    <w:rPr>
                      <w:rFonts w:hint="default" w:ascii="宋体" w:hAnsi="宋体" w:eastAsia="宋体" w:cs="宋体"/>
                      <w:b/>
                      <w:bCs/>
                      <w:color w:val="auto"/>
                      <w:kern w:val="0"/>
                      <w:sz w:val="18"/>
                      <w:szCs w:val="18"/>
                      <w:lang w:val="en-US" w:eastAsia="zh-CN"/>
                    </w:rPr>
                  </w:pPr>
                  <w:r>
                    <w:rPr>
                      <w:rFonts w:hint="default" w:ascii="宋体" w:hAnsi="宋体" w:eastAsia="宋体" w:cs="宋体"/>
                      <w:b/>
                      <w:bCs/>
                      <w:color w:val="auto"/>
                      <w:kern w:val="0"/>
                      <w:sz w:val="18"/>
                      <w:szCs w:val="18"/>
                      <w:lang w:val="en-US" w:eastAsia="zh-CN"/>
                    </w:rPr>
                    <w:t>用水定额</w:t>
                  </w:r>
                </w:p>
              </w:tc>
              <w:tc>
                <w:tcPr>
                  <w:tcW w:w="680" w:type="pct"/>
                  <w:noWrap w:val="0"/>
                  <w:vAlign w:val="center"/>
                </w:tcPr>
                <w:p w14:paraId="09A803A4">
                  <w:pPr>
                    <w:widowControl/>
                    <w:jc w:val="center"/>
                    <w:rPr>
                      <w:rFonts w:hint="default" w:ascii="宋体" w:hAnsi="宋体" w:eastAsia="宋体" w:cs="宋体"/>
                      <w:b/>
                      <w:bCs/>
                      <w:color w:val="auto"/>
                      <w:kern w:val="0"/>
                      <w:sz w:val="18"/>
                      <w:szCs w:val="18"/>
                      <w:lang w:val="en-US" w:eastAsia="zh-CN"/>
                    </w:rPr>
                  </w:pPr>
                  <w:r>
                    <w:rPr>
                      <w:rFonts w:hint="default" w:ascii="宋体" w:hAnsi="宋体" w:eastAsia="宋体" w:cs="宋体"/>
                      <w:b/>
                      <w:bCs/>
                      <w:color w:val="auto"/>
                      <w:kern w:val="0"/>
                      <w:sz w:val="18"/>
                      <w:szCs w:val="18"/>
                      <w:lang w:val="en-US" w:eastAsia="zh-CN"/>
                    </w:rPr>
                    <w:t>最大日用水量（m³/d）</w:t>
                  </w:r>
                </w:p>
              </w:tc>
              <w:tc>
                <w:tcPr>
                  <w:tcW w:w="585" w:type="pct"/>
                  <w:noWrap w:val="0"/>
                  <w:vAlign w:val="center"/>
                </w:tcPr>
                <w:p w14:paraId="61294E50">
                  <w:pPr>
                    <w:widowControl/>
                    <w:jc w:val="center"/>
                    <w:rPr>
                      <w:rFonts w:hint="default" w:ascii="宋体" w:hAnsi="宋体" w:eastAsia="宋体" w:cs="宋体"/>
                      <w:b/>
                      <w:bCs/>
                      <w:color w:val="auto"/>
                      <w:kern w:val="0"/>
                      <w:sz w:val="18"/>
                      <w:szCs w:val="18"/>
                      <w:lang w:val="en-US" w:eastAsia="zh-CN"/>
                    </w:rPr>
                  </w:pPr>
                  <w:r>
                    <w:rPr>
                      <w:rFonts w:hint="default" w:ascii="宋体" w:hAnsi="宋体" w:eastAsia="宋体" w:cs="宋体"/>
                      <w:b/>
                      <w:bCs/>
                      <w:color w:val="auto"/>
                      <w:kern w:val="0"/>
                      <w:sz w:val="18"/>
                      <w:szCs w:val="18"/>
                      <w:lang w:val="en-US" w:eastAsia="zh-CN"/>
                    </w:rPr>
                    <w:t>废水比</w:t>
                  </w:r>
                </w:p>
                <w:p w14:paraId="010BF7BB">
                  <w:pPr>
                    <w:widowControl/>
                    <w:jc w:val="center"/>
                    <w:rPr>
                      <w:rFonts w:hint="default" w:ascii="宋体" w:hAnsi="宋体" w:eastAsia="宋体" w:cs="宋体"/>
                      <w:b/>
                      <w:bCs/>
                      <w:color w:val="auto"/>
                      <w:kern w:val="0"/>
                      <w:sz w:val="18"/>
                      <w:szCs w:val="18"/>
                      <w:lang w:val="en-US" w:eastAsia="zh-CN"/>
                    </w:rPr>
                  </w:pPr>
                  <w:r>
                    <w:rPr>
                      <w:rFonts w:hint="default" w:ascii="宋体" w:hAnsi="宋体" w:eastAsia="宋体" w:cs="宋体"/>
                      <w:b/>
                      <w:bCs/>
                      <w:color w:val="auto"/>
                      <w:kern w:val="0"/>
                      <w:sz w:val="18"/>
                      <w:szCs w:val="18"/>
                      <w:lang w:val="en-US" w:eastAsia="zh-CN"/>
                    </w:rPr>
                    <w:t>例</w:t>
                  </w:r>
                </w:p>
              </w:tc>
              <w:tc>
                <w:tcPr>
                  <w:tcW w:w="679" w:type="pct"/>
                  <w:noWrap w:val="0"/>
                  <w:vAlign w:val="center"/>
                </w:tcPr>
                <w:p w14:paraId="0C918DAF">
                  <w:pPr>
                    <w:widowControl/>
                    <w:jc w:val="center"/>
                    <w:rPr>
                      <w:rFonts w:hint="default" w:ascii="宋体" w:hAnsi="宋体" w:eastAsia="宋体" w:cs="宋体"/>
                      <w:b/>
                      <w:bCs/>
                      <w:color w:val="auto"/>
                      <w:kern w:val="0"/>
                      <w:sz w:val="18"/>
                      <w:szCs w:val="18"/>
                      <w:lang w:val="en-US" w:eastAsia="zh-CN"/>
                    </w:rPr>
                  </w:pPr>
                  <w:r>
                    <w:rPr>
                      <w:rFonts w:hint="default" w:ascii="宋体" w:hAnsi="宋体" w:eastAsia="宋体" w:cs="宋体"/>
                      <w:b/>
                      <w:bCs/>
                      <w:color w:val="auto"/>
                      <w:kern w:val="0"/>
                      <w:sz w:val="18"/>
                      <w:szCs w:val="18"/>
                      <w:lang w:val="en-US" w:eastAsia="zh-CN"/>
                    </w:rPr>
                    <w:t>废水量（m³/d）</w:t>
                  </w:r>
                </w:p>
              </w:tc>
              <w:tc>
                <w:tcPr>
                  <w:tcW w:w="435" w:type="pct"/>
                  <w:noWrap w:val="0"/>
                  <w:vAlign w:val="center"/>
                </w:tcPr>
                <w:p w14:paraId="753BFE7C">
                  <w:pPr>
                    <w:widowControl/>
                    <w:jc w:val="center"/>
                    <w:rPr>
                      <w:rFonts w:hint="default" w:ascii="宋体" w:hAnsi="宋体" w:eastAsia="宋体" w:cs="宋体"/>
                      <w:b/>
                      <w:bCs/>
                      <w:color w:val="auto"/>
                      <w:kern w:val="0"/>
                      <w:sz w:val="18"/>
                      <w:szCs w:val="18"/>
                      <w:lang w:val="en-US" w:eastAsia="zh-CN"/>
                    </w:rPr>
                  </w:pPr>
                  <w:r>
                    <w:rPr>
                      <w:rFonts w:hint="default" w:ascii="宋体" w:hAnsi="宋体" w:eastAsia="宋体" w:cs="宋体"/>
                      <w:b/>
                      <w:bCs/>
                      <w:color w:val="auto"/>
                      <w:kern w:val="0"/>
                      <w:sz w:val="18"/>
                      <w:szCs w:val="18"/>
                      <w:lang w:val="en-US" w:eastAsia="zh-CN"/>
                    </w:rPr>
                    <w:t>废水去向</w:t>
                  </w:r>
                </w:p>
              </w:tc>
            </w:tr>
            <w:tr w14:paraId="3E4D2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5" w:hRule="atLeast"/>
                <w:jc w:val="center"/>
              </w:trPr>
              <w:tc>
                <w:tcPr>
                  <w:tcW w:w="235" w:type="pct"/>
                  <w:noWrap w:val="0"/>
                  <w:vAlign w:val="center"/>
                </w:tcPr>
                <w:p w14:paraId="0A26C4F3">
                  <w:pPr>
                    <w:widowControl/>
                    <w:jc w:val="center"/>
                    <w:rPr>
                      <w:rFonts w:hint="eastAsia" w:ascii="宋体" w:hAnsi="宋体" w:eastAsia="宋体" w:cs="宋体"/>
                      <w:color w:val="auto"/>
                      <w:kern w:val="0"/>
                      <w:sz w:val="18"/>
                      <w:szCs w:val="18"/>
                      <w:lang w:val="en-US" w:eastAsia="zh-CN"/>
                    </w:rPr>
                  </w:pPr>
                  <w:r>
                    <w:rPr>
                      <w:rFonts w:hint="eastAsia" w:ascii="宋体" w:hAnsi="宋体" w:eastAsia="宋体"/>
                      <w:color w:val="auto"/>
                      <w:kern w:val="0"/>
                      <w:sz w:val="18"/>
                      <w:szCs w:val="18"/>
                      <w:lang w:val="en-US" w:eastAsia="zh-CN"/>
                    </w:rPr>
                    <w:t>1</w:t>
                  </w:r>
                </w:p>
              </w:tc>
              <w:tc>
                <w:tcPr>
                  <w:tcW w:w="1017" w:type="pct"/>
                  <w:noWrap w:val="0"/>
                  <w:vAlign w:val="center"/>
                </w:tcPr>
                <w:p w14:paraId="14899959">
                  <w:pPr>
                    <w:widowControl/>
                    <w:jc w:val="center"/>
                    <w:rPr>
                      <w:rFonts w:hint="default" w:ascii="宋体" w:hAnsi="宋体" w:eastAsia="宋体" w:cs="宋体"/>
                      <w:color w:val="auto"/>
                      <w:kern w:val="0"/>
                      <w:sz w:val="18"/>
                      <w:szCs w:val="18"/>
                      <w:lang w:val="en-US" w:eastAsia="zh-CN"/>
                    </w:rPr>
                  </w:pPr>
                  <w:r>
                    <w:rPr>
                      <w:rFonts w:hint="eastAsia" w:ascii="宋体" w:hAnsi="宋体"/>
                      <w:color w:val="auto"/>
                      <w:kern w:val="0"/>
                      <w:sz w:val="18"/>
                      <w:szCs w:val="18"/>
                    </w:rPr>
                    <w:t>生活用水</w:t>
                  </w:r>
                </w:p>
              </w:tc>
              <w:tc>
                <w:tcPr>
                  <w:tcW w:w="711" w:type="pct"/>
                  <w:noWrap w:val="0"/>
                  <w:vAlign w:val="center"/>
                </w:tcPr>
                <w:p w14:paraId="35CC8A93">
                  <w:pPr>
                    <w:widowControl/>
                    <w:jc w:val="center"/>
                    <w:rPr>
                      <w:rFonts w:hint="default" w:ascii="宋体" w:hAnsi="宋体" w:eastAsia="宋体" w:cs="宋体"/>
                      <w:color w:val="auto"/>
                      <w:kern w:val="0"/>
                      <w:sz w:val="18"/>
                      <w:szCs w:val="18"/>
                      <w:lang w:val="en-US" w:eastAsia="zh-CN"/>
                    </w:rPr>
                  </w:pPr>
                  <w:r>
                    <w:rPr>
                      <w:rFonts w:hint="eastAsia" w:ascii="宋体" w:hAnsi="宋体"/>
                      <w:color w:val="auto"/>
                      <w:kern w:val="0"/>
                      <w:sz w:val="18"/>
                      <w:szCs w:val="18"/>
                      <w:lang w:val="en-US" w:eastAsia="zh-CN"/>
                    </w:rPr>
                    <w:t>120</w:t>
                  </w:r>
                  <w:r>
                    <w:rPr>
                      <w:rFonts w:hint="eastAsia" w:ascii="宋体" w:hAnsi="宋体"/>
                      <w:color w:val="auto"/>
                      <w:kern w:val="0"/>
                      <w:sz w:val="18"/>
                      <w:szCs w:val="18"/>
                    </w:rPr>
                    <w:t>人</w:t>
                  </w:r>
                </w:p>
              </w:tc>
              <w:tc>
                <w:tcPr>
                  <w:tcW w:w="654" w:type="pct"/>
                  <w:noWrap w:val="0"/>
                  <w:vAlign w:val="center"/>
                </w:tcPr>
                <w:p w14:paraId="1A79192D">
                  <w:pPr>
                    <w:widowControl/>
                    <w:jc w:val="center"/>
                    <w:rPr>
                      <w:rFonts w:hint="default" w:ascii="宋体" w:hAnsi="宋体" w:eastAsia="宋体" w:cs="宋体"/>
                      <w:color w:val="auto"/>
                      <w:kern w:val="0"/>
                      <w:sz w:val="18"/>
                      <w:szCs w:val="18"/>
                      <w:lang w:val="en-US" w:eastAsia="zh-CN"/>
                    </w:rPr>
                  </w:pPr>
                  <w:r>
                    <w:rPr>
                      <w:rFonts w:hint="eastAsia" w:ascii="宋体" w:hAnsi="宋体"/>
                      <w:color w:val="auto"/>
                      <w:kern w:val="0"/>
                      <w:sz w:val="18"/>
                      <w:szCs w:val="18"/>
                      <w:lang w:val="en-US" w:eastAsia="zh-CN"/>
                    </w:rPr>
                    <w:t>50</w:t>
                  </w:r>
                  <w:r>
                    <w:rPr>
                      <w:rFonts w:ascii="宋体" w:hAnsi="宋体"/>
                      <w:color w:val="auto"/>
                      <w:kern w:val="0"/>
                      <w:sz w:val="18"/>
                      <w:szCs w:val="18"/>
                    </w:rPr>
                    <w:t>L/d·</w:t>
                  </w:r>
                  <w:r>
                    <w:rPr>
                      <w:rFonts w:hint="eastAsia" w:ascii="宋体" w:hAnsi="宋体"/>
                      <w:color w:val="auto"/>
                      <w:kern w:val="0"/>
                      <w:sz w:val="18"/>
                      <w:szCs w:val="18"/>
                    </w:rPr>
                    <w:t>人</w:t>
                  </w:r>
                </w:p>
              </w:tc>
              <w:tc>
                <w:tcPr>
                  <w:tcW w:w="680" w:type="pct"/>
                  <w:noWrap w:val="0"/>
                  <w:vAlign w:val="center"/>
                </w:tcPr>
                <w:p w14:paraId="4AC228DB">
                  <w:pPr>
                    <w:widowControl/>
                    <w:jc w:val="center"/>
                    <w:rPr>
                      <w:rFonts w:hint="default" w:ascii="宋体" w:hAnsi="宋体" w:eastAsia="宋体" w:cs="宋体"/>
                      <w:color w:val="auto"/>
                      <w:kern w:val="0"/>
                      <w:sz w:val="18"/>
                      <w:szCs w:val="18"/>
                      <w:lang w:val="en-US" w:eastAsia="zh-CN"/>
                    </w:rPr>
                  </w:pPr>
                  <w:r>
                    <w:rPr>
                      <w:rFonts w:hint="eastAsia" w:ascii="宋体" w:hAnsi="宋体"/>
                      <w:color w:val="auto"/>
                      <w:kern w:val="0"/>
                      <w:sz w:val="18"/>
                      <w:szCs w:val="18"/>
                      <w:lang w:val="en-US" w:eastAsia="zh-CN"/>
                    </w:rPr>
                    <w:t>6</w:t>
                  </w:r>
                </w:p>
              </w:tc>
              <w:tc>
                <w:tcPr>
                  <w:tcW w:w="585" w:type="pct"/>
                  <w:noWrap w:val="0"/>
                  <w:vAlign w:val="center"/>
                </w:tcPr>
                <w:p w14:paraId="1FD85F65">
                  <w:pPr>
                    <w:widowControl/>
                    <w:jc w:val="center"/>
                    <w:rPr>
                      <w:rFonts w:hint="default"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0.8</w:t>
                  </w:r>
                </w:p>
              </w:tc>
              <w:tc>
                <w:tcPr>
                  <w:tcW w:w="679" w:type="pct"/>
                  <w:noWrap w:val="0"/>
                  <w:vAlign w:val="center"/>
                </w:tcPr>
                <w:p w14:paraId="707DD74F">
                  <w:pPr>
                    <w:widowControl/>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4.8</w:t>
                  </w:r>
                </w:p>
              </w:tc>
              <w:tc>
                <w:tcPr>
                  <w:tcW w:w="435" w:type="pct"/>
                  <w:noWrap w:val="0"/>
                  <w:vAlign w:val="center"/>
                </w:tcPr>
                <w:p w14:paraId="4845BA90">
                  <w:pPr>
                    <w:widowControl/>
                    <w:jc w:val="center"/>
                    <w:rPr>
                      <w:rFonts w:hint="default"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污水处理厂</w:t>
                  </w:r>
                </w:p>
              </w:tc>
            </w:tr>
            <w:tr w14:paraId="7B993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5" w:hRule="atLeast"/>
                <w:jc w:val="center"/>
              </w:trPr>
              <w:tc>
                <w:tcPr>
                  <w:tcW w:w="235" w:type="pct"/>
                  <w:noWrap w:val="0"/>
                  <w:vAlign w:val="center"/>
                </w:tcPr>
                <w:p w14:paraId="55B6D0DE">
                  <w:pPr>
                    <w:widowControl/>
                    <w:jc w:val="center"/>
                    <w:rPr>
                      <w:rFonts w:hint="default" w:ascii="宋体" w:hAnsi="宋体" w:eastAsia="宋体"/>
                      <w:color w:val="auto"/>
                      <w:kern w:val="0"/>
                      <w:sz w:val="18"/>
                      <w:szCs w:val="18"/>
                      <w:lang w:val="en-US" w:eastAsia="zh-CN"/>
                    </w:rPr>
                  </w:pPr>
                  <w:r>
                    <w:rPr>
                      <w:rFonts w:hint="eastAsia" w:ascii="宋体" w:hAnsi="宋体" w:eastAsia="宋体"/>
                      <w:color w:val="auto"/>
                      <w:kern w:val="0"/>
                      <w:sz w:val="18"/>
                      <w:szCs w:val="18"/>
                      <w:lang w:val="en-US" w:eastAsia="zh-CN"/>
                    </w:rPr>
                    <w:t>2</w:t>
                  </w:r>
                </w:p>
              </w:tc>
              <w:tc>
                <w:tcPr>
                  <w:tcW w:w="1017" w:type="pct"/>
                  <w:noWrap w:val="0"/>
                  <w:vAlign w:val="center"/>
                </w:tcPr>
                <w:p w14:paraId="20712C23">
                  <w:pPr>
                    <w:widowControl/>
                    <w:jc w:val="center"/>
                    <w:rPr>
                      <w:rFonts w:hint="default" w:ascii="宋体" w:hAnsi="宋体" w:eastAsia="宋体"/>
                      <w:color w:val="auto"/>
                      <w:kern w:val="0"/>
                      <w:sz w:val="18"/>
                      <w:szCs w:val="18"/>
                      <w:lang w:val="en-US" w:eastAsia="zh-CN"/>
                    </w:rPr>
                  </w:pPr>
                  <w:r>
                    <w:rPr>
                      <w:rFonts w:hint="eastAsia" w:ascii="宋体" w:hAnsi="宋体"/>
                      <w:color w:val="auto"/>
                      <w:kern w:val="0"/>
                      <w:sz w:val="18"/>
                      <w:szCs w:val="18"/>
                      <w:lang w:val="en-US" w:eastAsia="zh-CN"/>
                    </w:rPr>
                    <w:t>绿化用水</w:t>
                  </w:r>
                </w:p>
              </w:tc>
              <w:tc>
                <w:tcPr>
                  <w:tcW w:w="711" w:type="pct"/>
                  <w:noWrap w:val="0"/>
                  <w:vAlign w:val="center"/>
                </w:tcPr>
                <w:p w14:paraId="755412A7">
                  <w:pPr>
                    <w:widowControl/>
                    <w:jc w:val="center"/>
                    <w:rPr>
                      <w:rFonts w:hint="default" w:ascii="宋体" w:hAnsi="宋体"/>
                      <w:color w:val="auto"/>
                      <w:kern w:val="0"/>
                      <w:sz w:val="18"/>
                      <w:szCs w:val="18"/>
                      <w:lang w:val="en-US" w:eastAsia="zh-CN"/>
                    </w:rPr>
                  </w:pPr>
                  <w:r>
                    <w:rPr>
                      <w:rFonts w:hint="eastAsia" w:ascii="宋体" w:hAnsi="宋体"/>
                      <w:color w:val="auto"/>
                      <w:kern w:val="0"/>
                      <w:sz w:val="18"/>
                      <w:szCs w:val="18"/>
                      <w:lang w:val="en-US" w:eastAsia="zh-CN"/>
                    </w:rPr>
                    <w:t>3800</w:t>
                  </w:r>
                </w:p>
              </w:tc>
              <w:tc>
                <w:tcPr>
                  <w:tcW w:w="654" w:type="pct"/>
                  <w:noWrap w:val="0"/>
                  <w:vAlign w:val="center"/>
                </w:tcPr>
                <w:p w14:paraId="67F678CE">
                  <w:pPr>
                    <w:widowControl/>
                    <w:jc w:val="center"/>
                    <w:rPr>
                      <w:rFonts w:hint="eastAsia" w:ascii="宋体" w:hAnsi="宋体"/>
                      <w:color w:val="auto"/>
                      <w:kern w:val="0"/>
                      <w:sz w:val="18"/>
                      <w:szCs w:val="18"/>
                      <w:lang w:val="en-US" w:eastAsia="zh-CN"/>
                    </w:rPr>
                  </w:pPr>
                  <w:r>
                    <w:rPr>
                      <w:rFonts w:hint="eastAsia" w:ascii="宋体" w:hAnsi="宋体" w:eastAsia="宋体" w:cs="Times New Roman"/>
                      <w:color w:val="auto"/>
                      <w:kern w:val="0"/>
                      <w:sz w:val="18"/>
                      <w:szCs w:val="18"/>
                      <w:lang w:val="en-US" w:eastAsia="zh-CN"/>
                    </w:rPr>
                    <w:t>2L/m</w:t>
                  </w:r>
                  <w:r>
                    <w:rPr>
                      <w:rFonts w:hint="eastAsia" w:ascii="宋体" w:hAnsi="宋体" w:eastAsia="宋体" w:cs="Times New Roman"/>
                      <w:color w:val="auto"/>
                      <w:kern w:val="0"/>
                      <w:sz w:val="18"/>
                      <w:szCs w:val="18"/>
                      <w:vertAlign w:val="superscript"/>
                      <w:lang w:val="en-US" w:eastAsia="zh-CN"/>
                    </w:rPr>
                    <w:t>2</w:t>
                  </w:r>
                  <w:r>
                    <w:rPr>
                      <w:rFonts w:hint="eastAsia" w:ascii="宋体" w:hAnsi="宋体" w:eastAsia="宋体" w:cs="Times New Roman"/>
                      <w:color w:val="auto"/>
                      <w:kern w:val="0"/>
                      <w:sz w:val="18"/>
                      <w:szCs w:val="18"/>
                      <w:lang w:val="en-US" w:eastAsia="zh-CN"/>
                    </w:rPr>
                    <w:t>·d</w:t>
                  </w:r>
                </w:p>
              </w:tc>
              <w:tc>
                <w:tcPr>
                  <w:tcW w:w="680" w:type="pct"/>
                  <w:noWrap w:val="0"/>
                  <w:vAlign w:val="center"/>
                </w:tcPr>
                <w:p w14:paraId="207C6FD4">
                  <w:pPr>
                    <w:widowControl/>
                    <w:jc w:val="center"/>
                    <w:rPr>
                      <w:rFonts w:hint="default" w:ascii="宋体" w:hAnsi="宋体" w:eastAsia="宋体"/>
                      <w:color w:val="auto"/>
                      <w:kern w:val="0"/>
                      <w:sz w:val="18"/>
                      <w:szCs w:val="18"/>
                      <w:lang w:val="en-US" w:eastAsia="zh-CN"/>
                    </w:rPr>
                  </w:pPr>
                  <w:r>
                    <w:rPr>
                      <w:rFonts w:hint="eastAsia" w:ascii="宋体" w:hAnsi="宋体"/>
                      <w:color w:val="auto"/>
                      <w:kern w:val="0"/>
                      <w:sz w:val="18"/>
                      <w:szCs w:val="18"/>
                      <w:lang w:val="en-US" w:eastAsia="zh-CN"/>
                    </w:rPr>
                    <w:t>7.6</w:t>
                  </w:r>
                </w:p>
              </w:tc>
              <w:tc>
                <w:tcPr>
                  <w:tcW w:w="585" w:type="pct"/>
                  <w:noWrap w:val="0"/>
                  <w:vAlign w:val="center"/>
                </w:tcPr>
                <w:p w14:paraId="259097D9">
                  <w:pPr>
                    <w:widowControl/>
                    <w:jc w:val="center"/>
                    <w:rPr>
                      <w:rFonts w:hint="default"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w:t>
                  </w:r>
                </w:p>
              </w:tc>
              <w:tc>
                <w:tcPr>
                  <w:tcW w:w="679" w:type="pct"/>
                  <w:noWrap w:val="0"/>
                  <w:vAlign w:val="center"/>
                </w:tcPr>
                <w:p w14:paraId="4946C5E4">
                  <w:pPr>
                    <w:widowControl/>
                    <w:jc w:val="center"/>
                    <w:rPr>
                      <w:rFonts w:hint="default"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w:t>
                  </w:r>
                </w:p>
              </w:tc>
              <w:tc>
                <w:tcPr>
                  <w:tcW w:w="435" w:type="pct"/>
                  <w:noWrap w:val="0"/>
                  <w:vAlign w:val="center"/>
                </w:tcPr>
                <w:p w14:paraId="5A768915">
                  <w:pPr>
                    <w:widowControl/>
                    <w:jc w:val="center"/>
                    <w:rPr>
                      <w:rFonts w:hint="default"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不外排</w:t>
                  </w:r>
                </w:p>
              </w:tc>
            </w:tr>
            <w:tr w14:paraId="5AF33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5" w:hRule="atLeast"/>
                <w:jc w:val="center"/>
              </w:trPr>
              <w:tc>
                <w:tcPr>
                  <w:tcW w:w="235" w:type="pct"/>
                  <w:noWrap w:val="0"/>
                  <w:vAlign w:val="center"/>
                </w:tcPr>
                <w:p w14:paraId="6C548C98">
                  <w:pPr>
                    <w:widowControl/>
                    <w:jc w:val="center"/>
                    <w:rPr>
                      <w:rFonts w:hint="default" w:ascii="宋体" w:hAnsi="宋体" w:eastAsia="宋体"/>
                      <w:color w:val="auto"/>
                      <w:kern w:val="0"/>
                      <w:sz w:val="18"/>
                      <w:szCs w:val="18"/>
                      <w:lang w:val="en-US" w:eastAsia="zh-CN"/>
                    </w:rPr>
                  </w:pPr>
                  <w:r>
                    <w:rPr>
                      <w:rFonts w:hint="eastAsia" w:ascii="宋体" w:hAnsi="宋体" w:eastAsia="宋体"/>
                      <w:color w:val="auto"/>
                      <w:kern w:val="0"/>
                      <w:sz w:val="18"/>
                      <w:szCs w:val="18"/>
                      <w:lang w:val="en-US" w:eastAsia="zh-CN"/>
                    </w:rPr>
                    <w:t>3</w:t>
                  </w:r>
                </w:p>
              </w:tc>
              <w:tc>
                <w:tcPr>
                  <w:tcW w:w="2383" w:type="pct"/>
                  <w:gridSpan w:val="3"/>
                  <w:noWrap w:val="0"/>
                  <w:vAlign w:val="center"/>
                </w:tcPr>
                <w:p w14:paraId="74F5B873">
                  <w:pPr>
                    <w:widowControl/>
                    <w:jc w:val="center"/>
                    <w:rPr>
                      <w:rFonts w:hint="eastAsia" w:ascii="宋体" w:hAnsi="宋体" w:eastAsia="宋体" w:cs="Times New Roman"/>
                      <w:color w:val="auto"/>
                      <w:kern w:val="0"/>
                      <w:sz w:val="18"/>
                      <w:szCs w:val="18"/>
                      <w:lang w:val="en-US" w:eastAsia="zh-CN"/>
                    </w:rPr>
                  </w:pPr>
                  <w:r>
                    <w:rPr>
                      <w:rFonts w:hint="eastAsia" w:ascii="宋体" w:hAnsi="宋体"/>
                      <w:color w:val="auto"/>
                      <w:kern w:val="0"/>
                      <w:sz w:val="18"/>
                      <w:szCs w:val="18"/>
                      <w:lang w:val="en-US" w:eastAsia="zh-CN"/>
                    </w:rPr>
                    <w:t>总计</w:t>
                  </w:r>
                </w:p>
              </w:tc>
              <w:tc>
                <w:tcPr>
                  <w:tcW w:w="680" w:type="pct"/>
                  <w:noWrap w:val="0"/>
                  <w:vAlign w:val="center"/>
                </w:tcPr>
                <w:p w14:paraId="1CCF5915">
                  <w:pPr>
                    <w:widowControl/>
                    <w:jc w:val="center"/>
                    <w:rPr>
                      <w:rFonts w:hint="default" w:ascii="宋体" w:hAnsi="宋体" w:eastAsia="宋体"/>
                      <w:color w:val="auto"/>
                      <w:kern w:val="0"/>
                      <w:sz w:val="18"/>
                      <w:szCs w:val="18"/>
                      <w:lang w:val="en-US" w:eastAsia="zh-CN"/>
                    </w:rPr>
                  </w:pPr>
                  <w:r>
                    <w:rPr>
                      <w:rFonts w:hint="eastAsia" w:ascii="宋体" w:hAnsi="宋体"/>
                      <w:color w:val="auto"/>
                      <w:kern w:val="0"/>
                      <w:sz w:val="18"/>
                      <w:szCs w:val="18"/>
                      <w:lang w:val="en-US" w:eastAsia="zh-CN"/>
                    </w:rPr>
                    <w:t>13.6</w:t>
                  </w:r>
                </w:p>
              </w:tc>
              <w:tc>
                <w:tcPr>
                  <w:tcW w:w="585" w:type="pct"/>
                  <w:noWrap w:val="0"/>
                  <w:vAlign w:val="center"/>
                </w:tcPr>
                <w:p w14:paraId="1DD51143">
                  <w:pPr>
                    <w:widowControl/>
                    <w:jc w:val="center"/>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w:t>
                  </w:r>
                </w:p>
              </w:tc>
              <w:tc>
                <w:tcPr>
                  <w:tcW w:w="679" w:type="pct"/>
                  <w:noWrap w:val="0"/>
                  <w:vAlign w:val="center"/>
                </w:tcPr>
                <w:p w14:paraId="1478EC5A">
                  <w:pPr>
                    <w:widowControl/>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4.8</w:t>
                  </w:r>
                </w:p>
              </w:tc>
              <w:tc>
                <w:tcPr>
                  <w:tcW w:w="435" w:type="pct"/>
                  <w:noWrap w:val="0"/>
                  <w:vAlign w:val="center"/>
                </w:tcPr>
                <w:p w14:paraId="6D3AB30F">
                  <w:pPr>
                    <w:widowControl/>
                    <w:jc w:val="center"/>
                    <w:rPr>
                      <w:rFonts w:hint="eastAsia" w:ascii="宋体" w:hAnsi="宋体" w:eastAsia="宋体" w:cs="宋体"/>
                      <w:color w:val="auto"/>
                      <w:kern w:val="0"/>
                      <w:sz w:val="18"/>
                      <w:szCs w:val="18"/>
                      <w:lang w:val="en-US" w:eastAsia="zh-CN"/>
                    </w:rPr>
                  </w:pPr>
                </w:p>
              </w:tc>
            </w:tr>
          </w:tbl>
          <w:p w14:paraId="1536478E">
            <w:pPr>
              <w:jc w:val="center"/>
              <w:rPr>
                <w:color w:val="auto"/>
              </w:rPr>
            </w:pPr>
          </w:p>
          <w:p w14:paraId="2E35F1C4">
            <w:pPr>
              <w:jc w:val="center"/>
              <w:rPr>
                <w:color w:val="auto"/>
              </w:rPr>
            </w:pPr>
            <w:r>
              <w:rPr>
                <w:color w:val="auto"/>
              </w:rPr>
              <w:drawing>
                <wp:inline distT="0" distB="0" distL="114300" distR="114300">
                  <wp:extent cx="5394325" cy="1484630"/>
                  <wp:effectExtent l="0" t="0" r="15875" b="127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2"/>
                          <a:stretch>
                            <a:fillRect/>
                          </a:stretch>
                        </pic:blipFill>
                        <pic:spPr>
                          <a:xfrm>
                            <a:off x="0" y="0"/>
                            <a:ext cx="5394325" cy="1484630"/>
                          </a:xfrm>
                          <a:prstGeom prst="rect">
                            <a:avLst/>
                          </a:prstGeom>
                          <a:noFill/>
                          <a:ln>
                            <a:noFill/>
                          </a:ln>
                        </pic:spPr>
                      </pic:pic>
                    </a:graphicData>
                  </a:graphic>
                </wp:inline>
              </w:drawing>
            </w:r>
          </w:p>
          <w:p w14:paraId="71215BFF">
            <w:pPr>
              <w:pStyle w:val="19"/>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imes New Roman"/>
                <w:b/>
                <w:bCs/>
                <w:color w:val="auto"/>
                <w:kern w:val="2"/>
                <w:sz w:val="21"/>
                <w:szCs w:val="24"/>
                <w:lang w:val="en-US" w:eastAsia="zh-CN" w:bidi="ar-SA"/>
              </w:rPr>
            </w:pPr>
          </w:p>
          <w:p w14:paraId="7723702B">
            <w:pPr>
              <w:pStyle w:val="19"/>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imes New Roman"/>
                <w:b/>
                <w:bCs/>
                <w:color w:val="auto"/>
                <w:kern w:val="2"/>
                <w:sz w:val="21"/>
                <w:szCs w:val="24"/>
                <w:lang w:val="en-US" w:eastAsia="zh-CN" w:bidi="ar-SA"/>
              </w:rPr>
            </w:pPr>
            <w:r>
              <w:rPr>
                <w:rFonts w:hint="eastAsia" w:ascii="Times New Roman"/>
                <w:b/>
                <w:bCs/>
                <w:color w:val="auto"/>
                <w:kern w:val="2"/>
                <w:sz w:val="21"/>
                <w:szCs w:val="24"/>
                <w:lang w:val="en-US" w:eastAsia="zh-CN" w:bidi="ar-SA"/>
              </w:rPr>
              <w:t>图2-1  本项目水平衡图   单位：t/d</w:t>
            </w:r>
          </w:p>
          <w:p w14:paraId="7B419BF3">
            <w:pPr>
              <w:pStyle w:val="19"/>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b/>
                <w:bCs/>
                <w:color w:val="auto"/>
                <w:kern w:val="2"/>
                <w:sz w:val="21"/>
                <w:szCs w:val="24"/>
                <w:lang w:val="en-US" w:eastAsia="zh-CN" w:bidi="ar-SA"/>
              </w:rPr>
            </w:pPr>
            <w:r>
              <w:rPr>
                <w:rFonts w:hint="eastAsia" w:ascii="Times New Roman"/>
                <w:b/>
                <w:bCs/>
                <w:color w:val="auto"/>
                <w:kern w:val="2"/>
                <w:sz w:val="21"/>
                <w:szCs w:val="24"/>
                <w:lang w:val="en-US" w:eastAsia="zh-CN" w:bidi="ar-SA"/>
              </w:rPr>
              <w:t>10、总图布置及合理性分析</w:t>
            </w:r>
          </w:p>
          <w:p w14:paraId="6BBFDAE4">
            <w:pPr>
              <w:adjustRightInd w:val="0"/>
              <w:snapToGrid w:val="0"/>
              <w:spacing w:line="360" w:lineRule="auto"/>
              <w:ind w:firstLine="420" w:firstLineChars="200"/>
              <w:rPr>
                <w:rFonts w:hint="eastAsia" w:ascii="宋体" w:hAnsi="宋体" w:cs="宋体"/>
                <w:bCs/>
                <w:color w:val="auto"/>
                <w:sz w:val="21"/>
                <w:szCs w:val="21"/>
              </w:rPr>
            </w:pPr>
            <w:r>
              <w:rPr>
                <w:rFonts w:hint="eastAsia" w:ascii="宋体" w:hAnsi="宋体" w:cs="宋体"/>
                <w:bCs/>
                <w:color w:val="auto"/>
                <w:sz w:val="21"/>
                <w:szCs w:val="21"/>
                <w:lang w:eastAsia="zh-CN"/>
              </w:rPr>
              <w:t>本项目选址于</w:t>
            </w:r>
            <w:r>
              <w:rPr>
                <w:rFonts w:hint="eastAsia" w:ascii="宋体" w:hAnsi="宋体" w:cs="宋体"/>
                <w:bCs/>
                <w:color w:val="auto"/>
                <w:sz w:val="21"/>
                <w:szCs w:val="21"/>
                <w:lang w:val="en-US" w:eastAsia="zh-CN"/>
              </w:rPr>
              <w:t>四川省遂宁市安居（区）工业集中发展区装备制造产业园，</w:t>
            </w:r>
            <w:r>
              <w:rPr>
                <w:rFonts w:hint="eastAsia" w:ascii="宋体" w:hAnsi="宋体" w:cs="宋体"/>
                <w:bCs/>
                <w:color w:val="auto"/>
                <w:sz w:val="21"/>
                <w:szCs w:val="21"/>
              </w:rPr>
              <w:t>规划用地面积约</w:t>
            </w:r>
            <w:r>
              <w:rPr>
                <w:rFonts w:hint="eastAsia" w:ascii="宋体" w:hAnsi="宋体" w:cs="宋体"/>
                <w:bCs/>
                <w:color w:val="auto"/>
                <w:sz w:val="21"/>
                <w:szCs w:val="21"/>
                <w:lang w:val="en-US" w:eastAsia="zh-CN"/>
              </w:rPr>
              <w:t>50</w:t>
            </w:r>
            <w:r>
              <w:rPr>
                <w:rFonts w:hint="eastAsia" w:ascii="宋体" w:hAnsi="宋体" w:cs="宋体"/>
                <w:bCs/>
                <w:color w:val="auto"/>
                <w:sz w:val="21"/>
                <w:szCs w:val="21"/>
              </w:rPr>
              <w:t>亩，</w:t>
            </w:r>
            <w:r>
              <w:rPr>
                <w:rFonts w:hint="default" w:ascii="宋体" w:hAnsi="宋体" w:cs="宋体"/>
                <w:bCs/>
                <w:color w:val="auto"/>
                <w:sz w:val="21"/>
                <w:szCs w:val="21"/>
              </w:rPr>
              <w:t>建设</w:t>
            </w:r>
            <w:r>
              <w:rPr>
                <w:rFonts w:hint="eastAsia" w:ascii="宋体" w:hAnsi="宋体" w:cs="宋体"/>
                <w:bCs/>
                <w:color w:val="auto"/>
                <w:sz w:val="21"/>
                <w:szCs w:val="21"/>
                <w:lang w:val="en-US" w:eastAsia="zh-CN"/>
              </w:rPr>
              <w:t>1</w:t>
            </w:r>
            <w:r>
              <w:rPr>
                <w:rFonts w:hint="default" w:ascii="宋体" w:hAnsi="宋体" w:cs="宋体"/>
                <w:bCs/>
                <w:color w:val="auto"/>
                <w:sz w:val="21"/>
                <w:szCs w:val="21"/>
              </w:rPr>
              <w:t>栋</w:t>
            </w:r>
            <w:r>
              <w:rPr>
                <w:rFonts w:hint="eastAsia" w:ascii="宋体" w:hAnsi="宋体" w:cs="宋体"/>
                <w:bCs/>
                <w:color w:val="auto"/>
                <w:sz w:val="21"/>
                <w:szCs w:val="21"/>
                <w:lang w:val="en-US" w:eastAsia="zh-CN"/>
              </w:rPr>
              <w:t>生产车间</w:t>
            </w:r>
            <w:r>
              <w:rPr>
                <w:rFonts w:hint="eastAsia" w:ascii="宋体" w:hAnsi="宋体" w:cs="宋体"/>
                <w:bCs/>
                <w:color w:val="auto"/>
                <w:sz w:val="21"/>
                <w:szCs w:val="21"/>
              </w:rPr>
              <w:t>，</w:t>
            </w:r>
            <w:r>
              <w:rPr>
                <w:rFonts w:hint="eastAsia" w:ascii="宋体" w:hAnsi="宋体" w:cs="宋体"/>
                <w:bCs/>
                <w:color w:val="auto"/>
                <w:sz w:val="21"/>
                <w:szCs w:val="21"/>
                <w:lang w:val="en-US" w:eastAsia="zh-CN"/>
              </w:rPr>
              <w:t>总</w:t>
            </w:r>
            <w:r>
              <w:rPr>
                <w:rFonts w:hint="eastAsia" w:ascii="宋体" w:hAnsi="宋体" w:cs="宋体"/>
                <w:bCs/>
                <w:color w:val="auto"/>
                <w:sz w:val="21"/>
                <w:szCs w:val="21"/>
              </w:rPr>
              <w:t>建筑面积约为</w:t>
            </w:r>
            <w:r>
              <w:rPr>
                <w:rFonts w:hint="eastAsia" w:ascii="宋体" w:hAnsi="宋体" w:cs="宋体"/>
                <w:bCs/>
                <w:color w:val="auto"/>
                <w:sz w:val="21"/>
                <w:szCs w:val="21"/>
                <w:lang w:val="en-US" w:eastAsia="zh-CN"/>
              </w:rPr>
              <w:t>23442.27</w:t>
            </w:r>
            <w:r>
              <w:rPr>
                <w:rFonts w:hint="eastAsia" w:ascii="宋体" w:hAnsi="宋体" w:cs="宋体"/>
                <w:bCs/>
                <w:color w:val="auto"/>
                <w:sz w:val="21"/>
                <w:szCs w:val="21"/>
              </w:rPr>
              <w:t>平方米，项目的整个</w:t>
            </w:r>
            <w:r>
              <w:rPr>
                <w:rFonts w:hint="eastAsia" w:ascii="宋体" w:hAnsi="宋体" w:cs="宋体"/>
                <w:bCs/>
                <w:color w:val="auto"/>
                <w:sz w:val="21"/>
                <w:szCs w:val="21"/>
                <w:lang w:val="en-US" w:eastAsia="zh-CN"/>
              </w:rPr>
              <w:t>厂区</w:t>
            </w:r>
            <w:r>
              <w:rPr>
                <w:rFonts w:hint="eastAsia" w:ascii="宋体" w:hAnsi="宋体" w:cs="宋体"/>
                <w:bCs/>
                <w:color w:val="auto"/>
                <w:sz w:val="21"/>
                <w:szCs w:val="21"/>
              </w:rPr>
              <w:t>呈</w:t>
            </w:r>
            <w:r>
              <w:rPr>
                <w:rFonts w:hint="eastAsia" w:ascii="宋体" w:hAnsi="宋体" w:cs="宋体"/>
                <w:bCs/>
                <w:color w:val="auto"/>
                <w:sz w:val="21"/>
                <w:szCs w:val="21"/>
                <w:lang w:val="en-US" w:eastAsia="zh-CN"/>
              </w:rPr>
              <w:t>矩形</w:t>
            </w:r>
            <w:r>
              <w:rPr>
                <w:rFonts w:hint="eastAsia" w:ascii="宋体" w:hAnsi="宋体" w:cs="宋体"/>
                <w:bCs/>
                <w:color w:val="auto"/>
                <w:sz w:val="21"/>
                <w:szCs w:val="21"/>
              </w:rPr>
              <w:t>，厂区总平面布置根据管理及生产特点，并考虑环保、消防和厂区管网</w:t>
            </w:r>
            <w:r>
              <w:rPr>
                <w:rFonts w:hint="eastAsia" w:ascii="宋体" w:hAnsi="宋体" w:cs="宋体"/>
                <w:bCs/>
                <w:color w:val="auto"/>
                <w:sz w:val="21"/>
                <w:szCs w:val="21"/>
                <w:lang w:eastAsia="zh-CN"/>
              </w:rPr>
              <w:t>铺</w:t>
            </w:r>
            <w:r>
              <w:rPr>
                <w:rFonts w:hint="eastAsia" w:ascii="宋体" w:hAnsi="宋体" w:cs="宋体"/>
                <w:bCs/>
                <w:color w:val="auto"/>
                <w:sz w:val="21"/>
                <w:szCs w:val="21"/>
              </w:rPr>
              <w:t>设等方面的要求，采用将功能相近、生产联系紧密的建筑就近分区布局形式。</w:t>
            </w:r>
          </w:p>
          <w:p w14:paraId="3CF67C25">
            <w:pPr>
              <w:adjustRightInd w:val="0"/>
              <w:snapToGrid w:val="0"/>
              <w:spacing w:line="360" w:lineRule="auto"/>
              <w:ind w:firstLine="420" w:firstLineChars="200"/>
              <w:rPr>
                <w:rFonts w:hint="eastAsia" w:ascii="宋体" w:hAnsi="宋体" w:cs="宋体"/>
                <w:bCs/>
                <w:color w:val="auto"/>
                <w:sz w:val="21"/>
                <w:szCs w:val="21"/>
              </w:rPr>
            </w:pPr>
            <w:r>
              <w:rPr>
                <w:rFonts w:hint="eastAsia" w:ascii="宋体" w:hAnsi="宋体" w:cs="宋体"/>
                <w:bCs/>
                <w:color w:val="auto"/>
                <w:sz w:val="21"/>
                <w:szCs w:val="21"/>
                <w:lang w:eastAsia="zh-CN"/>
              </w:rPr>
              <w:t>（</w:t>
            </w:r>
            <w:r>
              <w:rPr>
                <w:rFonts w:hint="eastAsia" w:ascii="宋体" w:hAnsi="宋体" w:cs="宋体"/>
                <w:bCs/>
                <w:color w:val="auto"/>
                <w:sz w:val="21"/>
                <w:szCs w:val="21"/>
                <w:lang w:val="en-US" w:eastAsia="zh-CN"/>
              </w:rPr>
              <w:t>2</w:t>
            </w:r>
            <w:r>
              <w:rPr>
                <w:rFonts w:hint="eastAsia" w:ascii="宋体" w:hAnsi="宋体" w:cs="宋体"/>
                <w:bCs/>
                <w:color w:val="auto"/>
                <w:sz w:val="21"/>
                <w:szCs w:val="21"/>
                <w:lang w:eastAsia="zh-CN"/>
              </w:rPr>
              <w:t>）</w:t>
            </w:r>
            <w:r>
              <w:rPr>
                <w:rFonts w:hint="eastAsia" w:ascii="宋体" w:hAnsi="宋体" w:cs="宋体"/>
                <w:bCs/>
                <w:color w:val="auto"/>
                <w:sz w:val="21"/>
                <w:szCs w:val="21"/>
              </w:rPr>
              <w:t>生产布局</w:t>
            </w:r>
          </w:p>
          <w:p w14:paraId="1B1E420C">
            <w:pPr>
              <w:adjustRightInd w:val="0"/>
              <w:snapToGrid w:val="0"/>
              <w:spacing w:line="360" w:lineRule="auto"/>
              <w:ind w:firstLine="420" w:firstLineChars="200"/>
              <w:rPr>
                <w:rFonts w:hint="eastAsia" w:ascii="宋体" w:hAnsi="宋体" w:cs="宋体"/>
                <w:bCs/>
                <w:color w:val="auto"/>
                <w:sz w:val="21"/>
                <w:szCs w:val="21"/>
              </w:rPr>
            </w:pPr>
            <w:r>
              <w:rPr>
                <w:rFonts w:hint="eastAsia" w:ascii="宋体" w:hAnsi="宋体" w:cs="宋体"/>
                <w:bCs/>
                <w:color w:val="auto"/>
                <w:sz w:val="21"/>
                <w:szCs w:val="21"/>
              </w:rPr>
              <w:t>根据生产工艺，</w:t>
            </w:r>
            <w:r>
              <w:rPr>
                <w:rFonts w:hint="eastAsia" w:ascii="宋体" w:hAnsi="宋体" w:cs="宋体"/>
                <w:bCs/>
                <w:color w:val="auto"/>
                <w:sz w:val="21"/>
                <w:szCs w:val="21"/>
                <w:lang w:val="en-US" w:eastAsia="zh-CN"/>
              </w:rPr>
              <w:t>总装</w:t>
            </w:r>
            <w:r>
              <w:rPr>
                <w:rFonts w:hint="eastAsia"/>
                <w:color w:val="auto"/>
                <w:sz w:val="21"/>
                <w:szCs w:val="21"/>
                <w:lang w:val="en-US" w:eastAsia="zh-CN"/>
              </w:rPr>
              <w:t>车间内设总装区、配件半成品仓库、成品堆放区，办公休息室等，主要用于电动摩托车组装、办公、装卸、测试及库房</w:t>
            </w:r>
            <w:r>
              <w:rPr>
                <w:rFonts w:hint="eastAsia" w:ascii="宋体" w:hAnsi="宋体" w:cs="宋体"/>
                <w:bCs/>
                <w:color w:val="auto"/>
                <w:sz w:val="21"/>
                <w:szCs w:val="21"/>
                <w:lang w:val="en-US" w:eastAsia="zh-CN"/>
              </w:rPr>
              <w:t>。</w:t>
            </w:r>
            <w:r>
              <w:rPr>
                <w:rFonts w:hint="eastAsia" w:ascii="宋体" w:hAnsi="宋体" w:cs="宋体"/>
                <w:bCs/>
                <w:color w:val="auto"/>
                <w:sz w:val="21"/>
                <w:szCs w:val="21"/>
              </w:rPr>
              <w:t>本项目各区域之间相互协调连贯，各功能区之间通道方便货物相互装运。</w:t>
            </w:r>
          </w:p>
          <w:p w14:paraId="3C5DF934">
            <w:pPr>
              <w:adjustRightInd w:val="0"/>
              <w:snapToGrid w:val="0"/>
              <w:spacing w:line="360" w:lineRule="auto"/>
              <w:ind w:firstLine="420" w:firstLineChars="200"/>
              <w:rPr>
                <w:rFonts w:hint="eastAsia" w:ascii="宋体" w:hAnsi="宋体" w:cs="宋体"/>
                <w:bCs/>
                <w:color w:val="auto"/>
                <w:sz w:val="21"/>
                <w:szCs w:val="21"/>
              </w:rPr>
            </w:pPr>
            <w:r>
              <w:rPr>
                <w:rFonts w:hint="eastAsia" w:ascii="宋体" w:hAnsi="宋体" w:cs="宋体"/>
                <w:bCs/>
                <w:color w:val="auto"/>
                <w:sz w:val="21"/>
                <w:szCs w:val="21"/>
                <w:lang w:eastAsia="zh-CN"/>
              </w:rPr>
              <w:t>（</w:t>
            </w:r>
            <w:r>
              <w:rPr>
                <w:rFonts w:hint="eastAsia" w:ascii="宋体" w:hAnsi="宋体" w:cs="宋体"/>
                <w:bCs/>
                <w:color w:val="auto"/>
                <w:sz w:val="21"/>
                <w:szCs w:val="21"/>
                <w:lang w:val="en-US" w:eastAsia="zh-CN"/>
              </w:rPr>
              <w:t>3</w:t>
            </w:r>
            <w:r>
              <w:rPr>
                <w:rFonts w:hint="eastAsia" w:ascii="宋体" w:hAnsi="宋体" w:cs="宋体"/>
                <w:bCs/>
                <w:color w:val="auto"/>
                <w:sz w:val="21"/>
                <w:szCs w:val="21"/>
                <w:lang w:eastAsia="zh-CN"/>
              </w:rPr>
              <w:t>）</w:t>
            </w:r>
            <w:r>
              <w:rPr>
                <w:rFonts w:hint="eastAsia" w:ascii="宋体" w:hAnsi="宋体" w:cs="宋体"/>
                <w:bCs/>
                <w:color w:val="auto"/>
                <w:sz w:val="21"/>
                <w:szCs w:val="21"/>
              </w:rPr>
              <w:t xml:space="preserve">环保设施布局  </w:t>
            </w:r>
          </w:p>
          <w:p w14:paraId="03EEC403">
            <w:pPr>
              <w:adjustRightInd w:val="0"/>
              <w:snapToGrid w:val="0"/>
              <w:spacing w:line="360" w:lineRule="auto"/>
              <w:ind w:firstLine="420" w:firstLineChars="200"/>
              <w:rPr>
                <w:rFonts w:hint="eastAsia" w:ascii="宋体" w:hAnsi="宋体" w:cs="宋体"/>
                <w:bCs/>
                <w:color w:val="auto"/>
                <w:sz w:val="21"/>
                <w:szCs w:val="21"/>
                <w:lang w:eastAsia="zh-CN"/>
              </w:rPr>
            </w:pPr>
            <w:r>
              <w:rPr>
                <w:rFonts w:hint="eastAsia" w:ascii="宋体" w:hAnsi="宋体" w:cs="宋体"/>
                <w:bCs/>
                <w:color w:val="auto"/>
                <w:sz w:val="21"/>
                <w:szCs w:val="21"/>
              </w:rPr>
              <w:t>本项目</w:t>
            </w:r>
            <w:r>
              <w:rPr>
                <w:rFonts w:hint="eastAsia" w:ascii="宋体" w:hAnsi="宋体" w:cs="宋体"/>
                <w:bCs/>
                <w:color w:val="auto"/>
                <w:sz w:val="21"/>
                <w:szCs w:val="21"/>
                <w:lang w:val="en-US" w:eastAsia="zh-CN"/>
              </w:rPr>
              <w:t>一般固废贮存库和</w:t>
            </w:r>
            <w:r>
              <w:rPr>
                <w:rFonts w:hint="eastAsia" w:ascii="宋体" w:hAnsi="宋体" w:cs="宋体"/>
                <w:bCs/>
                <w:color w:val="auto"/>
                <w:sz w:val="21"/>
                <w:szCs w:val="21"/>
                <w:lang w:eastAsia="zh-CN"/>
              </w:rPr>
              <w:t>危废贮存库</w:t>
            </w:r>
            <w:r>
              <w:rPr>
                <w:rFonts w:hint="eastAsia" w:ascii="宋体" w:hAnsi="宋体" w:cs="宋体"/>
                <w:bCs/>
                <w:color w:val="auto"/>
                <w:sz w:val="21"/>
                <w:szCs w:val="21"/>
              </w:rPr>
              <w:t>布置</w:t>
            </w:r>
            <w:r>
              <w:rPr>
                <w:rFonts w:hint="eastAsia" w:ascii="宋体" w:hAnsi="宋体" w:cs="宋体"/>
                <w:bCs/>
                <w:color w:val="auto"/>
                <w:sz w:val="21"/>
                <w:szCs w:val="21"/>
                <w:lang w:eastAsia="zh-CN"/>
              </w:rPr>
              <w:t>于</w:t>
            </w:r>
            <w:r>
              <w:rPr>
                <w:rFonts w:hint="eastAsia" w:ascii="宋体" w:hAnsi="宋体" w:cs="宋体"/>
                <w:bCs/>
                <w:color w:val="auto"/>
                <w:sz w:val="21"/>
                <w:szCs w:val="21"/>
                <w:lang w:val="en-US" w:eastAsia="zh-CN"/>
              </w:rPr>
              <w:t>总装车间东侧</w:t>
            </w:r>
            <w:r>
              <w:rPr>
                <w:rFonts w:hint="eastAsia" w:ascii="宋体" w:hAnsi="宋体" w:cs="宋体"/>
                <w:bCs/>
                <w:color w:val="auto"/>
                <w:sz w:val="21"/>
                <w:szCs w:val="21"/>
              </w:rPr>
              <w:t>，</w:t>
            </w:r>
            <w:r>
              <w:rPr>
                <w:rFonts w:hint="eastAsia" w:ascii="宋体" w:hAnsi="宋体" w:cs="宋体"/>
                <w:bCs/>
                <w:color w:val="auto"/>
                <w:sz w:val="21"/>
                <w:szCs w:val="21"/>
                <w:lang w:val="en-US" w:eastAsia="zh-CN"/>
              </w:rPr>
              <w:t>各类固废便于存放于</w:t>
            </w:r>
            <w:r>
              <w:rPr>
                <w:rFonts w:hint="eastAsia" w:ascii="宋体" w:hAnsi="宋体" w:cs="宋体"/>
                <w:bCs/>
                <w:color w:val="auto"/>
                <w:sz w:val="21"/>
                <w:szCs w:val="21"/>
              </w:rPr>
              <w:t>此，</w:t>
            </w:r>
            <w:r>
              <w:rPr>
                <w:rFonts w:hint="eastAsia" w:ascii="宋体" w:hAnsi="宋体" w:cs="宋体"/>
                <w:bCs/>
                <w:color w:val="auto"/>
                <w:sz w:val="21"/>
                <w:szCs w:val="21"/>
                <w:lang w:val="en-US" w:eastAsia="zh-CN"/>
              </w:rPr>
              <w:t>较为便捷，固废实施分类收集处理，在加强环境管理，落实环保收集处置措施的前提下不会产生二次污染</w:t>
            </w:r>
            <w:r>
              <w:rPr>
                <w:rFonts w:hint="eastAsia" w:ascii="宋体" w:hAnsi="宋体" w:cs="宋体"/>
                <w:bCs/>
                <w:color w:val="auto"/>
                <w:sz w:val="21"/>
                <w:szCs w:val="21"/>
                <w:lang w:eastAsia="zh-CN"/>
              </w:rPr>
              <w:t>；</w:t>
            </w:r>
          </w:p>
          <w:p w14:paraId="58B74767">
            <w:pPr>
              <w:adjustRightInd w:val="0"/>
              <w:snapToGrid w:val="0"/>
              <w:spacing w:line="360" w:lineRule="auto"/>
              <w:ind w:firstLine="420" w:firstLineChars="200"/>
              <w:rPr>
                <w:rFonts w:hint="eastAsia" w:ascii="宋体" w:hAnsi="宋体" w:cs="宋体"/>
                <w:bCs/>
                <w:color w:val="auto"/>
                <w:sz w:val="21"/>
                <w:szCs w:val="21"/>
              </w:rPr>
            </w:pPr>
            <w:r>
              <w:rPr>
                <w:rFonts w:hint="eastAsia" w:ascii="宋体" w:hAnsi="宋体" w:cs="宋体"/>
                <w:bCs/>
                <w:color w:val="auto"/>
                <w:sz w:val="21"/>
                <w:szCs w:val="21"/>
                <w:lang w:val="en-US" w:eastAsia="zh-CN"/>
              </w:rPr>
              <w:t>本项目办公休息休息室位于总装车间南侧，化粪池位于车间外北侧，生活污水经预处理后排入市政管网（碰管位置位于</w:t>
            </w:r>
            <w:r>
              <w:rPr>
                <w:rFonts w:hint="eastAsia" w:ascii="Times New Roman" w:hAnsi="Times New Roman" w:eastAsia="宋体" w:cs="Times New Roman"/>
                <w:b w:val="0"/>
                <w:bCs/>
                <w:color w:val="auto"/>
                <w:sz w:val="21"/>
                <w:szCs w:val="21"/>
                <w:lang w:val="en-US" w:eastAsia="zh-CN"/>
              </w:rPr>
              <w:t>厂区</w:t>
            </w:r>
            <w:r>
              <w:rPr>
                <w:rFonts w:hint="eastAsia" w:cs="Times New Roman"/>
                <w:b w:val="0"/>
                <w:bCs/>
                <w:color w:val="auto"/>
                <w:sz w:val="21"/>
                <w:szCs w:val="21"/>
                <w:lang w:val="en-US" w:eastAsia="zh-CN"/>
              </w:rPr>
              <w:t>东南</w:t>
            </w:r>
            <w:r>
              <w:rPr>
                <w:rFonts w:hint="eastAsia" w:ascii="Times New Roman" w:hAnsi="Times New Roman" w:eastAsia="宋体" w:cs="Times New Roman"/>
                <w:b w:val="0"/>
                <w:bCs/>
                <w:color w:val="auto"/>
                <w:sz w:val="21"/>
                <w:szCs w:val="21"/>
                <w:lang w:val="en-US" w:eastAsia="zh-CN"/>
              </w:rPr>
              <w:t>侧</w:t>
            </w:r>
            <w:r>
              <w:rPr>
                <w:rFonts w:hint="eastAsia" w:ascii="宋体" w:hAnsi="宋体" w:cs="宋体"/>
                <w:bCs/>
                <w:color w:val="auto"/>
                <w:sz w:val="21"/>
                <w:szCs w:val="21"/>
                <w:lang w:val="en-US" w:eastAsia="zh-CN"/>
              </w:rPr>
              <w:t>）。生产噪声经统筹安排生产时间、厂房隔声、生产设备隔声减震处理后，企业厂界噪声可达标排放</w:t>
            </w:r>
            <w:r>
              <w:rPr>
                <w:rFonts w:hint="eastAsia" w:ascii="宋体" w:hAnsi="宋体" w:cs="宋体"/>
                <w:bCs/>
                <w:color w:val="auto"/>
                <w:sz w:val="21"/>
                <w:szCs w:val="21"/>
              </w:rPr>
              <w:t>。</w:t>
            </w:r>
            <w:r>
              <w:rPr>
                <w:rFonts w:hint="eastAsia" w:ascii="宋体" w:hAnsi="宋体" w:cs="宋体"/>
                <w:bCs/>
                <w:color w:val="auto"/>
                <w:sz w:val="21"/>
                <w:szCs w:val="21"/>
                <w:lang w:val="en-US" w:eastAsia="zh-CN"/>
              </w:rPr>
              <w:t>通过采取以上治理措施后，项目营运期产生的污染物均能得到有效治理，且布局合理，不会对周边环境带来不良影响。</w:t>
            </w:r>
          </w:p>
          <w:p w14:paraId="5783C1D8">
            <w:pPr>
              <w:adjustRightInd w:val="0"/>
              <w:snapToGrid w:val="0"/>
              <w:spacing w:line="360" w:lineRule="auto"/>
              <w:ind w:firstLine="420" w:firstLineChars="200"/>
              <w:rPr>
                <w:rFonts w:hint="eastAsia" w:ascii="宋体" w:hAnsi="宋体" w:cs="宋体"/>
                <w:bCs/>
                <w:color w:val="auto"/>
                <w:sz w:val="21"/>
                <w:szCs w:val="21"/>
                <w:lang w:val="en-US" w:eastAsia="zh-CN"/>
              </w:rPr>
            </w:pPr>
            <w:r>
              <w:rPr>
                <w:rFonts w:hint="eastAsia" w:ascii="宋体" w:hAnsi="宋体" w:cs="宋体"/>
                <w:bCs/>
                <w:color w:val="auto"/>
                <w:sz w:val="21"/>
                <w:szCs w:val="21"/>
                <w:lang w:val="en-US" w:eastAsia="zh-CN"/>
              </w:rPr>
              <w:t>总体来说，项目总平布置具有以下特点：</w:t>
            </w:r>
          </w:p>
          <w:p w14:paraId="754ADDB2">
            <w:pPr>
              <w:adjustRightInd w:val="0"/>
              <w:snapToGrid w:val="0"/>
              <w:spacing w:line="360" w:lineRule="auto"/>
              <w:ind w:firstLine="420" w:firstLineChars="200"/>
              <w:rPr>
                <w:rFonts w:hint="eastAsia" w:ascii="宋体" w:hAnsi="宋体" w:cs="宋体"/>
                <w:bCs/>
                <w:color w:val="auto"/>
                <w:sz w:val="21"/>
                <w:szCs w:val="21"/>
                <w:lang w:val="en-US" w:eastAsia="zh-CN"/>
              </w:rPr>
            </w:pPr>
            <w:r>
              <w:rPr>
                <w:rFonts w:hint="eastAsia" w:ascii="宋体" w:hAnsi="宋体" w:cs="宋体"/>
                <w:bCs/>
                <w:color w:val="auto"/>
                <w:sz w:val="21"/>
                <w:szCs w:val="21"/>
                <w:lang w:val="en-US" w:eastAsia="zh-CN"/>
              </w:rPr>
              <w:t>（1）项目厂区内的布局均按照生产工艺流程进行布置， 满足生产工艺要求和流程合理， 使各生产环节紧密衔接，物料流程短，促进了项目的生产效率。</w:t>
            </w:r>
          </w:p>
          <w:p w14:paraId="10B810FB">
            <w:pPr>
              <w:adjustRightInd w:val="0"/>
              <w:snapToGrid w:val="0"/>
              <w:spacing w:line="360" w:lineRule="auto"/>
              <w:ind w:firstLine="420" w:firstLineChars="200"/>
              <w:rPr>
                <w:rFonts w:hint="eastAsia" w:ascii="宋体" w:hAnsi="宋体" w:cs="宋体"/>
                <w:bCs/>
                <w:color w:val="auto"/>
                <w:sz w:val="21"/>
                <w:szCs w:val="21"/>
                <w:lang w:val="en-US" w:eastAsia="zh-CN"/>
              </w:rPr>
            </w:pPr>
            <w:r>
              <w:rPr>
                <w:rFonts w:hint="eastAsia" w:ascii="宋体" w:hAnsi="宋体" w:cs="宋体"/>
                <w:bCs/>
                <w:color w:val="auto"/>
                <w:sz w:val="21"/>
                <w:szCs w:val="21"/>
                <w:lang w:val="en-US" w:eastAsia="zh-CN"/>
              </w:rPr>
              <w:t>（2）生产区域和办公区均分开设置，生产办公互不干扰，通道间距能满足运输和设备布置的条件，并符合防火、安全、卫生等规范。</w:t>
            </w:r>
          </w:p>
          <w:p w14:paraId="73129762">
            <w:pPr>
              <w:adjustRightInd w:val="0"/>
              <w:snapToGrid w:val="0"/>
              <w:spacing w:line="360" w:lineRule="auto"/>
              <w:ind w:firstLine="420" w:firstLineChars="200"/>
              <w:rPr>
                <w:rFonts w:hint="eastAsia" w:ascii="宋体" w:hAnsi="宋体" w:cs="宋体"/>
                <w:bCs/>
                <w:color w:val="auto"/>
                <w:sz w:val="21"/>
                <w:szCs w:val="21"/>
                <w:lang w:val="en-US" w:eastAsia="zh-CN"/>
              </w:rPr>
            </w:pPr>
            <w:r>
              <w:rPr>
                <w:rFonts w:hint="eastAsia" w:ascii="宋体" w:hAnsi="宋体" w:cs="宋体"/>
                <w:bCs/>
                <w:color w:val="auto"/>
                <w:sz w:val="21"/>
                <w:szCs w:val="21"/>
                <w:lang w:val="en-US" w:eastAsia="zh-CN"/>
              </w:rPr>
              <w:t>（3）生产过程中主要污染物通过处理后达标排放，对外环境的影响较小。</w:t>
            </w:r>
          </w:p>
          <w:p w14:paraId="2CC42A2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b/>
                <w:bCs/>
                <w:color w:val="auto"/>
                <w:kern w:val="2"/>
                <w:sz w:val="21"/>
                <w:szCs w:val="24"/>
                <w:lang w:val="en-US" w:eastAsia="zh-CN" w:bidi="ar-SA"/>
              </w:rPr>
            </w:pPr>
            <w:r>
              <w:rPr>
                <w:rFonts w:hint="eastAsia" w:ascii="宋体" w:hAnsi="宋体" w:cs="宋体"/>
                <w:bCs/>
                <w:color w:val="auto"/>
                <w:sz w:val="21"/>
                <w:szCs w:val="21"/>
                <w:lang w:val="en-US" w:eastAsia="zh-CN"/>
              </w:rPr>
              <w:t>综上所述，项目平面布置满足工艺流程需要，平面布置功能分区合理，布置紧凑，节约了用地面积，保证了项目生产安全，管理方便。</w:t>
            </w:r>
          </w:p>
        </w:tc>
      </w:tr>
      <w:tr w14:paraId="195C2A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1" w:hRule="atLeast"/>
          <w:jc w:val="center"/>
        </w:trPr>
        <w:tc>
          <w:tcPr>
            <w:tcW w:w="756" w:type="dxa"/>
            <w:noWrap w:val="0"/>
            <w:vAlign w:val="center"/>
          </w:tcPr>
          <w:p w14:paraId="243F81CA">
            <w:pPr>
              <w:pStyle w:val="25"/>
              <w:adjustRightInd w:val="0"/>
              <w:snapToGrid w:val="0"/>
              <w:spacing w:before="0" w:beforeAutospacing="0" w:after="0" w:afterAutospacing="0"/>
              <w:jc w:val="center"/>
              <w:rPr>
                <w:rFonts w:cs="宋体"/>
                <w:color w:val="auto"/>
                <w:sz w:val="21"/>
                <w:szCs w:val="21"/>
              </w:rPr>
            </w:pPr>
            <w:r>
              <w:rPr>
                <w:rFonts w:hint="eastAsia" w:cs="宋体"/>
                <w:color w:val="auto"/>
                <w:sz w:val="21"/>
                <w:szCs w:val="21"/>
              </w:rPr>
              <w:t>工艺流程和产排污环节</w:t>
            </w:r>
          </w:p>
        </w:tc>
        <w:tc>
          <w:tcPr>
            <w:tcW w:w="8304" w:type="dxa"/>
            <w:noWrap w:val="0"/>
            <w:vAlign w:val="top"/>
          </w:tcPr>
          <w:p w14:paraId="42604A97">
            <w:pPr>
              <w:adjustRightInd w:val="0"/>
              <w:snapToGrid w:val="0"/>
              <w:spacing w:line="360" w:lineRule="auto"/>
              <w:rPr>
                <w:rFonts w:hint="default"/>
                <w:b/>
                <w:bCs/>
                <w:color w:val="auto"/>
              </w:rPr>
            </w:pPr>
            <w:r>
              <w:rPr>
                <w:rFonts w:hint="default"/>
                <w:b/>
                <w:bCs/>
                <w:color w:val="auto"/>
                <w:lang w:eastAsia="zh-CN"/>
              </w:rPr>
              <w:t>一</w:t>
            </w:r>
            <w:r>
              <w:rPr>
                <w:rFonts w:hint="default"/>
                <w:b/>
                <w:bCs/>
                <w:color w:val="auto"/>
              </w:rPr>
              <w:t>、</w:t>
            </w:r>
            <w:r>
              <w:rPr>
                <w:rFonts w:hint="default"/>
                <w:b/>
                <w:bCs/>
                <w:color w:val="auto"/>
                <w:lang w:eastAsia="zh-CN"/>
              </w:rPr>
              <w:t>施工期</w:t>
            </w:r>
            <w:r>
              <w:rPr>
                <w:rFonts w:hint="default"/>
                <w:b/>
                <w:bCs/>
                <w:color w:val="auto"/>
              </w:rPr>
              <w:t>工程</w:t>
            </w:r>
          </w:p>
          <w:p w14:paraId="1D8EA90B">
            <w:pPr>
              <w:adjustRightInd w:val="0"/>
              <w:snapToGrid w:val="0"/>
              <w:spacing w:line="360" w:lineRule="auto"/>
              <w:ind w:firstLine="420" w:firstLineChars="200"/>
              <w:rPr>
                <w:rFonts w:hint="default"/>
                <w:color w:val="auto"/>
              </w:rPr>
            </w:pPr>
            <w:r>
              <w:rPr>
                <w:rFonts w:hint="eastAsia" w:ascii="宋体" w:hAnsi="宋体" w:cs="宋体"/>
                <w:bCs/>
                <w:color w:val="auto"/>
                <w:sz w:val="21"/>
                <w:szCs w:val="21"/>
              </w:rPr>
              <w:t>本项目为新建项目，占地面积</w:t>
            </w:r>
            <w:r>
              <w:rPr>
                <w:rFonts w:hint="eastAsia" w:ascii="宋体" w:hAnsi="宋体" w:cs="宋体"/>
                <w:bCs/>
                <w:color w:val="auto"/>
                <w:sz w:val="21"/>
                <w:szCs w:val="21"/>
                <w:lang w:val="en-US" w:eastAsia="zh-CN"/>
              </w:rPr>
              <w:t>33445.95</w:t>
            </w:r>
            <w:r>
              <w:rPr>
                <w:rFonts w:hint="eastAsia" w:ascii="宋体" w:hAnsi="宋体" w:cs="宋体"/>
                <w:bCs/>
                <w:color w:val="auto"/>
                <w:sz w:val="21"/>
                <w:szCs w:val="21"/>
              </w:rPr>
              <w:t>m</w:t>
            </w:r>
            <w:r>
              <w:rPr>
                <w:rFonts w:hint="eastAsia" w:ascii="宋体" w:hAnsi="宋体" w:cs="宋体"/>
                <w:bCs/>
                <w:color w:val="auto"/>
                <w:sz w:val="21"/>
                <w:szCs w:val="21"/>
                <w:vertAlign w:val="superscript"/>
              </w:rPr>
              <w:t>2</w:t>
            </w:r>
            <w:r>
              <w:rPr>
                <w:rFonts w:hint="eastAsia" w:ascii="宋体" w:hAnsi="宋体" w:cs="宋体"/>
                <w:bCs/>
                <w:color w:val="auto"/>
                <w:sz w:val="21"/>
                <w:szCs w:val="21"/>
              </w:rPr>
              <w:t>，</w:t>
            </w:r>
            <w:r>
              <w:rPr>
                <w:rFonts w:hint="default"/>
                <w:color w:val="auto"/>
              </w:rPr>
              <w:t>本项目施工期主要涉及基础工程、主体及辅助工程、工程验收等工序，建设过程中将产生噪声、扬尘、废气、固体废物、施工废水和生活污水，其排放量随工期和施工强度不同而有所变化。工艺流程及产污位置见图</w:t>
            </w:r>
            <w:r>
              <w:rPr>
                <w:rFonts w:hint="eastAsia"/>
                <w:color w:val="auto"/>
                <w:lang w:val="en-US" w:eastAsia="zh-CN"/>
              </w:rPr>
              <w:t>2</w:t>
            </w:r>
            <w:r>
              <w:rPr>
                <w:rFonts w:hint="default"/>
                <w:color w:val="auto"/>
              </w:rPr>
              <w:t>-1。</w:t>
            </w:r>
          </w:p>
          <w:p w14:paraId="6382FC83">
            <w:pPr>
              <w:adjustRightInd w:val="0"/>
              <w:snapToGrid w:val="0"/>
              <w:spacing w:line="360" w:lineRule="auto"/>
              <w:jc w:val="center"/>
              <w:rPr>
                <w:color w:val="auto"/>
                <w:sz w:val="21"/>
                <w:szCs w:val="21"/>
              </w:rPr>
            </w:pPr>
            <w:r>
              <w:rPr>
                <w:color w:val="auto"/>
                <w:sz w:val="21"/>
                <w:szCs w:val="21"/>
              </w:rPr>
              <w:drawing>
                <wp:inline distT="0" distB="0" distL="114300" distR="114300">
                  <wp:extent cx="4832985" cy="2077720"/>
                  <wp:effectExtent l="0" t="0" r="5715" b="17780"/>
                  <wp:docPr id="1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1"/>
                          <pic:cNvPicPr>
                            <a:picLocks noChangeAspect="1"/>
                          </pic:cNvPicPr>
                        </pic:nvPicPr>
                        <pic:blipFill>
                          <a:blip r:embed="rId13"/>
                          <a:stretch>
                            <a:fillRect/>
                          </a:stretch>
                        </pic:blipFill>
                        <pic:spPr>
                          <a:xfrm>
                            <a:off x="0" y="0"/>
                            <a:ext cx="4832985" cy="2077720"/>
                          </a:xfrm>
                          <a:prstGeom prst="rect">
                            <a:avLst/>
                          </a:prstGeom>
                          <a:noFill/>
                          <a:ln>
                            <a:noFill/>
                          </a:ln>
                        </pic:spPr>
                      </pic:pic>
                    </a:graphicData>
                  </a:graphic>
                </wp:inline>
              </w:drawing>
            </w:r>
          </w:p>
          <w:p w14:paraId="4C2931A7">
            <w:pPr>
              <w:adjustRightInd w:val="0"/>
              <w:snapToGrid w:val="0"/>
              <w:spacing w:line="360" w:lineRule="auto"/>
              <w:jc w:val="center"/>
              <w:rPr>
                <w:rFonts w:hint="default"/>
                <w:b/>
                <w:bCs/>
                <w:color w:val="auto"/>
              </w:rPr>
            </w:pPr>
            <w:r>
              <w:rPr>
                <w:rFonts w:hint="default"/>
                <w:b/>
                <w:bCs/>
                <w:color w:val="auto"/>
              </w:rPr>
              <w:t>图</w:t>
            </w:r>
            <w:r>
              <w:rPr>
                <w:rFonts w:hint="eastAsia"/>
                <w:b/>
                <w:bCs/>
                <w:color w:val="auto"/>
                <w:lang w:val="en-US" w:eastAsia="zh-CN"/>
              </w:rPr>
              <w:t>2</w:t>
            </w:r>
            <w:r>
              <w:rPr>
                <w:rFonts w:hint="default"/>
                <w:b/>
                <w:bCs/>
                <w:color w:val="auto"/>
              </w:rPr>
              <w:t>-</w:t>
            </w:r>
            <w:r>
              <w:rPr>
                <w:rFonts w:hint="eastAsia"/>
                <w:b/>
                <w:bCs/>
                <w:color w:val="auto"/>
                <w:lang w:val="en-US" w:eastAsia="zh-CN"/>
              </w:rPr>
              <w:t>2</w:t>
            </w:r>
            <w:r>
              <w:rPr>
                <w:rFonts w:hint="default"/>
                <w:b/>
                <w:bCs/>
                <w:color w:val="auto"/>
              </w:rPr>
              <w:t xml:space="preserve"> 施工期工艺流程及产污环节示意图</w:t>
            </w:r>
          </w:p>
          <w:p w14:paraId="5223FC56">
            <w:pPr>
              <w:adjustRightInd w:val="0"/>
              <w:snapToGrid w:val="0"/>
              <w:spacing w:line="360" w:lineRule="auto"/>
              <w:ind w:firstLine="420" w:firstLineChars="200"/>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产污环节说明：</w:t>
            </w:r>
          </w:p>
          <w:p w14:paraId="1A22C94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Times New Roman"/>
                <w:bCs/>
                <w:color w:val="auto"/>
                <w:szCs w:val="21"/>
                <w:lang w:val="en-US" w:eastAsia="zh-CN"/>
              </w:rPr>
            </w:pPr>
            <w:r>
              <w:rPr>
                <w:rFonts w:hint="eastAsia" w:ascii="宋体" w:hAnsi="宋体" w:eastAsia="宋体" w:cs="宋体"/>
                <w:bCs/>
                <w:color w:val="auto"/>
                <w:sz w:val="21"/>
                <w:szCs w:val="21"/>
                <w:lang w:val="en-US" w:eastAsia="zh-CN"/>
              </w:rPr>
              <w:t>从上述污染工序可知，本项目施工期主要环境污染问题是：施工扬尘、施工噪声、施工人员生活污水、施工人员生活垃圾等，贯穿于整个施工过程。项目在进行施工过程中严格按照相关规定和要求进行施工和管理，能较好地控制施工过程中的扬尘和噪声，但不同污染因子在不同施工时段污染强度不同，对环境的影响随施工期的内容不同而有所变化，随着施工期的结束对环境的影响也随之结束。</w:t>
            </w:r>
          </w:p>
          <w:p w14:paraId="349F4ADE">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Times New Roman"/>
                <w:b/>
                <w:bCs w:val="0"/>
                <w:color w:val="auto"/>
                <w:szCs w:val="21"/>
                <w:lang w:val="en-US" w:eastAsia="zh-CN"/>
              </w:rPr>
            </w:pPr>
            <w:r>
              <w:rPr>
                <w:rFonts w:hint="eastAsia" w:ascii="宋体" w:hAnsi="宋体" w:eastAsia="宋体" w:cs="Times New Roman"/>
                <w:b/>
                <w:bCs w:val="0"/>
                <w:color w:val="auto"/>
                <w:szCs w:val="21"/>
                <w:lang w:val="en-US" w:eastAsia="zh-CN"/>
              </w:rPr>
              <w:t xml:space="preserve">二、营运期工程分析 </w:t>
            </w:r>
          </w:p>
          <w:p w14:paraId="28F8E6A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Times New Roman"/>
                <w:bCs/>
                <w:color w:val="auto"/>
                <w:szCs w:val="21"/>
                <w:lang w:val="en-US" w:eastAsia="zh-CN"/>
              </w:rPr>
            </w:pPr>
            <w:r>
              <w:rPr>
                <w:rFonts w:hint="eastAsia" w:ascii="宋体" w:hAnsi="宋体" w:eastAsia="宋体" w:cs="Times New Roman"/>
                <w:bCs/>
                <w:color w:val="auto"/>
                <w:szCs w:val="21"/>
                <w:lang w:val="en-US" w:eastAsia="zh-CN"/>
              </w:rPr>
              <w:t>（一）营运期工艺流程</w:t>
            </w:r>
          </w:p>
          <w:p w14:paraId="60E0583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Times New Roman"/>
                <w:b/>
                <w:bCs w:val="0"/>
                <w:color w:val="auto"/>
                <w:sz w:val="18"/>
                <w:szCs w:val="18"/>
                <w:lang w:val="en-US" w:eastAsia="zh-CN"/>
              </w:rPr>
            </w:pPr>
            <w:r>
              <w:rPr>
                <w:rFonts w:hint="eastAsia" w:ascii="宋体" w:hAnsi="宋体" w:eastAsia="宋体" w:cs="Times New Roman"/>
                <w:bCs/>
                <w:color w:val="auto"/>
                <w:szCs w:val="21"/>
                <w:lang w:val="en-US" w:eastAsia="zh-CN"/>
              </w:rPr>
              <w:t>项目建成后主要生产电动摩托车整车，项目仅对各类外购部件进行组装，在组装车间</w:t>
            </w:r>
            <w:r>
              <w:rPr>
                <w:rFonts w:hint="eastAsia" w:ascii="Times New Roman" w:hAnsi="Times New Roman" w:eastAsia="宋体" w:cs="Times New Roman"/>
                <w:color w:val="auto"/>
                <w:lang w:val="en-US" w:eastAsia="zh-CN"/>
              </w:rPr>
              <w:t>进行部件分装、车架装配、整车最终装配，以及在装配后进行整车检测、调试等工作。</w:t>
            </w:r>
            <w:r>
              <w:rPr>
                <w:rFonts w:hint="eastAsia" w:ascii="宋体" w:hAnsi="宋体" w:eastAsia="宋体" w:cs="Times New Roman"/>
                <w:bCs/>
                <w:color w:val="auto"/>
                <w:szCs w:val="21"/>
                <w:lang w:val="en-US" w:eastAsia="zh-CN"/>
              </w:rPr>
              <w:t>工艺流程及产污位置见下图。</w:t>
            </w:r>
          </w:p>
          <w:p w14:paraId="5148162F">
            <w:pPr>
              <w:pStyle w:val="24"/>
              <w:ind w:left="0" w:leftChars="0" w:firstLine="0" w:firstLineChars="0"/>
              <w:jc w:val="center"/>
              <w:rPr>
                <w:rFonts w:hint="eastAsia" w:ascii="宋体" w:hAnsi="宋体" w:eastAsia="宋体" w:cs="Times New Roman"/>
                <w:b/>
                <w:bCs w:val="0"/>
                <w:color w:val="auto"/>
                <w:sz w:val="18"/>
                <w:szCs w:val="18"/>
                <w:lang w:val="en-US" w:eastAsia="zh-CN"/>
              </w:rPr>
            </w:pPr>
            <w:r>
              <w:rPr>
                <w:rFonts w:hint="eastAsia"/>
                <w:b/>
                <w:bCs/>
                <w:color w:val="auto"/>
                <w:sz w:val="40"/>
                <w:szCs w:val="48"/>
                <w:lang w:val="en-US" w:eastAsia="zh-CN"/>
              </w:rPr>
              <w:drawing>
                <wp:inline distT="0" distB="0" distL="114300" distR="114300">
                  <wp:extent cx="4055110" cy="7303135"/>
                  <wp:effectExtent l="0" t="0" r="2540" b="12065"/>
                  <wp:docPr id="12"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CB019B1-382A-4266-B25C-5B523AA43C14-1" descr="wps"/>
                          <pic:cNvPicPr>
                            <a:picLocks noChangeAspect="1"/>
                          </pic:cNvPicPr>
                        </pic:nvPicPr>
                        <pic:blipFill>
                          <a:blip r:embed="rId14"/>
                          <a:stretch>
                            <a:fillRect/>
                          </a:stretch>
                        </pic:blipFill>
                        <pic:spPr>
                          <a:xfrm>
                            <a:off x="0" y="0"/>
                            <a:ext cx="4055110" cy="7303135"/>
                          </a:xfrm>
                          <a:prstGeom prst="rect">
                            <a:avLst/>
                          </a:prstGeom>
                          <a:noFill/>
                          <a:ln>
                            <a:noFill/>
                          </a:ln>
                        </pic:spPr>
                      </pic:pic>
                    </a:graphicData>
                  </a:graphic>
                </wp:inline>
              </w:drawing>
            </w:r>
          </w:p>
          <w:p w14:paraId="682A0889">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Times New Roman"/>
                <w:b/>
                <w:bCs w:val="0"/>
                <w:color w:val="auto"/>
                <w:sz w:val="21"/>
                <w:szCs w:val="21"/>
                <w:lang w:val="en-US" w:eastAsia="zh-CN"/>
              </w:rPr>
            </w:pPr>
            <w:r>
              <w:rPr>
                <w:rFonts w:hint="eastAsia" w:ascii="宋体" w:hAnsi="宋体" w:eastAsia="宋体" w:cs="Times New Roman"/>
                <w:b/>
                <w:bCs w:val="0"/>
                <w:color w:val="auto"/>
                <w:sz w:val="21"/>
                <w:szCs w:val="21"/>
                <w:lang w:val="en-US" w:eastAsia="zh-CN"/>
              </w:rPr>
              <w:t>图2-</w:t>
            </w:r>
            <w:r>
              <w:rPr>
                <w:rFonts w:hint="eastAsia" w:ascii="宋体" w:hAnsi="宋体" w:cs="Times New Roman"/>
                <w:b/>
                <w:bCs w:val="0"/>
                <w:color w:val="auto"/>
                <w:sz w:val="21"/>
                <w:szCs w:val="21"/>
                <w:lang w:val="en-US" w:eastAsia="zh-CN"/>
              </w:rPr>
              <w:t>3</w:t>
            </w:r>
            <w:r>
              <w:rPr>
                <w:rFonts w:hint="eastAsia" w:ascii="宋体" w:hAnsi="宋体" w:eastAsia="宋体" w:cs="Times New Roman"/>
                <w:b/>
                <w:bCs w:val="0"/>
                <w:color w:val="auto"/>
                <w:sz w:val="21"/>
                <w:szCs w:val="21"/>
                <w:lang w:val="en-US" w:eastAsia="zh-CN"/>
              </w:rPr>
              <w:t xml:space="preserve">  </w:t>
            </w:r>
            <w:r>
              <w:rPr>
                <w:rFonts w:hint="eastAsia"/>
                <w:b/>
                <w:bCs w:val="0"/>
                <w:color w:val="auto"/>
                <w:sz w:val="21"/>
                <w:szCs w:val="21"/>
                <w:vertAlign w:val="baseline"/>
                <w:lang w:val="en-US" w:eastAsia="zh-CN"/>
              </w:rPr>
              <w:t>生产流程及产污位置图</w:t>
            </w:r>
          </w:p>
          <w:p w14:paraId="41D8EBA9">
            <w:pPr>
              <w:spacing w:line="360" w:lineRule="auto"/>
              <w:jc w:val="both"/>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组装工艺流程说明：</w:t>
            </w:r>
          </w:p>
          <w:p w14:paraId="3AFDD229">
            <w:pPr>
              <w:spacing w:line="360" w:lineRule="auto"/>
              <w:ind w:firstLine="420" w:firstLineChars="200"/>
              <w:jc w:val="both"/>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装配采用流水线式，按工位逐个装配配件，输送方式为积放链加地板链形式，主要完成以下工序：装电气系统、液压系统、举升机构、附件、电气测试等。</w:t>
            </w:r>
          </w:p>
          <w:p w14:paraId="160325A6">
            <w:pPr>
              <w:spacing w:line="360" w:lineRule="auto"/>
              <w:ind w:firstLine="420" w:firstLineChars="200"/>
              <w:jc w:val="both"/>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组装完毕后</w:t>
            </w:r>
            <w:r>
              <w:rPr>
                <w:rFonts w:hint="eastAsia"/>
                <w:b w:val="0"/>
                <w:bCs w:val="0"/>
                <w:color w:val="auto"/>
                <w:lang w:val="en-US" w:eastAsia="zh-CN"/>
              </w:rPr>
              <w:t>，人工推送到车间内的检测台。通过接入测试用的铅酸电池对产品三轮车通电，通电后主要测试灯光、喇叭、电机、控制器、后桥等能否正常使用，测试完毕车辆能够正常使用后，断开电源将检测无问题的车辆推至成品存放区，分客户进行存放。</w:t>
            </w:r>
          </w:p>
          <w:p w14:paraId="7AB47482">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color w:val="auto"/>
                <w:lang w:val="en-US" w:eastAsia="zh-CN"/>
              </w:rPr>
            </w:pPr>
            <w:r>
              <w:rPr>
                <w:rFonts w:hint="eastAsia"/>
                <w:color w:val="auto"/>
                <w:lang w:val="en-US" w:eastAsia="zh-CN"/>
              </w:rPr>
              <w:t xml:space="preserve">    打号、上铝牌、合格证、说明书工序环节说明：</w:t>
            </w:r>
          </w:p>
          <w:p w14:paraId="516E7E6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color w:val="auto"/>
                <w:lang w:val="en-US" w:eastAsia="zh-CN"/>
              </w:rPr>
            </w:pPr>
            <w:r>
              <w:rPr>
                <w:rFonts w:hint="eastAsia"/>
                <w:color w:val="auto"/>
                <w:lang w:val="en-US" w:eastAsia="zh-CN"/>
              </w:rPr>
              <w:t>打号：由打标机生成车架号后，再由打标机将生成的车架号刻印到车架右侧大梁上；</w:t>
            </w:r>
          </w:p>
          <w:p w14:paraId="67FD694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color w:val="auto"/>
                <w:lang w:val="en-US" w:eastAsia="zh-CN"/>
              </w:rPr>
            </w:pPr>
            <w:r>
              <w:rPr>
                <w:rFonts w:hint="eastAsia"/>
                <w:color w:val="auto"/>
                <w:lang w:val="en-US" w:eastAsia="zh-CN"/>
              </w:rPr>
              <w:t>上铝牌：从供应商处购进空白铝牌，通过激光刻印机将车架号等内容刻至铝牌上，完成以后在使用螺丝、电动扳手将铝牌安装到三轮车上；</w:t>
            </w:r>
          </w:p>
          <w:p w14:paraId="43D44C3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color w:val="auto"/>
                <w:lang w:val="en-US" w:eastAsia="zh-CN"/>
              </w:rPr>
            </w:pPr>
            <w:r>
              <w:rPr>
                <w:rFonts w:hint="eastAsia"/>
                <w:color w:val="auto"/>
                <w:lang w:val="en-US" w:eastAsia="zh-CN"/>
              </w:rPr>
              <w:t>合格证：从供应商处购进空白合格证，通过打印机将合格证的内容打印上去，完成以后放到三轮车坐桶中。</w:t>
            </w:r>
          </w:p>
          <w:p w14:paraId="4CE3E15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color w:val="auto"/>
                <w:lang w:val="en-US" w:eastAsia="zh-CN"/>
              </w:rPr>
            </w:pPr>
            <w:r>
              <w:rPr>
                <w:rFonts w:hint="eastAsia"/>
                <w:color w:val="auto"/>
                <w:lang w:val="en-US" w:eastAsia="zh-CN"/>
              </w:rPr>
              <w:t>说明书：属于印刷品，从供应商处购进后无需二次加工，在生产过程中直接将合格证放入三轮车坐桶中。</w:t>
            </w:r>
          </w:p>
          <w:p w14:paraId="755ED75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Times New Roman"/>
                <w:b/>
                <w:bCs w:val="0"/>
                <w:color w:val="auto"/>
                <w:szCs w:val="21"/>
                <w:lang w:val="en-US" w:eastAsia="zh-CN"/>
              </w:rPr>
            </w:pPr>
            <w:r>
              <w:rPr>
                <w:rFonts w:hint="eastAsia"/>
                <w:color w:val="auto"/>
                <w:lang w:val="en-US" w:eastAsia="zh-CN"/>
              </w:rPr>
              <w:t>整个组装流程主要产生装配噪声和废测试电池、废包装材料等。</w:t>
            </w:r>
          </w:p>
          <w:p w14:paraId="053DBEAC">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eastAsia" w:ascii="宋体" w:hAnsi="宋体" w:eastAsia="宋体" w:cs="Times New Roman"/>
                <w:bCs/>
                <w:color w:val="auto"/>
                <w:szCs w:val="21"/>
                <w:lang w:val="en-US" w:eastAsia="zh-CN"/>
              </w:rPr>
            </w:pPr>
            <w:r>
              <w:rPr>
                <w:rFonts w:hint="eastAsia" w:ascii="宋体" w:hAnsi="宋体" w:eastAsia="宋体" w:cs="Times New Roman"/>
                <w:b/>
                <w:bCs w:val="0"/>
                <w:color w:val="auto"/>
                <w:szCs w:val="21"/>
                <w:lang w:val="en-US" w:eastAsia="zh-CN"/>
              </w:rPr>
              <w:t>（二）产污分析</w:t>
            </w:r>
            <w:r>
              <w:rPr>
                <w:rFonts w:hint="eastAsia" w:ascii="宋体" w:hAnsi="宋体" w:eastAsia="宋体" w:cs="Times New Roman"/>
                <w:bCs/>
                <w:color w:val="auto"/>
                <w:szCs w:val="21"/>
                <w:lang w:val="en-US" w:eastAsia="zh-CN"/>
              </w:rPr>
              <w:t xml:space="preserve"> </w:t>
            </w:r>
          </w:p>
          <w:p w14:paraId="518AF3F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Times New Roman"/>
                <w:bCs/>
                <w:color w:val="auto"/>
                <w:szCs w:val="21"/>
                <w:lang w:val="en-US" w:eastAsia="zh-CN"/>
              </w:rPr>
            </w:pPr>
            <w:r>
              <w:rPr>
                <w:rFonts w:hint="eastAsia" w:ascii="宋体" w:hAnsi="宋体" w:eastAsia="宋体" w:cs="Times New Roman"/>
                <w:bCs/>
                <w:color w:val="auto"/>
                <w:szCs w:val="21"/>
                <w:lang w:val="en-US" w:eastAsia="zh-CN"/>
              </w:rPr>
              <w:t>本项目营运期产污分析如下：</w:t>
            </w:r>
          </w:p>
          <w:p w14:paraId="591E4D2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Times New Roman"/>
                <w:bCs/>
                <w:color w:val="auto"/>
                <w:szCs w:val="21"/>
                <w:lang w:val="en-US" w:eastAsia="zh-CN"/>
              </w:rPr>
            </w:pPr>
            <w:r>
              <w:rPr>
                <w:rFonts w:hint="eastAsia" w:ascii="宋体" w:hAnsi="宋体" w:eastAsia="宋体" w:cs="Times New Roman"/>
                <w:bCs/>
                <w:color w:val="auto"/>
                <w:szCs w:val="21"/>
                <w:lang w:val="en-US" w:eastAsia="zh-CN"/>
              </w:rPr>
              <w:t>根据项目工艺流程和原辅材料分析可知，营运期产污环节和主要污染物类型见下表。</w:t>
            </w:r>
          </w:p>
          <w:p w14:paraId="43346EB0">
            <w:pPr>
              <w:snapToGrid w:val="0"/>
              <w:spacing w:before="120" w:beforeLines="50"/>
              <w:jc w:val="center"/>
              <w:rPr>
                <w:rFonts w:hint="eastAsia"/>
                <w:b/>
                <w:color w:val="auto"/>
                <w:sz w:val="21"/>
                <w:szCs w:val="21"/>
                <w:lang w:val="en-US" w:eastAsia="zh-CN"/>
              </w:rPr>
            </w:pPr>
            <w:r>
              <w:rPr>
                <w:rFonts w:hint="eastAsia"/>
                <w:b/>
                <w:color w:val="auto"/>
                <w:sz w:val="21"/>
                <w:szCs w:val="21"/>
                <w:lang w:val="en-US" w:eastAsia="zh-CN"/>
              </w:rPr>
              <w:t>表2-7   主要产污环节及产污类型</w:t>
            </w:r>
          </w:p>
          <w:tbl>
            <w:tblPr>
              <w:tblStyle w:val="31"/>
              <w:tblW w:w="7945"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82"/>
              <w:gridCol w:w="2163"/>
              <w:gridCol w:w="1837"/>
              <w:gridCol w:w="2963"/>
            </w:tblGrid>
            <w:tr w14:paraId="1781A6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82" w:type="dxa"/>
                  <w:tcBorders>
                    <w:tl2br w:val="nil"/>
                    <w:tr2bl w:val="nil"/>
                  </w:tcBorders>
                  <w:noWrap w:val="0"/>
                  <w:vAlign w:val="center"/>
                </w:tcPr>
                <w:p w14:paraId="76C9C9BF">
                  <w:pPr>
                    <w:spacing w:line="0" w:lineRule="atLeast"/>
                    <w:jc w:val="center"/>
                    <w:rPr>
                      <w:rFonts w:hint="eastAsia" w:ascii="宋体" w:hAnsi="宋体" w:eastAsia="宋体" w:cs="宋体"/>
                      <w:color w:val="auto"/>
                      <w:szCs w:val="22"/>
                      <w:lang w:val="en-US" w:eastAsia="zh-CN"/>
                    </w:rPr>
                  </w:pPr>
                  <w:r>
                    <w:rPr>
                      <w:rFonts w:hint="eastAsia" w:ascii="宋体" w:hAnsi="宋体" w:eastAsia="宋体" w:cs="宋体"/>
                      <w:color w:val="auto"/>
                      <w:szCs w:val="22"/>
                      <w:lang w:val="en-US" w:eastAsia="zh-CN"/>
                    </w:rPr>
                    <w:t>类别</w:t>
                  </w:r>
                </w:p>
              </w:tc>
              <w:tc>
                <w:tcPr>
                  <w:tcW w:w="2163" w:type="dxa"/>
                  <w:tcBorders>
                    <w:tl2br w:val="nil"/>
                    <w:tr2bl w:val="nil"/>
                  </w:tcBorders>
                  <w:noWrap w:val="0"/>
                  <w:vAlign w:val="center"/>
                </w:tcPr>
                <w:p w14:paraId="744FD236">
                  <w:pPr>
                    <w:spacing w:line="0" w:lineRule="atLeast"/>
                    <w:jc w:val="center"/>
                    <w:rPr>
                      <w:rFonts w:hint="eastAsia" w:ascii="宋体" w:hAnsi="宋体" w:eastAsia="宋体" w:cs="宋体"/>
                      <w:color w:val="auto"/>
                      <w:szCs w:val="22"/>
                      <w:lang w:val="en-US" w:eastAsia="zh-CN"/>
                    </w:rPr>
                  </w:pPr>
                  <w:r>
                    <w:rPr>
                      <w:rFonts w:hint="eastAsia" w:ascii="宋体" w:hAnsi="宋体" w:eastAsia="宋体" w:cs="宋体"/>
                      <w:color w:val="auto"/>
                      <w:szCs w:val="22"/>
                      <w:lang w:val="en-US" w:eastAsia="zh-CN"/>
                    </w:rPr>
                    <w:t>产污位置</w:t>
                  </w:r>
                </w:p>
              </w:tc>
              <w:tc>
                <w:tcPr>
                  <w:tcW w:w="1837" w:type="dxa"/>
                  <w:tcBorders>
                    <w:tl2br w:val="nil"/>
                    <w:tr2bl w:val="nil"/>
                  </w:tcBorders>
                  <w:noWrap w:val="0"/>
                  <w:vAlign w:val="center"/>
                </w:tcPr>
                <w:p w14:paraId="508175F2">
                  <w:pPr>
                    <w:spacing w:line="0" w:lineRule="atLeast"/>
                    <w:jc w:val="center"/>
                    <w:rPr>
                      <w:rFonts w:hint="eastAsia" w:ascii="宋体" w:hAnsi="宋体" w:eastAsia="宋体" w:cs="宋体"/>
                      <w:color w:val="auto"/>
                      <w:szCs w:val="22"/>
                      <w:lang w:val="en-US" w:eastAsia="zh-CN"/>
                    </w:rPr>
                  </w:pPr>
                  <w:r>
                    <w:rPr>
                      <w:rFonts w:hint="eastAsia" w:ascii="宋体" w:hAnsi="宋体" w:eastAsia="宋体" w:cs="宋体"/>
                      <w:color w:val="auto"/>
                      <w:szCs w:val="22"/>
                      <w:lang w:val="en-US" w:eastAsia="zh-CN"/>
                    </w:rPr>
                    <w:t>污染物名称</w:t>
                  </w:r>
                </w:p>
              </w:tc>
              <w:tc>
                <w:tcPr>
                  <w:tcW w:w="2963" w:type="dxa"/>
                  <w:tcBorders>
                    <w:tl2br w:val="nil"/>
                    <w:tr2bl w:val="nil"/>
                  </w:tcBorders>
                  <w:noWrap w:val="0"/>
                  <w:vAlign w:val="center"/>
                </w:tcPr>
                <w:p w14:paraId="3C06B59A">
                  <w:pPr>
                    <w:spacing w:line="0" w:lineRule="atLeast"/>
                    <w:jc w:val="center"/>
                    <w:rPr>
                      <w:rFonts w:hint="eastAsia" w:ascii="宋体" w:hAnsi="宋体" w:eastAsia="宋体" w:cs="宋体"/>
                      <w:color w:val="auto"/>
                      <w:szCs w:val="22"/>
                      <w:lang w:val="en-US" w:eastAsia="zh-CN"/>
                    </w:rPr>
                  </w:pPr>
                  <w:r>
                    <w:rPr>
                      <w:rFonts w:hint="eastAsia" w:ascii="宋体" w:hAnsi="宋体" w:eastAsia="宋体" w:cs="宋体"/>
                      <w:color w:val="auto"/>
                      <w:szCs w:val="22"/>
                      <w:lang w:val="en-US" w:eastAsia="zh-CN"/>
                    </w:rPr>
                    <w:t>主要污染因子或废物类别</w:t>
                  </w:r>
                </w:p>
              </w:tc>
            </w:tr>
            <w:tr w14:paraId="204B8F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82" w:type="dxa"/>
                  <w:tcBorders>
                    <w:tl2br w:val="nil"/>
                    <w:tr2bl w:val="nil"/>
                  </w:tcBorders>
                  <w:noWrap w:val="0"/>
                  <w:vAlign w:val="center"/>
                </w:tcPr>
                <w:p w14:paraId="7806DAE6">
                  <w:pPr>
                    <w:spacing w:line="0" w:lineRule="atLeast"/>
                    <w:jc w:val="center"/>
                    <w:rPr>
                      <w:rFonts w:hint="eastAsia" w:ascii="宋体" w:hAnsi="宋体" w:eastAsia="宋体" w:cs="宋体"/>
                      <w:color w:val="auto"/>
                      <w:szCs w:val="22"/>
                      <w:lang w:val="en-US" w:eastAsia="zh-CN"/>
                    </w:rPr>
                  </w:pPr>
                  <w:r>
                    <w:rPr>
                      <w:rFonts w:hint="eastAsia" w:ascii="宋体" w:hAnsi="宋体" w:eastAsia="宋体" w:cs="宋体"/>
                      <w:color w:val="auto"/>
                      <w:szCs w:val="22"/>
                      <w:lang w:val="en-US" w:eastAsia="zh-CN"/>
                    </w:rPr>
                    <w:t>废水</w:t>
                  </w:r>
                </w:p>
              </w:tc>
              <w:tc>
                <w:tcPr>
                  <w:tcW w:w="2163" w:type="dxa"/>
                  <w:tcBorders>
                    <w:tl2br w:val="nil"/>
                    <w:tr2bl w:val="nil"/>
                  </w:tcBorders>
                  <w:noWrap w:val="0"/>
                  <w:vAlign w:val="center"/>
                </w:tcPr>
                <w:p w14:paraId="0C61DDB3">
                  <w:pPr>
                    <w:spacing w:line="0" w:lineRule="atLeast"/>
                    <w:jc w:val="center"/>
                    <w:rPr>
                      <w:rFonts w:hint="default" w:ascii="宋体" w:hAnsi="宋体" w:eastAsia="宋体" w:cs="宋体"/>
                      <w:color w:val="auto"/>
                      <w:szCs w:val="22"/>
                      <w:lang w:val="en-US" w:eastAsia="zh-CN"/>
                    </w:rPr>
                  </w:pPr>
                  <w:r>
                    <w:rPr>
                      <w:rFonts w:hint="eastAsia" w:ascii="宋体" w:hAnsi="宋体" w:eastAsia="宋体" w:cs="宋体"/>
                      <w:color w:val="auto"/>
                      <w:szCs w:val="22"/>
                      <w:lang w:val="en-US" w:eastAsia="zh-CN"/>
                    </w:rPr>
                    <w:t>办公区</w:t>
                  </w:r>
                </w:p>
              </w:tc>
              <w:tc>
                <w:tcPr>
                  <w:tcW w:w="1837" w:type="dxa"/>
                  <w:tcBorders>
                    <w:tl2br w:val="nil"/>
                    <w:tr2bl w:val="nil"/>
                  </w:tcBorders>
                  <w:noWrap w:val="0"/>
                  <w:vAlign w:val="center"/>
                </w:tcPr>
                <w:p w14:paraId="43AE0136">
                  <w:pPr>
                    <w:spacing w:line="0" w:lineRule="atLeast"/>
                    <w:jc w:val="center"/>
                    <w:rPr>
                      <w:rFonts w:hint="default" w:ascii="宋体" w:hAnsi="宋体" w:eastAsia="宋体" w:cs="宋体"/>
                      <w:color w:val="auto"/>
                      <w:szCs w:val="22"/>
                      <w:lang w:val="en-US" w:eastAsia="zh-CN"/>
                    </w:rPr>
                  </w:pPr>
                  <w:r>
                    <w:rPr>
                      <w:rFonts w:hint="eastAsia" w:ascii="宋体" w:hAnsi="宋体" w:eastAsia="宋体" w:cs="宋体"/>
                      <w:color w:val="auto"/>
                      <w:szCs w:val="22"/>
                      <w:lang w:val="en-US" w:eastAsia="zh-CN"/>
                    </w:rPr>
                    <w:t>生活污水</w:t>
                  </w:r>
                </w:p>
              </w:tc>
              <w:tc>
                <w:tcPr>
                  <w:tcW w:w="2963" w:type="dxa"/>
                  <w:tcBorders>
                    <w:tl2br w:val="nil"/>
                    <w:tr2bl w:val="nil"/>
                  </w:tcBorders>
                  <w:noWrap w:val="0"/>
                  <w:vAlign w:val="center"/>
                </w:tcPr>
                <w:p w14:paraId="6845FFD8">
                  <w:pPr>
                    <w:spacing w:line="0" w:lineRule="atLeast"/>
                    <w:jc w:val="center"/>
                    <w:rPr>
                      <w:rFonts w:hint="eastAsia" w:ascii="宋体" w:hAnsi="宋体" w:eastAsia="宋体" w:cs="宋体"/>
                      <w:color w:val="auto"/>
                      <w:szCs w:val="22"/>
                      <w:lang w:val="en-US" w:eastAsia="zh-CN"/>
                    </w:rPr>
                  </w:pPr>
                  <w:r>
                    <w:rPr>
                      <w:rFonts w:hint="eastAsia" w:ascii="宋体" w:hAnsi="宋体" w:eastAsia="宋体" w:cs="宋体"/>
                      <w:color w:val="auto"/>
                      <w:szCs w:val="22"/>
                      <w:lang w:val="en-US" w:eastAsia="zh-CN"/>
                    </w:rPr>
                    <w:t>pH、SS、BOD</w:t>
                  </w:r>
                  <w:r>
                    <w:rPr>
                      <w:rFonts w:hint="eastAsia" w:ascii="宋体" w:hAnsi="宋体" w:eastAsia="宋体" w:cs="宋体"/>
                      <w:color w:val="auto"/>
                      <w:szCs w:val="22"/>
                      <w:vertAlign w:val="subscript"/>
                      <w:lang w:val="en-US" w:eastAsia="zh-CN"/>
                    </w:rPr>
                    <w:t>5</w:t>
                  </w:r>
                  <w:r>
                    <w:rPr>
                      <w:rFonts w:hint="eastAsia" w:ascii="宋体" w:hAnsi="宋体" w:eastAsia="宋体" w:cs="宋体"/>
                      <w:color w:val="auto"/>
                      <w:szCs w:val="22"/>
                      <w:lang w:val="en-US" w:eastAsia="zh-CN"/>
                    </w:rPr>
                    <w:t>、COD、NH</w:t>
                  </w:r>
                  <w:r>
                    <w:rPr>
                      <w:rFonts w:hint="eastAsia" w:ascii="宋体" w:hAnsi="宋体" w:eastAsia="宋体" w:cs="宋体"/>
                      <w:color w:val="auto"/>
                      <w:szCs w:val="22"/>
                      <w:vertAlign w:val="subscript"/>
                      <w:lang w:val="en-US" w:eastAsia="zh-CN"/>
                    </w:rPr>
                    <w:t>3</w:t>
                  </w:r>
                  <w:r>
                    <w:rPr>
                      <w:rFonts w:hint="eastAsia" w:ascii="宋体" w:hAnsi="宋体" w:eastAsia="宋体" w:cs="宋体"/>
                      <w:color w:val="auto"/>
                      <w:szCs w:val="22"/>
                      <w:lang w:val="en-US" w:eastAsia="zh-CN"/>
                    </w:rPr>
                    <w:t>-N</w:t>
                  </w:r>
                </w:p>
              </w:tc>
            </w:tr>
            <w:tr w14:paraId="7B9D66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82" w:type="dxa"/>
                  <w:tcBorders>
                    <w:tl2br w:val="nil"/>
                    <w:tr2bl w:val="nil"/>
                  </w:tcBorders>
                  <w:noWrap w:val="0"/>
                  <w:vAlign w:val="center"/>
                </w:tcPr>
                <w:p w14:paraId="06036BA0">
                  <w:pPr>
                    <w:spacing w:line="0" w:lineRule="atLeast"/>
                    <w:jc w:val="center"/>
                    <w:rPr>
                      <w:rFonts w:hint="eastAsia" w:ascii="宋体" w:hAnsi="宋体" w:eastAsia="宋体" w:cs="宋体"/>
                      <w:color w:val="auto"/>
                      <w:szCs w:val="22"/>
                      <w:lang w:val="en-US" w:eastAsia="zh-CN"/>
                    </w:rPr>
                  </w:pPr>
                  <w:r>
                    <w:rPr>
                      <w:rFonts w:hint="eastAsia" w:ascii="宋体" w:hAnsi="宋体" w:eastAsia="宋体" w:cs="宋体"/>
                      <w:color w:val="auto"/>
                      <w:szCs w:val="22"/>
                      <w:lang w:val="en-US" w:eastAsia="zh-CN"/>
                    </w:rPr>
                    <w:t>噪声</w:t>
                  </w:r>
                </w:p>
              </w:tc>
              <w:tc>
                <w:tcPr>
                  <w:tcW w:w="2163" w:type="dxa"/>
                  <w:tcBorders>
                    <w:tl2br w:val="nil"/>
                    <w:tr2bl w:val="nil"/>
                  </w:tcBorders>
                  <w:noWrap w:val="0"/>
                  <w:vAlign w:val="center"/>
                </w:tcPr>
                <w:p w14:paraId="24B556F8">
                  <w:pPr>
                    <w:spacing w:line="0" w:lineRule="atLeast"/>
                    <w:jc w:val="center"/>
                    <w:rPr>
                      <w:rFonts w:hint="eastAsia" w:ascii="宋体" w:hAnsi="宋体" w:eastAsia="宋体" w:cs="宋体"/>
                      <w:color w:val="auto"/>
                      <w:szCs w:val="22"/>
                      <w:lang w:val="en-US" w:eastAsia="zh-CN"/>
                    </w:rPr>
                  </w:pPr>
                  <w:r>
                    <w:rPr>
                      <w:rFonts w:hint="eastAsia" w:ascii="宋体" w:hAnsi="宋体" w:eastAsia="宋体" w:cs="宋体"/>
                      <w:color w:val="auto"/>
                      <w:szCs w:val="22"/>
                      <w:lang w:val="en-US" w:eastAsia="zh-CN"/>
                    </w:rPr>
                    <w:t>生产设备</w:t>
                  </w:r>
                </w:p>
              </w:tc>
              <w:tc>
                <w:tcPr>
                  <w:tcW w:w="1837" w:type="dxa"/>
                  <w:tcBorders>
                    <w:tl2br w:val="nil"/>
                    <w:tr2bl w:val="nil"/>
                  </w:tcBorders>
                  <w:noWrap w:val="0"/>
                  <w:vAlign w:val="center"/>
                </w:tcPr>
                <w:p w14:paraId="51C1B47E">
                  <w:pPr>
                    <w:spacing w:line="0" w:lineRule="atLeast"/>
                    <w:jc w:val="center"/>
                    <w:rPr>
                      <w:rFonts w:hint="eastAsia" w:ascii="宋体" w:hAnsi="宋体" w:eastAsia="宋体" w:cs="宋体"/>
                      <w:color w:val="auto"/>
                      <w:szCs w:val="22"/>
                      <w:lang w:val="en-US" w:eastAsia="zh-CN"/>
                    </w:rPr>
                  </w:pPr>
                  <w:r>
                    <w:rPr>
                      <w:rFonts w:hint="eastAsia" w:ascii="宋体" w:hAnsi="宋体" w:eastAsia="宋体" w:cs="宋体"/>
                      <w:color w:val="auto"/>
                      <w:szCs w:val="22"/>
                      <w:lang w:val="en-US" w:eastAsia="zh-CN"/>
                    </w:rPr>
                    <w:t>设备噪声</w:t>
                  </w:r>
                </w:p>
              </w:tc>
              <w:tc>
                <w:tcPr>
                  <w:tcW w:w="2963" w:type="dxa"/>
                  <w:tcBorders>
                    <w:tl2br w:val="nil"/>
                    <w:tr2bl w:val="nil"/>
                  </w:tcBorders>
                  <w:noWrap w:val="0"/>
                  <w:vAlign w:val="center"/>
                </w:tcPr>
                <w:p w14:paraId="47E46AAC">
                  <w:pPr>
                    <w:spacing w:line="0" w:lineRule="atLeast"/>
                    <w:jc w:val="center"/>
                    <w:rPr>
                      <w:rFonts w:hint="eastAsia" w:ascii="宋体" w:hAnsi="宋体" w:eastAsia="宋体" w:cs="宋体"/>
                      <w:color w:val="auto"/>
                      <w:szCs w:val="22"/>
                      <w:lang w:val="en-US" w:eastAsia="zh-CN"/>
                    </w:rPr>
                  </w:pPr>
                  <w:r>
                    <w:rPr>
                      <w:rFonts w:hint="eastAsia" w:ascii="宋体" w:hAnsi="宋体" w:eastAsia="宋体" w:cs="宋体"/>
                      <w:color w:val="auto"/>
                      <w:szCs w:val="22"/>
                      <w:lang w:val="en-US" w:eastAsia="zh-CN"/>
                    </w:rPr>
                    <w:t>等效连续A声级</w:t>
                  </w:r>
                </w:p>
              </w:tc>
            </w:tr>
            <w:tr w14:paraId="42EAAF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82" w:type="dxa"/>
                  <w:vMerge w:val="restart"/>
                  <w:tcBorders>
                    <w:tl2br w:val="nil"/>
                    <w:tr2bl w:val="nil"/>
                  </w:tcBorders>
                  <w:noWrap w:val="0"/>
                  <w:vAlign w:val="center"/>
                </w:tcPr>
                <w:p w14:paraId="4DF46B8B">
                  <w:pPr>
                    <w:spacing w:line="0" w:lineRule="atLeast"/>
                    <w:jc w:val="center"/>
                    <w:rPr>
                      <w:rFonts w:hint="eastAsia" w:ascii="宋体" w:hAnsi="宋体" w:eastAsia="宋体" w:cs="宋体"/>
                      <w:color w:val="auto"/>
                      <w:szCs w:val="22"/>
                      <w:lang w:val="en-US" w:eastAsia="zh-CN"/>
                    </w:rPr>
                  </w:pPr>
                  <w:r>
                    <w:rPr>
                      <w:rFonts w:hint="eastAsia" w:ascii="宋体" w:hAnsi="宋体" w:eastAsia="宋体" w:cs="宋体"/>
                      <w:color w:val="auto"/>
                      <w:szCs w:val="22"/>
                      <w:lang w:val="en-US" w:eastAsia="zh-CN"/>
                    </w:rPr>
                    <w:t>固废</w:t>
                  </w:r>
                </w:p>
              </w:tc>
              <w:tc>
                <w:tcPr>
                  <w:tcW w:w="2163" w:type="dxa"/>
                  <w:tcBorders>
                    <w:tl2br w:val="nil"/>
                    <w:tr2bl w:val="nil"/>
                  </w:tcBorders>
                  <w:noWrap w:val="0"/>
                  <w:vAlign w:val="center"/>
                </w:tcPr>
                <w:p w14:paraId="75429D62">
                  <w:pPr>
                    <w:spacing w:line="0" w:lineRule="atLeast"/>
                    <w:jc w:val="center"/>
                    <w:rPr>
                      <w:rFonts w:hint="default" w:ascii="宋体" w:hAnsi="宋体" w:eastAsia="宋体" w:cs="宋体"/>
                      <w:color w:val="auto"/>
                      <w:szCs w:val="22"/>
                      <w:lang w:val="en-US" w:eastAsia="zh-CN"/>
                    </w:rPr>
                  </w:pPr>
                  <w:r>
                    <w:rPr>
                      <w:rFonts w:hint="eastAsia" w:ascii="宋体" w:hAnsi="宋体" w:eastAsia="宋体" w:cs="宋体"/>
                      <w:color w:val="auto"/>
                      <w:szCs w:val="22"/>
                      <w:lang w:val="en-US" w:eastAsia="zh-CN"/>
                    </w:rPr>
                    <w:t>组装车间</w:t>
                  </w:r>
                </w:p>
              </w:tc>
              <w:tc>
                <w:tcPr>
                  <w:tcW w:w="1837" w:type="dxa"/>
                  <w:tcBorders>
                    <w:tl2br w:val="nil"/>
                    <w:tr2bl w:val="nil"/>
                  </w:tcBorders>
                  <w:noWrap w:val="0"/>
                  <w:vAlign w:val="center"/>
                </w:tcPr>
                <w:p w14:paraId="196E7F3C">
                  <w:pPr>
                    <w:spacing w:line="0" w:lineRule="atLeast"/>
                    <w:jc w:val="center"/>
                    <w:rPr>
                      <w:rFonts w:hint="default" w:ascii="宋体" w:hAnsi="宋体" w:eastAsia="宋体" w:cs="宋体"/>
                      <w:color w:val="auto"/>
                      <w:szCs w:val="22"/>
                      <w:lang w:val="en-US" w:eastAsia="zh-CN"/>
                    </w:rPr>
                  </w:pPr>
                  <w:r>
                    <w:rPr>
                      <w:rFonts w:hint="eastAsia"/>
                      <w:color w:val="auto"/>
                      <w:lang w:val="en-US" w:eastAsia="zh-CN"/>
                    </w:rPr>
                    <w:t>废包装材料</w:t>
                  </w:r>
                </w:p>
              </w:tc>
              <w:tc>
                <w:tcPr>
                  <w:tcW w:w="2963" w:type="dxa"/>
                  <w:tcBorders>
                    <w:tl2br w:val="nil"/>
                    <w:tr2bl w:val="nil"/>
                  </w:tcBorders>
                  <w:noWrap w:val="0"/>
                  <w:vAlign w:val="center"/>
                </w:tcPr>
                <w:p w14:paraId="367E9AB9">
                  <w:pPr>
                    <w:spacing w:line="0" w:lineRule="atLeast"/>
                    <w:jc w:val="center"/>
                    <w:rPr>
                      <w:rFonts w:hint="default" w:ascii="宋体" w:hAnsi="宋体" w:eastAsia="宋体" w:cs="宋体"/>
                      <w:color w:val="auto"/>
                      <w:szCs w:val="22"/>
                      <w:lang w:val="en-US" w:eastAsia="zh-CN"/>
                    </w:rPr>
                  </w:pPr>
                  <w:r>
                    <w:rPr>
                      <w:rFonts w:hint="eastAsia" w:ascii="宋体" w:hAnsi="宋体" w:eastAsia="宋体" w:cs="宋体"/>
                      <w:color w:val="auto"/>
                      <w:szCs w:val="22"/>
                      <w:lang w:val="en-US" w:eastAsia="zh-CN"/>
                    </w:rPr>
                    <w:t>一般固废</w:t>
                  </w:r>
                </w:p>
              </w:tc>
            </w:tr>
            <w:tr w14:paraId="4761B0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82" w:type="dxa"/>
                  <w:vMerge w:val="continue"/>
                  <w:tcBorders>
                    <w:tl2br w:val="nil"/>
                    <w:tr2bl w:val="nil"/>
                  </w:tcBorders>
                  <w:noWrap w:val="0"/>
                  <w:vAlign w:val="center"/>
                </w:tcPr>
                <w:p w14:paraId="2AE7F089">
                  <w:pPr>
                    <w:spacing w:line="0" w:lineRule="atLeast"/>
                    <w:jc w:val="center"/>
                    <w:rPr>
                      <w:rFonts w:hint="eastAsia" w:ascii="宋体" w:hAnsi="宋体" w:eastAsia="宋体" w:cs="宋体"/>
                      <w:color w:val="auto"/>
                      <w:szCs w:val="22"/>
                      <w:lang w:val="en-US" w:eastAsia="zh-CN"/>
                    </w:rPr>
                  </w:pPr>
                </w:p>
              </w:tc>
              <w:tc>
                <w:tcPr>
                  <w:tcW w:w="2163" w:type="dxa"/>
                  <w:tcBorders>
                    <w:tl2br w:val="nil"/>
                    <w:tr2bl w:val="nil"/>
                  </w:tcBorders>
                  <w:noWrap w:val="0"/>
                  <w:vAlign w:val="center"/>
                </w:tcPr>
                <w:p w14:paraId="567034D2">
                  <w:pPr>
                    <w:spacing w:line="0" w:lineRule="atLeast"/>
                    <w:jc w:val="center"/>
                    <w:rPr>
                      <w:rFonts w:hint="default" w:ascii="宋体" w:hAnsi="宋体" w:eastAsia="宋体" w:cs="宋体"/>
                      <w:color w:val="auto"/>
                      <w:szCs w:val="22"/>
                      <w:lang w:val="en-US" w:eastAsia="zh-CN"/>
                    </w:rPr>
                  </w:pPr>
                  <w:r>
                    <w:rPr>
                      <w:rFonts w:hint="eastAsia" w:ascii="宋体" w:hAnsi="宋体" w:eastAsia="宋体" w:cs="宋体"/>
                      <w:color w:val="auto"/>
                      <w:szCs w:val="22"/>
                      <w:lang w:val="en-US" w:eastAsia="zh-CN"/>
                    </w:rPr>
                    <w:t>化粪池</w:t>
                  </w:r>
                </w:p>
              </w:tc>
              <w:tc>
                <w:tcPr>
                  <w:tcW w:w="1837" w:type="dxa"/>
                  <w:tcBorders>
                    <w:tl2br w:val="nil"/>
                    <w:tr2bl w:val="nil"/>
                  </w:tcBorders>
                  <w:noWrap w:val="0"/>
                  <w:vAlign w:val="center"/>
                </w:tcPr>
                <w:p w14:paraId="127953E4">
                  <w:pPr>
                    <w:spacing w:line="0" w:lineRule="atLeast"/>
                    <w:jc w:val="center"/>
                    <w:rPr>
                      <w:rFonts w:hint="default" w:ascii="宋体" w:hAnsi="宋体" w:eastAsia="宋体" w:cs="宋体"/>
                      <w:color w:val="auto"/>
                      <w:szCs w:val="22"/>
                      <w:lang w:val="en-US" w:eastAsia="zh-CN"/>
                    </w:rPr>
                  </w:pPr>
                  <w:r>
                    <w:rPr>
                      <w:rFonts w:hint="eastAsia" w:ascii="宋体" w:hAnsi="宋体" w:eastAsia="宋体" w:cs="宋体"/>
                      <w:color w:val="auto"/>
                      <w:szCs w:val="22"/>
                      <w:lang w:val="en-US" w:eastAsia="zh-CN"/>
                    </w:rPr>
                    <w:t>化粪池污泥</w:t>
                  </w:r>
                </w:p>
              </w:tc>
              <w:tc>
                <w:tcPr>
                  <w:tcW w:w="2963" w:type="dxa"/>
                  <w:tcBorders>
                    <w:tl2br w:val="nil"/>
                    <w:tr2bl w:val="nil"/>
                  </w:tcBorders>
                  <w:noWrap w:val="0"/>
                  <w:vAlign w:val="center"/>
                </w:tcPr>
                <w:p w14:paraId="26927714">
                  <w:pPr>
                    <w:spacing w:line="0" w:lineRule="atLeast"/>
                    <w:jc w:val="center"/>
                    <w:rPr>
                      <w:rFonts w:hint="eastAsia" w:ascii="宋体" w:hAnsi="宋体" w:eastAsia="宋体" w:cs="宋体"/>
                      <w:color w:val="auto"/>
                      <w:szCs w:val="22"/>
                      <w:lang w:val="en-US" w:eastAsia="zh-CN"/>
                    </w:rPr>
                  </w:pPr>
                  <w:r>
                    <w:rPr>
                      <w:rFonts w:hint="eastAsia" w:ascii="宋体" w:hAnsi="宋体" w:eastAsia="宋体" w:cs="宋体"/>
                      <w:color w:val="auto"/>
                      <w:szCs w:val="22"/>
                      <w:lang w:val="en-US" w:eastAsia="zh-CN"/>
                    </w:rPr>
                    <w:t>一般固废</w:t>
                  </w:r>
                </w:p>
              </w:tc>
            </w:tr>
            <w:tr w14:paraId="20E7FA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82" w:type="dxa"/>
                  <w:vMerge w:val="continue"/>
                  <w:tcBorders>
                    <w:tl2br w:val="nil"/>
                    <w:tr2bl w:val="nil"/>
                  </w:tcBorders>
                  <w:noWrap w:val="0"/>
                  <w:vAlign w:val="center"/>
                </w:tcPr>
                <w:p w14:paraId="04A21913">
                  <w:pPr>
                    <w:spacing w:line="0" w:lineRule="atLeast"/>
                    <w:jc w:val="center"/>
                    <w:rPr>
                      <w:rFonts w:hint="eastAsia" w:ascii="宋体" w:hAnsi="宋体" w:eastAsia="宋体" w:cs="宋体"/>
                      <w:color w:val="auto"/>
                      <w:szCs w:val="22"/>
                      <w:lang w:val="en-US" w:eastAsia="zh-CN"/>
                    </w:rPr>
                  </w:pPr>
                </w:p>
              </w:tc>
              <w:tc>
                <w:tcPr>
                  <w:tcW w:w="2163" w:type="dxa"/>
                  <w:tcBorders>
                    <w:tl2br w:val="nil"/>
                    <w:tr2bl w:val="nil"/>
                  </w:tcBorders>
                  <w:noWrap w:val="0"/>
                  <w:vAlign w:val="center"/>
                </w:tcPr>
                <w:p w14:paraId="37767997">
                  <w:pPr>
                    <w:spacing w:line="0" w:lineRule="atLeast"/>
                    <w:jc w:val="center"/>
                    <w:rPr>
                      <w:rFonts w:hint="default" w:ascii="宋体" w:hAnsi="宋体" w:eastAsia="宋体" w:cs="宋体"/>
                      <w:color w:val="auto"/>
                      <w:szCs w:val="22"/>
                      <w:lang w:val="en-US" w:eastAsia="zh-CN"/>
                    </w:rPr>
                  </w:pPr>
                  <w:r>
                    <w:rPr>
                      <w:rFonts w:hint="eastAsia" w:ascii="宋体" w:hAnsi="宋体" w:cs="宋体"/>
                      <w:color w:val="auto"/>
                      <w:szCs w:val="22"/>
                      <w:lang w:val="en-US" w:eastAsia="zh-CN"/>
                    </w:rPr>
                    <w:t>组装测试</w:t>
                  </w:r>
                </w:p>
              </w:tc>
              <w:tc>
                <w:tcPr>
                  <w:tcW w:w="1837" w:type="dxa"/>
                  <w:tcBorders>
                    <w:tl2br w:val="nil"/>
                    <w:tr2bl w:val="nil"/>
                  </w:tcBorders>
                  <w:noWrap w:val="0"/>
                  <w:vAlign w:val="center"/>
                </w:tcPr>
                <w:p w14:paraId="786A0DD7">
                  <w:pPr>
                    <w:spacing w:line="0" w:lineRule="atLeast"/>
                    <w:jc w:val="center"/>
                    <w:rPr>
                      <w:rFonts w:hint="default" w:ascii="宋体" w:hAnsi="宋体" w:eastAsia="宋体" w:cs="宋体"/>
                      <w:color w:val="auto"/>
                      <w:szCs w:val="22"/>
                      <w:lang w:val="en-US" w:eastAsia="zh-CN"/>
                    </w:rPr>
                  </w:pPr>
                  <w:r>
                    <w:rPr>
                      <w:rFonts w:hint="eastAsia" w:ascii="宋体" w:hAnsi="宋体" w:cs="宋体"/>
                      <w:color w:val="auto"/>
                      <w:szCs w:val="22"/>
                      <w:lang w:val="en-US" w:eastAsia="zh-CN"/>
                    </w:rPr>
                    <w:t>废铅酸电池</w:t>
                  </w:r>
                </w:p>
              </w:tc>
              <w:tc>
                <w:tcPr>
                  <w:tcW w:w="2963" w:type="dxa"/>
                  <w:tcBorders>
                    <w:tl2br w:val="nil"/>
                    <w:tr2bl w:val="nil"/>
                  </w:tcBorders>
                  <w:noWrap w:val="0"/>
                  <w:vAlign w:val="center"/>
                </w:tcPr>
                <w:p w14:paraId="65B36EC4">
                  <w:pPr>
                    <w:spacing w:line="0" w:lineRule="atLeast"/>
                    <w:jc w:val="center"/>
                    <w:rPr>
                      <w:rFonts w:hint="default" w:ascii="宋体" w:hAnsi="宋体" w:eastAsia="宋体" w:cs="宋体"/>
                      <w:color w:val="auto"/>
                      <w:szCs w:val="22"/>
                      <w:lang w:val="en-US" w:eastAsia="zh-CN"/>
                    </w:rPr>
                  </w:pPr>
                  <w:r>
                    <w:rPr>
                      <w:rFonts w:hint="eastAsia" w:ascii="宋体" w:hAnsi="宋体" w:cs="宋体"/>
                      <w:color w:val="auto"/>
                      <w:szCs w:val="22"/>
                      <w:lang w:val="en-US" w:eastAsia="zh-CN"/>
                    </w:rPr>
                    <w:t>危险废物</w:t>
                  </w:r>
                </w:p>
              </w:tc>
            </w:tr>
            <w:tr w14:paraId="434525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82" w:type="dxa"/>
                  <w:vMerge w:val="continue"/>
                  <w:tcBorders>
                    <w:tl2br w:val="nil"/>
                    <w:tr2bl w:val="nil"/>
                  </w:tcBorders>
                  <w:noWrap w:val="0"/>
                  <w:vAlign w:val="center"/>
                </w:tcPr>
                <w:p w14:paraId="3FD0D05A">
                  <w:pPr>
                    <w:spacing w:line="0" w:lineRule="atLeast"/>
                    <w:jc w:val="center"/>
                    <w:rPr>
                      <w:rFonts w:hint="eastAsia" w:ascii="宋体" w:hAnsi="宋体" w:eastAsia="宋体" w:cs="宋体"/>
                      <w:color w:val="auto"/>
                      <w:szCs w:val="22"/>
                      <w:lang w:val="en-US" w:eastAsia="zh-CN"/>
                    </w:rPr>
                  </w:pPr>
                </w:p>
              </w:tc>
              <w:tc>
                <w:tcPr>
                  <w:tcW w:w="2163" w:type="dxa"/>
                  <w:tcBorders>
                    <w:tl2br w:val="nil"/>
                    <w:tr2bl w:val="nil"/>
                  </w:tcBorders>
                  <w:noWrap w:val="0"/>
                  <w:vAlign w:val="center"/>
                </w:tcPr>
                <w:p w14:paraId="202FC2DB">
                  <w:pPr>
                    <w:spacing w:line="0" w:lineRule="atLeast"/>
                    <w:jc w:val="center"/>
                    <w:rPr>
                      <w:rFonts w:hint="eastAsia" w:ascii="宋体" w:hAnsi="宋体" w:eastAsia="宋体" w:cs="宋体"/>
                      <w:color w:val="auto"/>
                      <w:szCs w:val="22"/>
                      <w:lang w:val="en-US" w:eastAsia="zh-CN"/>
                    </w:rPr>
                  </w:pPr>
                  <w:r>
                    <w:rPr>
                      <w:rFonts w:hint="eastAsia" w:ascii="宋体" w:hAnsi="宋体" w:eastAsia="宋体" w:cs="宋体"/>
                      <w:color w:val="auto"/>
                      <w:szCs w:val="22"/>
                      <w:lang w:val="en-US" w:eastAsia="zh-CN"/>
                    </w:rPr>
                    <w:t>设备维修保养</w:t>
                  </w:r>
                </w:p>
              </w:tc>
              <w:tc>
                <w:tcPr>
                  <w:tcW w:w="1837" w:type="dxa"/>
                  <w:tcBorders>
                    <w:tl2br w:val="nil"/>
                    <w:tr2bl w:val="nil"/>
                  </w:tcBorders>
                  <w:noWrap w:val="0"/>
                  <w:vAlign w:val="center"/>
                </w:tcPr>
                <w:p w14:paraId="07509C45">
                  <w:pPr>
                    <w:spacing w:line="0" w:lineRule="atLeast"/>
                    <w:jc w:val="center"/>
                    <w:rPr>
                      <w:rFonts w:hint="default" w:ascii="宋体" w:hAnsi="宋体" w:eastAsia="宋体" w:cs="宋体"/>
                      <w:color w:val="auto"/>
                      <w:szCs w:val="22"/>
                      <w:lang w:val="en-US" w:eastAsia="zh-CN"/>
                    </w:rPr>
                  </w:pPr>
                  <w:r>
                    <w:rPr>
                      <w:rFonts w:hint="eastAsia" w:ascii="宋体" w:hAnsi="宋体" w:eastAsia="宋体" w:cs="宋体"/>
                      <w:color w:val="auto"/>
                      <w:szCs w:val="22"/>
                      <w:lang w:val="en-US" w:eastAsia="zh-CN"/>
                    </w:rPr>
                    <w:t>废机油及废油桶、含油抹布手套等</w:t>
                  </w:r>
                </w:p>
              </w:tc>
              <w:tc>
                <w:tcPr>
                  <w:tcW w:w="2963" w:type="dxa"/>
                  <w:tcBorders>
                    <w:tl2br w:val="nil"/>
                    <w:tr2bl w:val="nil"/>
                  </w:tcBorders>
                  <w:noWrap w:val="0"/>
                  <w:vAlign w:val="center"/>
                </w:tcPr>
                <w:p w14:paraId="33058172">
                  <w:pPr>
                    <w:spacing w:line="0" w:lineRule="atLeast"/>
                    <w:jc w:val="center"/>
                    <w:rPr>
                      <w:rFonts w:hint="eastAsia" w:ascii="宋体" w:hAnsi="宋体" w:eastAsia="宋体" w:cs="宋体"/>
                      <w:color w:val="auto"/>
                      <w:szCs w:val="22"/>
                      <w:lang w:val="en-US" w:eastAsia="zh-CN"/>
                    </w:rPr>
                  </w:pPr>
                  <w:r>
                    <w:rPr>
                      <w:rFonts w:hint="eastAsia" w:ascii="宋体" w:hAnsi="宋体" w:eastAsia="宋体" w:cs="宋体"/>
                      <w:color w:val="auto"/>
                      <w:szCs w:val="22"/>
                      <w:lang w:val="en-US" w:eastAsia="zh-CN"/>
                    </w:rPr>
                    <w:t>危险废物</w:t>
                  </w:r>
                </w:p>
              </w:tc>
            </w:tr>
          </w:tbl>
          <w:p w14:paraId="0174359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Times New Roman"/>
                <w:bCs/>
                <w:color w:val="auto"/>
                <w:szCs w:val="21"/>
                <w:lang w:val="en-US" w:eastAsia="zh-CN"/>
              </w:rPr>
            </w:pPr>
          </w:p>
          <w:p w14:paraId="519C3BD2">
            <w:pPr>
              <w:pStyle w:val="48"/>
              <w:rPr>
                <w:color w:val="auto"/>
              </w:rPr>
            </w:pPr>
          </w:p>
          <w:p w14:paraId="5EEB2312">
            <w:pPr>
              <w:pStyle w:val="48"/>
              <w:rPr>
                <w:color w:val="auto"/>
              </w:rPr>
            </w:pPr>
          </w:p>
        </w:tc>
      </w:tr>
      <w:tr w14:paraId="3E179C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756" w:type="dxa"/>
            <w:noWrap w:val="0"/>
            <w:vAlign w:val="center"/>
          </w:tcPr>
          <w:p w14:paraId="37BDCA28">
            <w:pPr>
              <w:pStyle w:val="25"/>
              <w:adjustRightInd w:val="0"/>
              <w:snapToGrid w:val="0"/>
              <w:spacing w:before="0" w:beforeAutospacing="0" w:after="0" w:afterAutospacing="0"/>
              <w:jc w:val="center"/>
              <w:rPr>
                <w:rFonts w:cs="宋体"/>
                <w:color w:val="auto"/>
                <w:sz w:val="21"/>
                <w:szCs w:val="21"/>
              </w:rPr>
            </w:pPr>
            <w:r>
              <w:rPr>
                <w:rFonts w:hint="eastAsia" w:cs="宋体"/>
                <w:bCs/>
                <w:color w:val="auto"/>
                <w:kern w:val="2"/>
                <w:sz w:val="21"/>
                <w:szCs w:val="21"/>
              </w:rPr>
              <w:t>与项目有关的原有环境污染问题</w:t>
            </w:r>
          </w:p>
        </w:tc>
        <w:tc>
          <w:tcPr>
            <w:tcW w:w="8304" w:type="dxa"/>
            <w:noWrap w:val="0"/>
            <w:vAlign w:val="top"/>
          </w:tcPr>
          <w:p w14:paraId="2913E2BE">
            <w:pPr>
              <w:adjustRightInd w:val="0"/>
              <w:snapToGrid w:val="0"/>
              <w:spacing w:line="360" w:lineRule="auto"/>
              <w:ind w:firstLine="420" w:firstLineChars="200"/>
              <w:rPr>
                <w:rFonts w:hint="default" w:ascii="宋体" w:hAnsi="宋体"/>
                <w:bCs/>
                <w:color w:val="auto"/>
                <w:szCs w:val="21"/>
                <w:lang w:val="en-US" w:eastAsia="zh-CN"/>
              </w:rPr>
            </w:pPr>
            <w:r>
              <w:rPr>
                <w:rFonts w:hint="default" w:ascii="宋体" w:hAnsi="宋体"/>
                <w:bCs/>
                <w:color w:val="auto"/>
                <w:szCs w:val="21"/>
              </w:rPr>
              <w:t>本项目为新建项目，项目选址于</w:t>
            </w:r>
            <w:r>
              <w:rPr>
                <w:rFonts w:hint="eastAsia" w:ascii="宋体" w:hAnsi="宋体" w:cs="宋体"/>
                <w:color w:val="auto"/>
                <w:szCs w:val="21"/>
                <w:lang w:val="en-US" w:eastAsia="zh-CN"/>
              </w:rPr>
              <w:t>四川省遂宁市安居区潮新路 8 号</w:t>
            </w:r>
            <w:r>
              <w:rPr>
                <w:rFonts w:hint="default" w:ascii="宋体" w:hAnsi="宋体"/>
                <w:bCs/>
                <w:color w:val="auto"/>
                <w:szCs w:val="21"/>
              </w:rPr>
              <w:t>。根据现场勘查，</w:t>
            </w:r>
            <w:r>
              <w:rPr>
                <w:rFonts w:hint="eastAsia" w:ascii="宋体" w:hAnsi="宋体" w:cs="宋体"/>
                <w:bCs/>
                <w:color w:val="auto"/>
                <w:sz w:val="21"/>
                <w:szCs w:val="21"/>
              </w:rPr>
              <w:t>拟建地为净地，</w:t>
            </w:r>
            <w:r>
              <w:rPr>
                <w:rFonts w:hint="eastAsia" w:ascii="宋体" w:hAnsi="宋体" w:cs="宋体"/>
                <w:bCs/>
                <w:color w:val="auto"/>
                <w:sz w:val="21"/>
                <w:szCs w:val="21"/>
                <w:lang w:val="en-US" w:eastAsia="zh-CN"/>
              </w:rPr>
              <w:t>为待开发空地，</w:t>
            </w:r>
            <w:r>
              <w:rPr>
                <w:rFonts w:hint="eastAsia" w:ascii="宋体" w:hAnsi="宋体" w:cs="宋体"/>
                <w:bCs/>
                <w:color w:val="auto"/>
                <w:sz w:val="21"/>
                <w:szCs w:val="21"/>
              </w:rPr>
              <w:t>无原有环境问题</w:t>
            </w:r>
            <w:r>
              <w:rPr>
                <w:rFonts w:hint="eastAsia" w:ascii="宋体" w:hAnsi="宋体"/>
                <w:bCs/>
                <w:color w:val="auto"/>
                <w:szCs w:val="21"/>
                <w:lang w:val="en-US" w:eastAsia="zh-CN"/>
              </w:rPr>
              <w:t>。</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09"/>
            </w:tblGrid>
            <w:tr w14:paraId="3E0D6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noWrap w:val="0"/>
                  <w:vAlign w:val="center"/>
                </w:tcPr>
                <w:p w14:paraId="7DDE3E5D">
                  <w:pPr>
                    <w:adjustRightInd w:val="0"/>
                    <w:snapToGrid w:val="0"/>
                    <w:spacing w:line="360" w:lineRule="auto"/>
                    <w:jc w:val="center"/>
                    <w:rPr>
                      <w:rFonts w:hint="default" w:ascii="宋体" w:hAnsi="宋体"/>
                      <w:bCs/>
                      <w:color w:val="auto"/>
                      <w:szCs w:val="21"/>
                      <w:lang w:val="en-US" w:eastAsia="zh-CN"/>
                    </w:rPr>
                  </w:pPr>
                  <w:r>
                    <w:rPr>
                      <w:rFonts w:hint="eastAsia" w:ascii="宋体" w:hAnsi="宋体"/>
                      <w:bCs/>
                      <w:color w:val="auto"/>
                      <w:szCs w:val="21"/>
                      <w:lang w:val="en-US" w:eastAsia="zh-CN"/>
                    </w:rPr>
                    <w:drawing>
                      <wp:inline distT="0" distB="0" distL="114300" distR="114300">
                        <wp:extent cx="2186305" cy="1638935"/>
                        <wp:effectExtent l="0" t="0" r="4445" b="18415"/>
                        <wp:docPr id="13" name="图片 13" descr="微信图片_20250725113111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50725113111_14"/>
                                <pic:cNvPicPr>
                                  <a:picLocks noChangeAspect="1"/>
                                </pic:cNvPicPr>
                              </pic:nvPicPr>
                              <pic:blipFill>
                                <a:blip r:embed="rId15"/>
                                <a:stretch>
                                  <a:fillRect/>
                                </a:stretch>
                              </pic:blipFill>
                              <pic:spPr>
                                <a:xfrm>
                                  <a:off x="0" y="0"/>
                                  <a:ext cx="2186305" cy="1638935"/>
                                </a:xfrm>
                                <a:prstGeom prst="rect">
                                  <a:avLst/>
                                </a:prstGeom>
                              </pic:spPr>
                            </pic:pic>
                          </a:graphicData>
                        </a:graphic>
                      </wp:inline>
                    </w:drawing>
                  </w:r>
                  <w:r>
                    <w:rPr>
                      <w:rFonts w:hint="eastAsia" w:ascii="宋体" w:hAnsi="宋体"/>
                      <w:bCs/>
                      <w:color w:val="auto"/>
                      <w:szCs w:val="21"/>
                      <w:lang w:val="en-US" w:eastAsia="zh-CN"/>
                    </w:rPr>
                    <w:t xml:space="preserve">  </w:t>
                  </w:r>
                  <w:r>
                    <w:rPr>
                      <w:rFonts w:hint="default" w:ascii="宋体" w:hAnsi="宋体"/>
                      <w:bCs/>
                      <w:color w:val="auto"/>
                      <w:szCs w:val="21"/>
                      <w:lang w:val="en-US" w:eastAsia="zh-CN"/>
                    </w:rPr>
                    <w:drawing>
                      <wp:inline distT="0" distB="0" distL="114300" distR="114300">
                        <wp:extent cx="2169795" cy="1628140"/>
                        <wp:effectExtent l="0" t="0" r="1905" b="10160"/>
                        <wp:docPr id="14" name="图片 14" descr="微信图片_20250725113128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50725113128_16"/>
                                <pic:cNvPicPr>
                                  <a:picLocks noChangeAspect="1"/>
                                </pic:cNvPicPr>
                              </pic:nvPicPr>
                              <pic:blipFill>
                                <a:blip r:embed="rId16"/>
                                <a:stretch>
                                  <a:fillRect/>
                                </a:stretch>
                              </pic:blipFill>
                              <pic:spPr>
                                <a:xfrm>
                                  <a:off x="0" y="0"/>
                                  <a:ext cx="2169795" cy="1628140"/>
                                </a:xfrm>
                                <a:prstGeom prst="rect">
                                  <a:avLst/>
                                </a:prstGeom>
                              </pic:spPr>
                            </pic:pic>
                          </a:graphicData>
                        </a:graphic>
                      </wp:inline>
                    </w:drawing>
                  </w:r>
                </w:p>
                <w:p w14:paraId="065FC1A5">
                  <w:pPr>
                    <w:adjustRightInd w:val="0"/>
                    <w:snapToGrid w:val="0"/>
                    <w:spacing w:line="360" w:lineRule="auto"/>
                    <w:jc w:val="center"/>
                    <w:rPr>
                      <w:rFonts w:hint="default" w:ascii="宋体" w:hAnsi="宋体"/>
                      <w:bCs/>
                      <w:color w:val="auto"/>
                      <w:szCs w:val="21"/>
                      <w:lang w:val="en-US" w:eastAsia="zh-CN"/>
                    </w:rPr>
                  </w:pPr>
                  <w:r>
                    <w:rPr>
                      <w:rFonts w:hint="eastAsia" w:ascii="宋体" w:hAnsi="宋体"/>
                      <w:bCs/>
                      <w:color w:val="auto"/>
                      <w:szCs w:val="21"/>
                      <w:lang w:val="en-US" w:eastAsia="zh-CN"/>
                    </w:rPr>
                    <w:t>项目所在地</w:t>
                  </w:r>
                </w:p>
              </w:tc>
            </w:tr>
          </w:tbl>
          <w:p w14:paraId="2D41317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eastAsia="宋体"/>
                <w:bCs/>
                <w:color w:val="auto"/>
                <w:szCs w:val="21"/>
                <w:lang w:val="en-US" w:eastAsia="zh-CN"/>
              </w:rPr>
            </w:pPr>
          </w:p>
        </w:tc>
      </w:tr>
    </w:tbl>
    <w:p w14:paraId="7CE9A6B8">
      <w:pPr>
        <w:pStyle w:val="25"/>
        <w:jc w:val="center"/>
        <w:rPr>
          <w:rFonts w:ascii="黑体" w:hAnsi="黑体" w:eastAsia="黑体"/>
          <w:snapToGrid w:val="0"/>
          <w:color w:val="auto"/>
          <w:sz w:val="36"/>
          <w:szCs w:val="36"/>
        </w:rPr>
        <w:sectPr>
          <w:pgSz w:w="11905" w:h="16838"/>
          <w:pgMar w:top="1701" w:right="1531" w:bottom="1701" w:left="1531" w:header="851" w:footer="1077" w:gutter="0"/>
          <w:pgBorders>
            <w:top w:val="none" w:sz="0" w:space="0"/>
            <w:left w:val="none" w:sz="0" w:space="0"/>
            <w:bottom w:val="none" w:sz="0" w:space="0"/>
            <w:right w:val="none" w:sz="0" w:space="0"/>
          </w:pgBorders>
          <w:pgNumType w:fmt="decimal"/>
          <w:cols w:space="0" w:num="1"/>
          <w:rtlGutter w:val="0"/>
          <w:docGrid w:linePitch="312" w:charSpace="0"/>
        </w:sectPr>
      </w:pPr>
    </w:p>
    <w:p w14:paraId="76AC33D8">
      <w:pPr>
        <w:pStyle w:val="25"/>
        <w:adjustRightInd w:val="0"/>
        <w:snapToGrid w:val="0"/>
        <w:spacing w:before="0" w:beforeAutospacing="0" w:after="0" w:afterAutospacing="0" w:line="14" w:lineRule="auto"/>
        <w:jc w:val="center"/>
        <w:outlineLvl w:val="0"/>
        <w:rPr>
          <w:rFonts w:hint="eastAsia" w:ascii="黑体" w:hAnsi="黑体" w:eastAsia="黑体"/>
          <w:snapToGrid w:val="0"/>
          <w:color w:val="auto"/>
          <w:sz w:val="30"/>
          <w:szCs w:val="30"/>
        </w:rPr>
      </w:pPr>
    </w:p>
    <w:p w14:paraId="6B93C9A1">
      <w:pPr>
        <w:pStyle w:val="25"/>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三、区域环境质量现状、环境保护目标及评价标准</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05"/>
        <w:gridCol w:w="8254"/>
      </w:tblGrid>
      <w:tr w14:paraId="6C689A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1" w:type="dxa"/>
            <w:noWrap w:val="0"/>
            <w:vAlign w:val="center"/>
          </w:tcPr>
          <w:p w14:paraId="2B276A86">
            <w:pPr>
              <w:adjustRightInd w:val="0"/>
              <w:snapToGrid w:val="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区域</w:t>
            </w:r>
          </w:p>
          <w:p w14:paraId="24F080F5">
            <w:pPr>
              <w:adjustRightInd w:val="0"/>
              <w:snapToGrid w:val="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环境</w:t>
            </w:r>
          </w:p>
          <w:p w14:paraId="585372C9">
            <w:pPr>
              <w:adjustRightInd w:val="0"/>
              <w:snapToGrid w:val="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质量</w:t>
            </w:r>
          </w:p>
          <w:p w14:paraId="4E1C6233">
            <w:pPr>
              <w:adjustRightInd w:val="0"/>
              <w:snapToGrid w:val="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现状</w:t>
            </w:r>
          </w:p>
        </w:tc>
        <w:tc>
          <w:tcPr>
            <w:tcW w:w="8250" w:type="dxa"/>
            <w:noWrap w:val="0"/>
            <w:vAlign w:val="center"/>
          </w:tcPr>
          <w:p w14:paraId="76CCAF75">
            <w:pPr>
              <w:pStyle w:val="4"/>
              <w:pageBreakBefore w:val="0"/>
              <w:widowControl w:val="0"/>
              <w:numPr>
                <w:ilvl w:val="2"/>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1、大气环境</w:t>
            </w:r>
          </w:p>
          <w:p w14:paraId="687792F8">
            <w:pPr>
              <w:keepNext w:val="0"/>
              <w:keepLines w:val="0"/>
              <w:pageBreakBefore w:val="0"/>
              <w:widowControl w:val="0"/>
              <w:kinsoku/>
              <w:wordWrap/>
              <w:overflowPunct/>
              <w:topLinePunct w:val="0"/>
              <w:autoSpaceDE/>
              <w:autoSpaceDN/>
              <w:bidi w:val="0"/>
              <w:adjustRightInd/>
              <w:snapToGrid/>
              <w:spacing w:line="360" w:lineRule="auto"/>
              <w:jc w:val="left"/>
              <w:textAlignment w:val="auto"/>
              <w:rPr>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常规污染物</w:t>
            </w:r>
          </w:p>
          <w:p w14:paraId="51CE8712">
            <w:pPr>
              <w:spacing w:line="360" w:lineRule="auto"/>
              <w:ind w:firstLine="420" w:firstLineChars="200"/>
              <w:rPr>
                <w:color w:val="auto"/>
                <w:sz w:val="21"/>
                <w:szCs w:val="21"/>
              </w:rPr>
            </w:pPr>
            <w:r>
              <w:rPr>
                <w:color w:val="auto"/>
                <w:sz w:val="21"/>
                <w:szCs w:val="21"/>
              </w:rPr>
              <w:t>根据遂宁市生态环境局发布的《202</w:t>
            </w:r>
            <w:r>
              <w:rPr>
                <w:rFonts w:hint="eastAsia"/>
                <w:color w:val="auto"/>
                <w:sz w:val="21"/>
                <w:szCs w:val="21"/>
                <w:lang w:val="en-US" w:eastAsia="zh-CN"/>
              </w:rPr>
              <w:t>4</w:t>
            </w:r>
            <w:r>
              <w:rPr>
                <w:color w:val="auto"/>
                <w:sz w:val="21"/>
                <w:szCs w:val="21"/>
              </w:rPr>
              <w:t>年遂宁市环境质量公告》，202</w:t>
            </w:r>
            <w:r>
              <w:rPr>
                <w:rFonts w:hint="eastAsia"/>
                <w:color w:val="auto"/>
                <w:sz w:val="21"/>
                <w:szCs w:val="21"/>
                <w:lang w:val="en-US" w:eastAsia="zh-CN"/>
              </w:rPr>
              <w:t>4</w:t>
            </w:r>
            <w:r>
              <w:rPr>
                <w:color w:val="auto"/>
                <w:sz w:val="21"/>
                <w:szCs w:val="21"/>
              </w:rPr>
              <w:t>年遂宁市城区环境空</w:t>
            </w:r>
            <w:r>
              <w:rPr>
                <w:rFonts w:ascii="Times New Roman" w:hAnsi="Times New Roman" w:eastAsia="宋体" w:cs="Times New Roman"/>
                <w:color w:val="auto"/>
                <w:sz w:val="21"/>
                <w:szCs w:val="21"/>
              </w:rPr>
              <w:t>气质量</w:t>
            </w:r>
            <w:r>
              <w:rPr>
                <w:rFonts w:hint="default" w:ascii="Times New Roman" w:hAnsi="Times New Roman" w:eastAsia="宋体" w:cs="Times New Roman"/>
                <w:color w:val="auto"/>
                <w:sz w:val="21"/>
                <w:szCs w:val="21"/>
              </w:rPr>
              <w:t>1</w:t>
            </w:r>
            <w:r>
              <w:rPr>
                <w:rFonts w:hint="eastAsia" w:ascii="Times New Roman" w:hAnsi="Times New Roman" w:eastAsia="宋体" w:cs="Times New Roman"/>
                <w:color w:val="auto"/>
                <w:sz w:val="21"/>
                <w:szCs w:val="21"/>
                <w:lang w:val="en-US" w:eastAsia="zh-CN"/>
              </w:rPr>
              <w:t>55</w:t>
            </w:r>
            <w:r>
              <w:rPr>
                <w:rFonts w:hint="default" w:ascii="Times New Roman" w:hAnsi="Times New Roman" w:eastAsia="宋体" w:cs="Times New Roman"/>
                <w:color w:val="auto"/>
                <w:sz w:val="21"/>
                <w:szCs w:val="21"/>
              </w:rPr>
              <w:t>天优、</w:t>
            </w:r>
            <w:r>
              <w:rPr>
                <w:rFonts w:hint="eastAsia" w:ascii="Times New Roman" w:hAnsi="Times New Roman" w:eastAsia="宋体" w:cs="Times New Roman"/>
                <w:color w:val="auto"/>
                <w:sz w:val="21"/>
                <w:szCs w:val="21"/>
                <w:lang w:val="en-US" w:eastAsia="zh-CN"/>
              </w:rPr>
              <w:t>188</w:t>
            </w:r>
            <w:r>
              <w:rPr>
                <w:rFonts w:hint="default" w:ascii="Times New Roman" w:hAnsi="Times New Roman" w:eastAsia="宋体" w:cs="Times New Roman"/>
                <w:color w:val="auto"/>
                <w:sz w:val="21"/>
                <w:szCs w:val="21"/>
              </w:rPr>
              <w:t>天良、</w:t>
            </w:r>
            <w:r>
              <w:rPr>
                <w:rFonts w:hint="eastAsia" w:ascii="Times New Roman" w:hAnsi="Times New Roman" w:eastAsia="宋体" w:cs="Times New Roman"/>
                <w:color w:val="auto"/>
                <w:sz w:val="21"/>
                <w:szCs w:val="21"/>
              </w:rPr>
              <w:t>20天轻度污染、1天中度污染、2天重度污染，空气质量达标率为93.7%，主要污染物SO</w:t>
            </w:r>
            <w:r>
              <w:rPr>
                <w:rFonts w:hint="eastAsia" w:ascii="Times New Roman" w:hAnsi="Times New Roman" w:eastAsia="宋体" w:cs="Times New Roman"/>
                <w:color w:val="auto"/>
                <w:sz w:val="21"/>
                <w:szCs w:val="21"/>
                <w:vertAlign w:val="subscript"/>
              </w:rPr>
              <w:t>2</w:t>
            </w:r>
            <w:r>
              <w:rPr>
                <w:rFonts w:hint="eastAsia" w:ascii="Times New Roman" w:hAnsi="Times New Roman" w:eastAsia="宋体" w:cs="Times New Roman"/>
                <w:color w:val="auto"/>
                <w:sz w:val="21"/>
                <w:szCs w:val="21"/>
              </w:rPr>
              <w:t>、NO</w:t>
            </w:r>
            <w:r>
              <w:rPr>
                <w:rFonts w:hint="eastAsia" w:ascii="Times New Roman" w:hAnsi="Times New Roman" w:eastAsia="宋体" w:cs="Times New Roman"/>
                <w:color w:val="auto"/>
                <w:sz w:val="21"/>
                <w:szCs w:val="21"/>
                <w:vertAlign w:val="subscript"/>
              </w:rPr>
              <w:t>2</w:t>
            </w:r>
            <w:r>
              <w:rPr>
                <w:rFonts w:hint="eastAsia" w:ascii="Times New Roman" w:hAnsi="Times New Roman" w:eastAsia="宋体" w:cs="Times New Roman"/>
                <w:color w:val="auto"/>
                <w:sz w:val="21"/>
                <w:szCs w:val="21"/>
              </w:rPr>
              <w:t>、PM</w:t>
            </w:r>
            <w:r>
              <w:rPr>
                <w:rFonts w:hint="eastAsia" w:ascii="Times New Roman" w:hAnsi="Times New Roman" w:eastAsia="宋体" w:cs="Times New Roman"/>
                <w:color w:val="auto"/>
                <w:sz w:val="21"/>
                <w:szCs w:val="21"/>
                <w:vertAlign w:val="subscript"/>
              </w:rPr>
              <w:t>10</w:t>
            </w:r>
            <w:r>
              <w:rPr>
                <w:rFonts w:hint="eastAsia" w:ascii="Times New Roman" w:hAnsi="Times New Roman" w:eastAsia="宋体" w:cs="Times New Roman"/>
                <w:color w:val="auto"/>
                <w:sz w:val="21"/>
                <w:szCs w:val="21"/>
              </w:rPr>
              <w:t>、PM</w:t>
            </w:r>
            <w:r>
              <w:rPr>
                <w:rFonts w:hint="eastAsia" w:ascii="Times New Roman" w:hAnsi="Times New Roman" w:eastAsia="宋体" w:cs="Times New Roman"/>
                <w:color w:val="auto"/>
                <w:sz w:val="21"/>
                <w:szCs w:val="21"/>
                <w:vertAlign w:val="subscript"/>
              </w:rPr>
              <w:t>2.5</w:t>
            </w:r>
            <w:r>
              <w:rPr>
                <w:rFonts w:hint="eastAsia" w:ascii="Times New Roman" w:hAnsi="Times New Roman" w:eastAsia="宋体" w:cs="Times New Roman"/>
                <w:color w:val="auto"/>
                <w:sz w:val="21"/>
                <w:szCs w:val="21"/>
              </w:rPr>
              <w:t>、CO和O</w:t>
            </w:r>
            <w:r>
              <w:rPr>
                <w:rFonts w:hint="eastAsia" w:ascii="Times New Roman" w:hAnsi="Times New Roman" w:eastAsia="宋体" w:cs="Times New Roman"/>
                <w:color w:val="auto"/>
                <w:sz w:val="21"/>
                <w:szCs w:val="21"/>
                <w:vertAlign w:val="subscript"/>
              </w:rPr>
              <w:t>3</w:t>
            </w:r>
            <w:r>
              <w:rPr>
                <w:rFonts w:hint="eastAsia" w:ascii="Times New Roman" w:hAnsi="Times New Roman" w:eastAsia="宋体" w:cs="Times New Roman"/>
                <w:color w:val="auto"/>
                <w:sz w:val="21"/>
                <w:szCs w:val="21"/>
              </w:rPr>
              <w:t>的月均值分别为9.6微克/立方米、20.5微克/立方米、46.0微克/立方米、26.5微克/立方米、0.8毫克/立方米和143.5微克/立方米。同比NO</w:t>
            </w:r>
            <w:r>
              <w:rPr>
                <w:rFonts w:hint="eastAsia" w:ascii="Times New Roman" w:hAnsi="Times New Roman" w:eastAsia="宋体" w:cs="Times New Roman"/>
                <w:color w:val="auto"/>
                <w:sz w:val="21"/>
                <w:szCs w:val="21"/>
                <w:vertAlign w:val="subscript"/>
              </w:rPr>
              <w:t>2</w:t>
            </w:r>
            <w:r>
              <w:rPr>
                <w:rFonts w:hint="eastAsia" w:ascii="Times New Roman" w:hAnsi="Times New Roman" w:eastAsia="宋体" w:cs="Times New Roman"/>
                <w:color w:val="auto"/>
                <w:sz w:val="21"/>
                <w:szCs w:val="21"/>
              </w:rPr>
              <w:t>、PM</w:t>
            </w:r>
            <w:r>
              <w:rPr>
                <w:rFonts w:hint="eastAsia" w:ascii="Times New Roman" w:hAnsi="Times New Roman" w:eastAsia="宋体" w:cs="Times New Roman"/>
                <w:color w:val="auto"/>
                <w:sz w:val="21"/>
                <w:szCs w:val="21"/>
                <w:vertAlign w:val="subscript"/>
              </w:rPr>
              <w:t>10</w:t>
            </w:r>
            <w:r>
              <w:rPr>
                <w:rFonts w:hint="eastAsia" w:ascii="Times New Roman" w:hAnsi="Times New Roman" w:eastAsia="宋体" w:cs="Times New Roman"/>
                <w:color w:val="auto"/>
                <w:sz w:val="21"/>
                <w:szCs w:val="21"/>
              </w:rPr>
              <w:t>、PM</w:t>
            </w:r>
            <w:r>
              <w:rPr>
                <w:rFonts w:hint="eastAsia" w:ascii="Times New Roman" w:hAnsi="Times New Roman" w:eastAsia="宋体" w:cs="Times New Roman"/>
                <w:color w:val="auto"/>
                <w:sz w:val="21"/>
                <w:szCs w:val="21"/>
                <w:vertAlign w:val="subscript"/>
              </w:rPr>
              <w:t>2.5</w:t>
            </w:r>
            <w:r>
              <w:rPr>
                <w:rFonts w:hint="eastAsia" w:ascii="Times New Roman" w:hAnsi="Times New Roman" w:eastAsia="宋体" w:cs="Times New Roman"/>
                <w:color w:val="auto"/>
                <w:sz w:val="21"/>
                <w:szCs w:val="21"/>
              </w:rPr>
              <w:t>、CO、O</w:t>
            </w:r>
            <w:r>
              <w:rPr>
                <w:rFonts w:hint="eastAsia" w:ascii="Times New Roman" w:hAnsi="Times New Roman" w:eastAsia="宋体" w:cs="Times New Roman"/>
                <w:color w:val="auto"/>
                <w:sz w:val="21"/>
                <w:szCs w:val="21"/>
                <w:vertAlign w:val="subscript"/>
              </w:rPr>
              <w:t>3</w:t>
            </w:r>
            <w:r>
              <w:rPr>
                <w:rFonts w:hint="eastAsia" w:ascii="Times New Roman" w:hAnsi="Times New Roman" w:eastAsia="宋体" w:cs="Times New Roman"/>
                <w:color w:val="auto"/>
                <w:sz w:val="21"/>
                <w:szCs w:val="21"/>
              </w:rPr>
              <w:t>浓度分别下降16.7%、11.0%、11.7%、20.0%、0.6%，SO</w:t>
            </w:r>
            <w:r>
              <w:rPr>
                <w:rFonts w:hint="eastAsia" w:ascii="Times New Roman" w:hAnsi="Times New Roman" w:eastAsia="宋体" w:cs="Times New Roman"/>
                <w:color w:val="auto"/>
                <w:sz w:val="21"/>
                <w:szCs w:val="21"/>
                <w:vertAlign w:val="subscript"/>
              </w:rPr>
              <w:t>2</w:t>
            </w:r>
            <w:r>
              <w:rPr>
                <w:rFonts w:hint="eastAsia" w:ascii="Times New Roman" w:hAnsi="Times New Roman" w:eastAsia="宋体" w:cs="Times New Roman"/>
                <w:color w:val="auto"/>
                <w:sz w:val="21"/>
                <w:szCs w:val="21"/>
              </w:rPr>
              <w:t>浓</w:t>
            </w:r>
            <w:r>
              <w:rPr>
                <w:rFonts w:hint="eastAsia" w:ascii="Times New Roman" w:hAnsi="Times New Roman" w:eastAsia="宋体" w:cs="Times New Roman"/>
                <w:color w:val="auto"/>
                <w:sz w:val="21"/>
                <w:szCs w:val="21"/>
                <w:lang w:eastAsia="zh-CN"/>
              </w:rPr>
              <w:t>度提</w:t>
            </w:r>
            <w:r>
              <w:rPr>
                <w:rFonts w:hint="eastAsia" w:ascii="Times New Roman" w:hAnsi="Times New Roman" w:eastAsia="宋体" w:cs="Times New Roman"/>
                <w:color w:val="auto"/>
                <w:sz w:val="21"/>
                <w:szCs w:val="21"/>
              </w:rPr>
              <w:t>升24.7%。</w:t>
            </w:r>
            <w:r>
              <w:rPr>
                <w:color w:val="auto"/>
                <w:sz w:val="21"/>
                <w:szCs w:val="21"/>
              </w:rPr>
              <w:t>6项基本污染物均满足《环境空气质量标准》（GB3095-2012）二级标准限值。</w:t>
            </w:r>
          </w:p>
          <w:p w14:paraId="00309E73">
            <w:pPr>
              <w:widowControl/>
              <w:tabs>
                <w:tab w:val="left" w:pos="360"/>
              </w:tabs>
              <w:spacing w:line="360" w:lineRule="auto"/>
              <w:ind w:firstLine="422" w:firstLineChars="200"/>
              <w:jc w:val="left"/>
              <w:rPr>
                <w:rStyle w:val="90"/>
                <w:b/>
                <w:bCs/>
                <w:color w:val="auto"/>
                <w:kern w:val="0"/>
                <w:sz w:val="21"/>
                <w:szCs w:val="21"/>
              </w:rPr>
            </w:pPr>
            <w:r>
              <w:rPr>
                <w:b/>
                <w:color w:val="auto"/>
                <w:kern w:val="0"/>
                <w:sz w:val="21"/>
                <w:szCs w:val="21"/>
              </w:rPr>
              <w:t>因此，判定区域大气环境质量为达标区。</w:t>
            </w:r>
          </w:p>
          <w:p w14:paraId="52D74F6D">
            <w:pPr>
              <w:snapToGrid w:val="0"/>
              <w:spacing w:before="120" w:beforeLines="50"/>
              <w:jc w:val="center"/>
              <w:rPr>
                <w:rFonts w:hint="eastAsia"/>
                <w:b/>
                <w:color w:val="auto"/>
                <w:sz w:val="21"/>
                <w:szCs w:val="21"/>
              </w:rPr>
            </w:pPr>
            <w:r>
              <w:rPr>
                <w:rFonts w:hint="eastAsia"/>
                <w:b/>
                <w:color w:val="auto"/>
                <w:sz w:val="21"/>
                <w:szCs w:val="21"/>
                <w:lang w:val="en-US" w:eastAsia="zh-CN"/>
              </w:rPr>
              <w:t xml:space="preserve">表3-1  </w:t>
            </w:r>
            <w:r>
              <w:rPr>
                <w:rFonts w:hint="eastAsia"/>
                <w:b/>
                <w:color w:val="auto"/>
                <w:sz w:val="21"/>
                <w:szCs w:val="21"/>
              </w:rPr>
              <w:t>区域空气质量现状评价表</w:t>
            </w:r>
          </w:p>
          <w:tbl>
            <w:tblPr>
              <w:tblStyle w:val="30"/>
              <w:tblW w:w="4998" w:type="pct"/>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1004"/>
              <w:gridCol w:w="1004"/>
              <w:gridCol w:w="1004"/>
              <w:gridCol w:w="1004"/>
              <w:gridCol w:w="1004"/>
              <w:gridCol w:w="1005"/>
              <w:gridCol w:w="1005"/>
              <w:gridCol w:w="1005"/>
            </w:tblGrid>
            <w:tr w14:paraId="6BCE3538">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625" w:type="pct"/>
                  <w:vMerge w:val="restart"/>
                  <w:noWrap w:val="0"/>
                  <w:vAlign w:val="center"/>
                </w:tcPr>
                <w:p w14:paraId="10D73685">
                  <w:pPr>
                    <w:widowControl/>
                    <w:jc w:val="center"/>
                    <w:rPr>
                      <w:rFonts w:hint="eastAsia" w:ascii="宋体" w:hAnsi="宋体" w:eastAsia="宋体" w:cs="宋体"/>
                      <w:b/>
                      <w:color w:val="auto"/>
                      <w:kern w:val="0"/>
                      <w:sz w:val="18"/>
                      <w:szCs w:val="18"/>
                    </w:rPr>
                  </w:pPr>
                  <w:r>
                    <w:rPr>
                      <w:rFonts w:hint="eastAsia" w:ascii="宋体" w:hAnsi="宋体" w:eastAsia="宋体" w:cs="宋体"/>
                      <w:b/>
                      <w:color w:val="auto"/>
                      <w:kern w:val="0"/>
                      <w:sz w:val="18"/>
                      <w:szCs w:val="18"/>
                    </w:rPr>
                    <w:t>点位</w:t>
                  </w:r>
                </w:p>
              </w:tc>
              <w:tc>
                <w:tcPr>
                  <w:tcW w:w="625" w:type="pct"/>
                  <w:vMerge w:val="restart"/>
                  <w:noWrap w:val="0"/>
                  <w:vAlign w:val="center"/>
                </w:tcPr>
                <w:p w14:paraId="7EE59A03">
                  <w:pPr>
                    <w:widowControl/>
                    <w:jc w:val="center"/>
                    <w:rPr>
                      <w:rFonts w:hint="eastAsia" w:ascii="宋体" w:hAnsi="宋体" w:eastAsia="宋体" w:cs="宋体"/>
                      <w:b/>
                      <w:color w:val="auto"/>
                      <w:kern w:val="0"/>
                      <w:sz w:val="18"/>
                      <w:szCs w:val="18"/>
                    </w:rPr>
                  </w:pPr>
                  <w:r>
                    <w:rPr>
                      <w:rFonts w:hint="eastAsia" w:ascii="宋体" w:hAnsi="宋体" w:eastAsia="宋体" w:cs="宋体"/>
                      <w:b/>
                      <w:color w:val="auto"/>
                      <w:kern w:val="0"/>
                      <w:sz w:val="18"/>
                      <w:szCs w:val="18"/>
                    </w:rPr>
                    <w:t>二氧化硫季均浓度</w:t>
                  </w:r>
                  <w:r>
                    <w:rPr>
                      <w:rFonts w:hint="eastAsia" w:ascii="宋体" w:hAnsi="宋体" w:eastAsia="宋体" w:cs="宋体"/>
                      <w:b/>
                      <w:color w:val="auto"/>
                      <w:kern w:val="0"/>
                      <w:sz w:val="18"/>
                      <w:szCs w:val="18"/>
                      <w:lang w:eastAsia="zh-CN"/>
                    </w:rPr>
                    <w:t>（</w:t>
                  </w:r>
                  <w:r>
                    <w:rPr>
                      <w:rFonts w:hint="eastAsia" w:ascii="宋体" w:hAnsi="宋体" w:eastAsia="宋体" w:cs="宋体"/>
                      <w:b/>
                      <w:color w:val="auto"/>
                      <w:kern w:val="0"/>
                      <w:sz w:val="18"/>
                      <w:szCs w:val="18"/>
                    </w:rPr>
                    <w:t>微克/立方米</w:t>
                  </w:r>
                  <w:r>
                    <w:rPr>
                      <w:rFonts w:hint="eastAsia" w:ascii="宋体" w:hAnsi="宋体" w:eastAsia="宋体" w:cs="宋体"/>
                      <w:b/>
                      <w:color w:val="auto"/>
                      <w:kern w:val="0"/>
                      <w:sz w:val="18"/>
                      <w:szCs w:val="18"/>
                      <w:lang w:eastAsia="zh-CN"/>
                    </w:rPr>
                    <w:t>）</w:t>
                  </w:r>
                </w:p>
              </w:tc>
              <w:tc>
                <w:tcPr>
                  <w:tcW w:w="625" w:type="pct"/>
                  <w:vMerge w:val="restart"/>
                  <w:noWrap w:val="0"/>
                  <w:vAlign w:val="center"/>
                </w:tcPr>
                <w:p w14:paraId="15E987EC">
                  <w:pPr>
                    <w:widowControl/>
                    <w:jc w:val="center"/>
                    <w:rPr>
                      <w:rFonts w:hint="eastAsia" w:ascii="宋体" w:hAnsi="宋体" w:eastAsia="宋体" w:cs="宋体"/>
                      <w:b/>
                      <w:color w:val="auto"/>
                      <w:kern w:val="0"/>
                      <w:sz w:val="18"/>
                      <w:szCs w:val="18"/>
                    </w:rPr>
                  </w:pPr>
                  <w:r>
                    <w:rPr>
                      <w:rFonts w:hint="eastAsia" w:ascii="宋体" w:hAnsi="宋体" w:eastAsia="宋体" w:cs="宋体"/>
                      <w:b/>
                      <w:color w:val="auto"/>
                      <w:kern w:val="0"/>
                      <w:sz w:val="18"/>
                      <w:szCs w:val="18"/>
                    </w:rPr>
                    <w:t>二氧化氮季均浓度</w:t>
                  </w:r>
                  <w:r>
                    <w:rPr>
                      <w:rFonts w:hint="eastAsia" w:ascii="宋体" w:hAnsi="宋体" w:eastAsia="宋体" w:cs="宋体"/>
                      <w:b/>
                      <w:color w:val="auto"/>
                      <w:kern w:val="0"/>
                      <w:sz w:val="18"/>
                      <w:szCs w:val="18"/>
                      <w:lang w:eastAsia="zh-CN"/>
                    </w:rPr>
                    <w:t>（</w:t>
                  </w:r>
                  <w:r>
                    <w:rPr>
                      <w:rFonts w:hint="eastAsia" w:ascii="宋体" w:hAnsi="宋体" w:eastAsia="宋体" w:cs="宋体"/>
                      <w:b/>
                      <w:color w:val="auto"/>
                      <w:kern w:val="0"/>
                      <w:sz w:val="18"/>
                      <w:szCs w:val="18"/>
                    </w:rPr>
                    <w:t>微克/立方米</w:t>
                  </w:r>
                  <w:r>
                    <w:rPr>
                      <w:rFonts w:hint="eastAsia" w:ascii="宋体" w:hAnsi="宋体" w:eastAsia="宋体" w:cs="宋体"/>
                      <w:b/>
                      <w:color w:val="auto"/>
                      <w:kern w:val="0"/>
                      <w:sz w:val="18"/>
                      <w:szCs w:val="18"/>
                      <w:lang w:eastAsia="zh-CN"/>
                    </w:rPr>
                    <w:t>）</w:t>
                  </w:r>
                </w:p>
              </w:tc>
              <w:tc>
                <w:tcPr>
                  <w:tcW w:w="625" w:type="pct"/>
                  <w:vMerge w:val="restart"/>
                  <w:noWrap w:val="0"/>
                  <w:vAlign w:val="center"/>
                </w:tcPr>
                <w:p w14:paraId="46B7530F">
                  <w:pPr>
                    <w:widowControl/>
                    <w:jc w:val="center"/>
                    <w:rPr>
                      <w:rFonts w:hint="eastAsia" w:ascii="宋体" w:hAnsi="宋体" w:eastAsia="宋体" w:cs="宋体"/>
                      <w:b/>
                      <w:color w:val="auto"/>
                      <w:kern w:val="0"/>
                      <w:sz w:val="18"/>
                      <w:szCs w:val="18"/>
                    </w:rPr>
                  </w:pPr>
                  <w:r>
                    <w:rPr>
                      <w:rFonts w:hint="eastAsia" w:ascii="宋体" w:hAnsi="宋体" w:eastAsia="宋体" w:cs="宋体"/>
                      <w:b/>
                      <w:color w:val="auto"/>
                      <w:kern w:val="0"/>
                      <w:sz w:val="18"/>
                      <w:szCs w:val="18"/>
                    </w:rPr>
                    <w:t>可吸入颗粒物</w:t>
                  </w:r>
                  <w:r>
                    <w:rPr>
                      <w:rFonts w:hint="eastAsia" w:ascii="宋体" w:hAnsi="宋体" w:eastAsia="宋体" w:cs="宋体"/>
                      <w:b/>
                      <w:color w:val="auto"/>
                      <w:kern w:val="0"/>
                      <w:sz w:val="18"/>
                      <w:szCs w:val="18"/>
                      <w:lang w:eastAsia="zh-CN"/>
                    </w:rPr>
                    <w:t>（</w:t>
                  </w:r>
                  <w:r>
                    <w:rPr>
                      <w:rFonts w:hint="eastAsia" w:ascii="宋体" w:hAnsi="宋体" w:eastAsia="宋体" w:cs="宋体"/>
                      <w:b/>
                      <w:color w:val="auto"/>
                      <w:kern w:val="0"/>
                      <w:sz w:val="18"/>
                      <w:szCs w:val="18"/>
                    </w:rPr>
                    <w:t>PM</w:t>
                  </w:r>
                  <w:r>
                    <w:rPr>
                      <w:rFonts w:hint="eastAsia" w:ascii="宋体" w:hAnsi="宋体" w:eastAsia="宋体" w:cs="宋体"/>
                      <w:b/>
                      <w:color w:val="auto"/>
                      <w:kern w:val="0"/>
                      <w:sz w:val="18"/>
                      <w:szCs w:val="18"/>
                      <w:vertAlign w:val="subscript"/>
                    </w:rPr>
                    <w:t>10</w:t>
                  </w:r>
                  <w:r>
                    <w:rPr>
                      <w:rFonts w:hint="eastAsia" w:ascii="宋体" w:hAnsi="宋体" w:eastAsia="宋体" w:cs="宋体"/>
                      <w:b/>
                      <w:color w:val="auto"/>
                      <w:kern w:val="0"/>
                      <w:sz w:val="18"/>
                      <w:szCs w:val="18"/>
                      <w:vertAlign w:val="subscript"/>
                      <w:lang w:eastAsia="zh-CN"/>
                    </w:rPr>
                    <w:t>）</w:t>
                  </w:r>
                  <w:r>
                    <w:rPr>
                      <w:rFonts w:hint="eastAsia" w:ascii="宋体" w:hAnsi="宋体" w:eastAsia="宋体" w:cs="宋体"/>
                      <w:b/>
                      <w:color w:val="auto"/>
                      <w:kern w:val="0"/>
                      <w:sz w:val="18"/>
                      <w:szCs w:val="18"/>
                    </w:rPr>
                    <w:t>季均浓度</w:t>
                  </w:r>
                  <w:r>
                    <w:rPr>
                      <w:rFonts w:hint="eastAsia" w:ascii="宋体" w:hAnsi="宋体" w:eastAsia="宋体" w:cs="宋体"/>
                      <w:b/>
                      <w:color w:val="auto"/>
                      <w:kern w:val="0"/>
                      <w:sz w:val="18"/>
                      <w:szCs w:val="18"/>
                      <w:lang w:eastAsia="zh-CN"/>
                    </w:rPr>
                    <w:t>（</w:t>
                  </w:r>
                  <w:r>
                    <w:rPr>
                      <w:rFonts w:hint="eastAsia" w:ascii="宋体" w:hAnsi="宋体" w:eastAsia="宋体" w:cs="宋体"/>
                      <w:b/>
                      <w:color w:val="auto"/>
                      <w:kern w:val="0"/>
                      <w:sz w:val="18"/>
                      <w:szCs w:val="18"/>
                    </w:rPr>
                    <w:t>微克/立方米</w:t>
                  </w:r>
                  <w:r>
                    <w:rPr>
                      <w:rFonts w:hint="eastAsia" w:ascii="宋体" w:hAnsi="宋体" w:eastAsia="宋体" w:cs="宋体"/>
                      <w:b/>
                      <w:color w:val="auto"/>
                      <w:kern w:val="0"/>
                      <w:sz w:val="18"/>
                      <w:szCs w:val="18"/>
                      <w:lang w:eastAsia="zh-CN"/>
                    </w:rPr>
                    <w:t>）</w:t>
                  </w:r>
                </w:p>
              </w:tc>
              <w:tc>
                <w:tcPr>
                  <w:tcW w:w="625" w:type="pct"/>
                  <w:vMerge w:val="restart"/>
                  <w:noWrap w:val="0"/>
                  <w:vAlign w:val="center"/>
                </w:tcPr>
                <w:p w14:paraId="35116B8D">
                  <w:pPr>
                    <w:widowControl/>
                    <w:jc w:val="center"/>
                    <w:rPr>
                      <w:rFonts w:hint="eastAsia" w:ascii="宋体" w:hAnsi="宋体" w:eastAsia="宋体" w:cs="宋体"/>
                      <w:b/>
                      <w:color w:val="auto"/>
                      <w:kern w:val="0"/>
                      <w:sz w:val="18"/>
                      <w:szCs w:val="18"/>
                    </w:rPr>
                  </w:pPr>
                  <w:r>
                    <w:rPr>
                      <w:rFonts w:hint="eastAsia" w:ascii="宋体" w:hAnsi="宋体" w:eastAsia="宋体" w:cs="宋体"/>
                      <w:b/>
                      <w:color w:val="auto"/>
                      <w:kern w:val="0"/>
                      <w:sz w:val="18"/>
                      <w:szCs w:val="18"/>
                    </w:rPr>
                    <w:t>细颗粒物</w:t>
                  </w:r>
                  <w:r>
                    <w:rPr>
                      <w:rFonts w:hint="eastAsia" w:ascii="宋体" w:hAnsi="宋体" w:eastAsia="宋体" w:cs="宋体"/>
                      <w:b/>
                      <w:color w:val="auto"/>
                      <w:kern w:val="0"/>
                      <w:sz w:val="18"/>
                      <w:szCs w:val="18"/>
                      <w:lang w:eastAsia="zh-CN"/>
                    </w:rPr>
                    <w:t>（</w:t>
                  </w:r>
                  <w:r>
                    <w:rPr>
                      <w:rFonts w:hint="eastAsia" w:ascii="宋体" w:hAnsi="宋体" w:eastAsia="宋体" w:cs="宋体"/>
                      <w:b/>
                      <w:color w:val="auto"/>
                      <w:kern w:val="0"/>
                      <w:sz w:val="18"/>
                      <w:szCs w:val="18"/>
                    </w:rPr>
                    <w:t>PM</w:t>
                  </w:r>
                  <w:r>
                    <w:rPr>
                      <w:rFonts w:hint="eastAsia" w:ascii="宋体" w:hAnsi="宋体" w:eastAsia="宋体" w:cs="宋体"/>
                      <w:b/>
                      <w:color w:val="auto"/>
                      <w:kern w:val="0"/>
                      <w:sz w:val="18"/>
                      <w:szCs w:val="18"/>
                      <w:vertAlign w:val="subscript"/>
                    </w:rPr>
                    <w:t>2.5</w:t>
                  </w:r>
                  <w:r>
                    <w:rPr>
                      <w:rFonts w:hint="eastAsia" w:ascii="宋体" w:hAnsi="宋体" w:eastAsia="宋体" w:cs="宋体"/>
                      <w:b/>
                      <w:color w:val="auto"/>
                      <w:kern w:val="0"/>
                      <w:sz w:val="18"/>
                      <w:szCs w:val="18"/>
                      <w:vertAlign w:val="subscript"/>
                      <w:lang w:eastAsia="zh-CN"/>
                    </w:rPr>
                    <w:t>）</w:t>
                  </w:r>
                  <w:r>
                    <w:rPr>
                      <w:rFonts w:hint="eastAsia" w:ascii="宋体" w:hAnsi="宋体" w:eastAsia="宋体" w:cs="宋体"/>
                      <w:b/>
                      <w:color w:val="auto"/>
                      <w:kern w:val="0"/>
                      <w:sz w:val="18"/>
                      <w:szCs w:val="18"/>
                    </w:rPr>
                    <w:t>季均浓度</w:t>
                  </w:r>
                  <w:r>
                    <w:rPr>
                      <w:rFonts w:hint="eastAsia" w:ascii="宋体" w:hAnsi="宋体" w:eastAsia="宋体" w:cs="宋体"/>
                      <w:b/>
                      <w:color w:val="auto"/>
                      <w:kern w:val="0"/>
                      <w:sz w:val="18"/>
                      <w:szCs w:val="18"/>
                      <w:lang w:eastAsia="zh-CN"/>
                    </w:rPr>
                    <w:t>（</w:t>
                  </w:r>
                  <w:r>
                    <w:rPr>
                      <w:rFonts w:hint="eastAsia" w:ascii="宋体" w:hAnsi="宋体" w:eastAsia="宋体" w:cs="宋体"/>
                      <w:b/>
                      <w:color w:val="auto"/>
                      <w:kern w:val="0"/>
                      <w:sz w:val="18"/>
                      <w:szCs w:val="18"/>
                    </w:rPr>
                    <w:t>微克/立方米</w:t>
                  </w:r>
                  <w:r>
                    <w:rPr>
                      <w:rFonts w:hint="eastAsia" w:ascii="宋体" w:hAnsi="宋体" w:eastAsia="宋体" w:cs="宋体"/>
                      <w:b/>
                      <w:color w:val="auto"/>
                      <w:kern w:val="0"/>
                      <w:sz w:val="18"/>
                      <w:szCs w:val="18"/>
                      <w:lang w:eastAsia="zh-CN"/>
                    </w:rPr>
                    <w:t>）</w:t>
                  </w:r>
                </w:p>
              </w:tc>
              <w:tc>
                <w:tcPr>
                  <w:tcW w:w="625" w:type="pct"/>
                  <w:vMerge w:val="restart"/>
                  <w:noWrap w:val="0"/>
                  <w:vAlign w:val="center"/>
                </w:tcPr>
                <w:p w14:paraId="66BEB07A">
                  <w:pPr>
                    <w:widowControl/>
                    <w:jc w:val="center"/>
                    <w:rPr>
                      <w:rFonts w:hint="eastAsia" w:ascii="宋体" w:hAnsi="宋体" w:eastAsia="宋体" w:cs="宋体"/>
                      <w:b/>
                      <w:color w:val="auto"/>
                      <w:kern w:val="0"/>
                      <w:sz w:val="18"/>
                      <w:szCs w:val="18"/>
                    </w:rPr>
                  </w:pPr>
                  <w:r>
                    <w:rPr>
                      <w:rFonts w:hint="eastAsia" w:ascii="宋体" w:hAnsi="宋体" w:eastAsia="宋体" w:cs="宋体"/>
                      <w:b/>
                      <w:color w:val="auto"/>
                      <w:kern w:val="0"/>
                      <w:sz w:val="18"/>
                      <w:szCs w:val="18"/>
                    </w:rPr>
                    <w:t>一氧化碳季均浓度</w:t>
                  </w:r>
                  <w:r>
                    <w:rPr>
                      <w:rFonts w:hint="eastAsia" w:ascii="宋体" w:hAnsi="宋体" w:eastAsia="宋体" w:cs="宋体"/>
                      <w:b/>
                      <w:color w:val="auto"/>
                      <w:kern w:val="0"/>
                      <w:sz w:val="18"/>
                      <w:szCs w:val="18"/>
                      <w:lang w:eastAsia="zh-CN"/>
                    </w:rPr>
                    <w:t>（</w:t>
                  </w:r>
                  <w:r>
                    <w:rPr>
                      <w:rFonts w:hint="eastAsia" w:ascii="宋体" w:hAnsi="宋体" w:eastAsia="宋体" w:cs="宋体"/>
                      <w:b/>
                      <w:color w:val="auto"/>
                      <w:kern w:val="0"/>
                      <w:sz w:val="18"/>
                      <w:szCs w:val="18"/>
                    </w:rPr>
                    <w:t>毫克/立方米</w:t>
                  </w:r>
                  <w:r>
                    <w:rPr>
                      <w:rFonts w:hint="eastAsia" w:ascii="宋体" w:hAnsi="宋体" w:eastAsia="宋体" w:cs="宋体"/>
                      <w:b/>
                      <w:color w:val="auto"/>
                      <w:kern w:val="0"/>
                      <w:sz w:val="18"/>
                      <w:szCs w:val="18"/>
                      <w:lang w:eastAsia="zh-CN"/>
                    </w:rPr>
                    <w:t>）</w:t>
                  </w:r>
                </w:p>
              </w:tc>
              <w:tc>
                <w:tcPr>
                  <w:tcW w:w="625" w:type="pct"/>
                  <w:vMerge w:val="restart"/>
                  <w:noWrap w:val="0"/>
                  <w:vAlign w:val="center"/>
                </w:tcPr>
                <w:p w14:paraId="2C065D39">
                  <w:pPr>
                    <w:widowControl/>
                    <w:jc w:val="center"/>
                    <w:rPr>
                      <w:rFonts w:hint="eastAsia" w:ascii="宋体" w:hAnsi="宋体" w:eastAsia="宋体" w:cs="宋体"/>
                      <w:b/>
                      <w:color w:val="auto"/>
                      <w:kern w:val="0"/>
                      <w:sz w:val="18"/>
                      <w:szCs w:val="18"/>
                    </w:rPr>
                  </w:pPr>
                  <w:r>
                    <w:rPr>
                      <w:rFonts w:hint="eastAsia" w:ascii="宋体" w:hAnsi="宋体" w:eastAsia="宋体" w:cs="宋体"/>
                      <w:b/>
                      <w:color w:val="auto"/>
                      <w:kern w:val="0"/>
                      <w:sz w:val="18"/>
                      <w:szCs w:val="18"/>
                    </w:rPr>
                    <w:t>臭氧季均浓度</w:t>
                  </w:r>
                  <w:r>
                    <w:rPr>
                      <w:rFonts w:hint="eastAsia" w:ascii="宋体" w:hAnsi="宋体" w:eastAsia="宋体" w:cs="宋体"/>
                      <w:b/>
                      <w:color w:val="auto"/>
                      <w:kern w:val="0"/>
                      <w:sz w:val="18"/>
                      <w:szCs w:val="18"/>
                      <w:lang w:eastAsia="zh-CN"/>
                    </w:rPr>
                    <w:t>（</w:t>
                  </w:r>
                  <w:r>
                    <w:rPr>
                      <w:rFonts w:hint="eastAsia" w:ascii="宋体" w:hAnsi="宋体" w:eastAsia="宋体" w:cs="宋体"/>
                      <w:b/>
                      <w:color w:val="auto"/>
                      <w:kern w:val="0"/>
                      <w:sz w:val="18"/>
                      <w:szCs w:val="18"/>
                    </w:rPr>
                    <w:t>微克/立方米</w:t>
                  </w:r>
                  <w:r>
                    <w:rPr>
                      <w:rFonts w:hint="eastAsia" w:ascii="宋体" w:hAnsi="宋体" w:eastAsia="宋体" w:cs="宋体"/>
                      <w:b/>
                      <w:color w:val="auto"/>
                      <w:kern w:val="0"/>
                      <w:sz w:val="18"/>
                      <w:szCs w:val="18"/>
                      <w:lang w:eastAsia="zh-CN"/>
                    </w:rPr>
                    <w:t>）</w:t>
                  </w:r>
                </w:p>
              </w:tc>
              <w:tc>
                <w:tcPr>
                  <w:tcW w:w="625" w:type="pct"/>
                  <w:vMerge w:val="restart"/>
                  <w:noWrap w:val="0"/>
                  <w:vAlign w:val="center"/>
                </w:tcPr>
                <w:p w14:paraId="519A25C6">
                  <w:pPr>
                    <w:widowControl/>
                    <w:jc w:val="center"/>
                    <w:rPr>
                      <w:rFonts w:hint="eastAsia" w:ascii="宋体" w:hAnsi="宋体" w:eastAsia="宋体" w:cs="宋体"/>
                      <w:b/>
                      <w:color w:val="auto"/>
                      <w:kern w:val="0"/>
                      <w:sz w:val="18"/>
                      <w:szCs w:val="18"/>
                    </w:rPr>
                  </w:pPr>
                  <w:r>
                    <w:rPr>
                      <w:rFonts w:hint="eastAsia" w:ascii="宋体" w:hAnsi="宋体" w:eastAsia="宋体" w:cs="宋体"/>
                      <w:b/>
                      <w:color w:val="auto"/>
                      <w:kern w:val="0"/>
                      <w:sz w:val="18"/>
                      <w:szCs w:val="18"/>
                    </w:rPr>
                    <w:t>环境空气质量综合指数</w:t>
                  </w:r>
                </w:p>
              </w:tc>
            </w:tr>
            <w:tr w14:paraId="272B50D2">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625" w:type="pct"/>
                  <w:vMerge w:val="continue"/>
                  <w:noWrap w:val="0"/>
                  <w:vAlign w:val="center"/>
                </w:tcPr>
                <w:p w14:paraId="77A44A6A">
                  <w:pPr>
                    <w:widowControl/>
                    <w:jc w:val="left"/>
                    <w:rPr>
                      <w:rFonts w:hint="eastAsia" w:ascii="宋体" w:hAnsi="宋体" w:eastAsia="宋体" w:cs="宋体"/>
                      <w:color w:val="auto"/>
                      <w:kern w:val="0"/>
                      <w:sz w:val="18"/>
                      <w:szCs w:val="18"/>
                    </w:rPr>
                  </w:pPr>
                </w:p>
              </w:tc>
              <w:tc>
                <w:tcPr>
                  <w:tcW w:w="625" w:type="pct"/>
                  <w:vMerge w:val="continue"/>
                  <w:noWrap w:val="0"/>
                  <w:vAlign w:val="center"/>
                </w:tcPr>
                <w:p w14:paraId="3D4DA714">
                  <w:pPr>
                    <w:widowControl/>
                    <w:jc w:val="left"/>
                    <w:rPr>
                      <w:rFonts w:hint="eastAsia" w:ascii="宋体" w:hAnsi="宋体" w:eastAsia="宋体" w:cs="宋体"/>
                      <w:color w:val="auto"/>
                      <w:kern w:val="0"/>
                      <w:sz w:val="18"/>
                      <w:szCs w:val="18"/>
                    </w:rPr>
                  </w:pPr>
                </w:p>
              </w:tc>
              <w:tc>
                <w:tcPr>
                  <w:tcW w:w="625" w:type="pct"/>
                  <w:vMerge w:val="continue"/>
                  <w:noWrap w:val="0"/>
                  <w:vAlign w:val="center"/>
                </w:tcPr>
                <w:p w14:paraId="7CD03F5D">
                  <w:pPr>
                    <w:widowControl/>
                    <w:jc w:val="left"/>
                    <w:rPr>
                      <w:rFonts w:hint="eastAsia" w:ascii="宋体" w:hAnsi="宋体" w:eastAsia="宋体" w:cs="宋体"/>
                      <w:color w:val="auto"/>
                      <w:kern w:val="0"/>
                      <w:sz w:val="18"/>
                      <w:szCs w:val="18"/>
                    </w:rPr>
                  </w:pPr>
                </w:p>
              </w:tc>
              <w:tc>
                <w:tcPr>
                  <w:tcW w:w="625" w:type="pct"/>
                  <w:vMerge w:val="continue"/>
                  <w:noWrap w:val="0"/>
                  <w:vAlign w:val="center"/>
                </w:tcPr>
                <w:p w14:paraId="157C1E49">
                  <w:pPr>
                    <w:widowControl/>
                    <w:jc w:val="left"/>
                    <w:rPr>
                      <w:rFonts w:hint="eastAsia" w:ascii="宋体" w:hAnsi="宋体" w:eastAsia="宋体" w:cs="宋体"/>
                      <w:color w:val="auto"/>
                      <w:kern w:val="0"/>
                      <w:sz w:val="18"/>
                      <w:szCs w:val="18"/>
                    </w:rPr>
                  </w:pPr>
                </w:p>
              </w:tc>
              <w:tc>
                <w:tcPr>
                  <w:tcW w:w="625" w:type="pct"/>
                  <w:vMerge w:val="continue"/>
                  <w:noWrap w:val="0"/>
                  <w:vAlign w:val="center"/>
                </w:tcPr>
                <w:p w14:paraId="3A6220B8">
                  <w:pPr>
                    <w:widowControl/>
                    <w:jc w:val="left"/>
                    <w:rPr>
                      <w:rFonts w:hint="eastAsia" w:ascii="宋体" w:hAnsi="宋体" w:eastAsia="宋体" w:cs="宋体"/>
                      <w:color w:val="auto"/>
                      <w:kern w:val="0"/>
                      <w:sz w:val="18"/>
                      <w:szCs w:val="18"/>
                    </w:rPr>
                  </w:pPr>
                </w:p>
              </w:tc>
              <w:tc>
                <w:tcPr>
                  <w:tcW w:w="625" w:type="pct"/>
                  <w:vMerge w:val="continue"/>
                  <w:noWrap w:val="0"/>
                  <w:vAlign w:val="center"/>
                </w:tcPr>
                <w:p w14:paraId="4A8B0D1B">
                  <w:pPr>
                    <w:widowControl/>
                    <w:jc w:val="left"/>
                    <w:rPr>
                      <w:rFonts w:hint="eastAsia" w:ascii="宋体" w:hAnsi="宋体" w:eastAsia="宋体" w:cs="宋体"/>
                      <w:color w:val="auto"/>
                      <w:kern w:val="0"/>
                      <w:sz w:val="18"/>
                      <w:szCs w:val="18"/>
                    </w:rPr>
                  </w:pPr>
                </w:p>
              </w:tc>
              <w:tc>
                <w:tcPr>
                  <w:tcW w:w="625" w:type="pct"/>
                  <w:vMerge w:val="continue"/>
                  <w:noWrap w:val="0"/>
                  <w:vAlign w:val="center"/>
                </w:tcPr>
                <w:p w14:paraId="38A0B5BF">
                  <w:pPr>
                    <w:widowControl/>
                    <w:jc w:val="left"/>
                    <w:rPr>
                      <w:rFonts w:hint="eastAsia" w:ascii="宋体" w:hAnsi="宋体" w:eastAsia="宋体" w:cs="宋体"/>
                      <w:color w:val="auto"/>
                      <w:kern w:val="0"/>
                      <w:sz w:val="18"/>
                      <w:szCs w:val="18"/>
                    </w:rPr>
                  </w:pPr>
                </w:p>
              </w:tc>
              <w:tc>
                <w:tcPr>
                  <w:tcW w:w="625" w:type="pct"/>
                  <w:vMerge w:val="continue"/>
                  <w:noWrap w:val="0"/>
                  <w:vAlign w:val="center"/>
                </w:tcPr>
                <w:p w14:paraId="0F074D1D">
                  <w:pPr>
                    <w:widowControl/>
                    <w:jc w:val="left"/>
                    <w:rPr>
                      <w:rFonts w:hint="eastAsia" w:ascii="宋体" w:hAnsi="宋体" w:eastAsia="宋体" w:cs="宋体"/>
                      <w:color w:val="auto"/>
                      <w:kern w:val="0"/>
                      <w:sz w:val="18"/>
                      <w:szCs w:val="18"/>
                    </w:rPr>
                  </w:pPr>
                </w:p>
              </w:tc>
            </w:tr>
            <w:tr w14:paraId="4FFAFDB4">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625" w:type="pct"/>
                  <w:shd w:val="clear" w:color="000000" w:fill="FFFFFF"/>
                  <w:noWrap w:val="0"/>
                  <w:vAlign w:val="center"/>
                </w:tcPr>
                <w:p w14:paraId="2DD68508">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市监测站</w:t>
                  </w:r>
                </w:p>
              </w:tc>
              <w:tc>
                <w:tcPr>
                  <w:tcW w:w="625" w:type="pct"/>
                  <w:shd w:val="clear" w:color="000000" w:fill="FFFFFF"/>
                  <w:noWrap w:val="0"/>
                  <w:vAlign w:val="center"/>
                </w:tcPr>
                <w:p w14:paraId="2C892332">
                  <w:pPr>
                    <w:widowControl/>
                    <w:jc w:val="center"/>
                    <w:rPr>
                      <w:rFonts w:hint="default"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9.1</w:t>
                  </w:r>
                </w:p>
              </w:tc>
              <w:tc>
                <w:tcPr>
                  <w:tcW w:w="625" w:type="pct"/>
                  <w:shd w:val="clear" w:color="000000" w:fill="FFFFFF"/>
                  <w:noWrap w:val="0"/>
                  <w:vAlign w:val="center"/>
                </w:tcPr>
                <w:p w14:paraId="59F2A28E">
                  <w:pPr>
                    <w:widowControl/>
                    <w:jc w:val="center"/>
                    <w:rPr>
                      <w:rFonts w:hint="default"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21.4</w:t>
                  </w:r>
                </w:p>
              </w:tc>
              <w:tc>
                <w:tcPr>
                  <w:tcW w:w="625" w:type="pct"/>
                  <w:shd w:val="clear" w:color="000000" w:fill="FFFFFF"/>
                  <w:noWrap w:val="0"/>
                  <w:vAlign w:val="center"/>
                </w:tcPr>
                <w:p w14:paraId="7B22657F">
                  <w:pPr>
                    <w:widowControl/>
                    <w:jc w:val="center"/>
                    <w:rPr>
                      <w:rFonts w:hint="default"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45.7</w:t>
                  </w:r>
                </w:p>
              </w:tc>
              <w:tc>
                <w:tcPr>
                  <w:tcW w:w="625" w:type="pct"/>
                  <w:shd w:val="clear" w:color="000000" w:fill="FFFFFF"/>
                  <w:noWrap w:val="0"/>
                  <w:vAlign w:val="center"/>
                </w:tcPr>
                <w:p w14:paraId="553F915E">
                  <w:pPr>
                    <w:widowControl/>
                    <w:jc w:val="center"/>
                    <w:rPr>
                      <w:rFonts w:hint="default"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27.1</w:t>
                  </w:r>
                </w:p>
              </w:tc>
              <w:tc>
                <w:tcPr>
                  <w:tcW w:w="625" w:type="pct"/>
                  <w:shd w:val="clear" w:color="000000" w:fill="FFFFFF"/>
                  <w:noWrap w:val="0"/>
                  <w:vAlign w:val="center"/>
                </w:tcPr>
                <w:p w14:paraId="0662B7B4">
                  <w:pPr>
                    <w:widowControl/>
                    <w:jc w:val="center"/>
                    <w:rPr>
                      <w:rFonts w:hint="default"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0.8</w:t>
                  </w:r>
                </w:p>
              </w:tc>
              <w:tc>
                <w:tcPr>
                  <w:tcW w:w="625" w:type="pct"/>
                  <w:shd w:val="clear" w:color="000000" w:fill="FFFFFF"/>
                  <w:noWrap w:val="0"/>
                  <w:vAlign w:val="center"/>
                </w:tcPr>
                <w:p w14:paraId="07D8274F">
                  <w:pPr>
                    <w:widowControl/>
                    <w:jc w:val="center"/>
                    <w:rPr>
                      <w:rFonts w:hint="default"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143.9</w:t>
                  </w:r>
                </w:p>
              </w:tc>
              <w:tc>
                <w:tcPr>
                  <w:tcW w:w="625" w:type="pct"/>
                  <w:shd w:val="clear" w:color="000000" w:fill="FFFFFF"/>
                  <w:noWrap w:val="0"/>
                  <w:vAlign w:val="center"/>
                </w:tcPr>
                <w:p w14:paraId="4933FC89">
                  <w:pPr>
                    <w:widowControl/>
                    <w:jc w:val="center"/>
                    <w:rPr>
                      <w:rFonts w:hint="default"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3.21</w:t>
                  </w:r>
                </w:p>
              </w:tc>
            </w:tr>
            <w:tr w14:paraId="65B9A1EC">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625" w:type="pct"/>
                  <w:shd w:val="clear" w:color="000000" w:fill="FFFFFF"/>
                  <w:noWrap w:val="0"/>
                  <w:vAlign w:val="center"/>
                </w:tcPr>
                <w:p w14:paraId="6E8B1C5E">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美宁食品公司</w:t>
                  </w:r>
                </w:p>
              </w:tc>
              <w:tc>
                <w:tcPr>
                  <w:tcW w:w="625" w:type="pct"/>
                  <w:shd w:val="clear" w:color="000000" w:fill="FFFFFF"/>
                  <w:noWrap w:val="0"/>
                  <w:vAlign w:val="center"/>
                </w:tcPr>
                <w:p w14:paraId="59FB9CA5">
                  <w:pPr>
                    <w:widowControl/>
                    <w:jc w:val="center"/>
                    <w:rPr>
                      <w:rFonts w:hint="default"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9.9</w:t>
                  </w:r>
                </w:p>
              </w:tc>
              <w:tc>
                <w:tcPr>
                  <w:tcW w:w="625" w:type="pct"/>
                  <w:shd w:val="clear" w:color="000000" w:fill="FFFFFF"/>
                  <w:noWrap w:val="0"/>
                  <w:vAlign w:val="center"/>
                </w:tcPr>
                <w:p w14:paraId="299FDD8E">
                  <w:pPr>
                    <w:widowControl/>
                    <w:jc w:val="center"/>
                    <w:rPr>
                      <w:rFonts w:hint="default"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22.1</w:t>
                  </w:r>
                </w:p>
              </w:tc>
              <w:tc>
                <w:tcPr>
                  <w:tcW w:w="625" w:type="pct"/>
                  <w:shd w:val="clear" w:color="000000" w:fill="FFFFFF"/>
                  <w:noWrap w:val="0"/>
                  <w:vAlign w:val="center"/>
                </w:tcPr>
                <w:p w14:paraId="48E5AEA2">
                  <w:pPr>
                    <w:widowControl/>
                    <w:jc w:val="center"/>
                    <w:rPr>
                      <w:rFonts w:hint="default"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47.9</w:t>
                  </w:r>
                </w:p>
              </w:tc>
              <w:tc>
                <w:tcPr>
                  <w:tcW w:w="625" w:type="pct"/>
                  <w:shd w:val="clear" w:color="000000" w:fill="FFFFFF"/>
                  <w:noWrap w:val="0"/>
                  <w:vAlign w:val="center"/>
                </w:tcPr>
                <w:p w14:paraId="40AD0FB9">
                  <w:pPr>
                    <w:widowControl/>
                    <w:jc w:val="center"/>
                    <w:rPr>
                      <w:rFonts w:hint="default"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26.3</w:t>
                  </w:r>
                </w:p>
              </w:tc>
              <w:tc>
                <w:tcPr>
                  <w:tcW w:w="625" w:type="pct"/>
                  <w:shd w:val="clear" w:color="000000" w:fill="FFFFFF"/>
                  <w:noWrap w:val="0"/>
                  <w:vAlign w:val="center"/>
                </w:tcPr>
                <w:p w14:paraId="7763D839">
                  <w:pPr>
                    <w:widowControl/>
                    <w:jc w:val="center"/>
                    <w:rPr>
                      <w:rFonts w:hint="default"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0.8</w:t>
                  </w:r>
                </w:p>
              </w:tc>
              <w:tc>
                <w:tcPr>
                  <w:tcW w:w="625" w:type="pct"/>
                  <w:shd w:val="clear" w:color="000000" w:fill="FFFFFF"/>
                  <w:noWrap w:val="0"/>
                  <w:vAlign w:val="center"/>
                </w:tcPr>
                <w:p w14:paraId="54A657E3">
                  <w:pPr>
                    <w:widowControl/>
                    <w:jc w:val="center"/>
                    <w:rPr>
                      <w:rFonts w:hint="default"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139.4</w:t>
                  </w:r>
                </w:p>
              </w:tc>
              <w:tc>
                <w:tcPr>
                  <w:tcW w:w="625" w:type="pct"/>
                  <w:shd w:val="clear" w:color="000000" w:fill="FFFFFF"/>
                  <w:noWrap w:val="0"/>
                  <w:vAlign w:val="center"/>
                </w:tcPr>
                <w:p w14:paraId="48326FDE">
                  <w:pPr>
                    <w:widowControl/>
                    <w:jc w:val="center"/>
                    <w:rPr>
                      <w:rFonts w:hint="default"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3.22</w:t>
                  </w:r>
                </w:p>
              </w:tc>
            </w:tr>
            <w:tr w14:paraId="273A3D4A">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625" w:type="pct"/>
                  <w:shd w:val="clear" w:color="000000" w:fill="FFFFFF"/>
                  <w:noWrap w:val="0"/>
                  <w:vAlign w:val="center"/>
                </w:tcPr>
                <w:p w14:paraId="2B100385">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行政中心</w:t>
                  </w:r>
                </w:p>
              </w:tc>
              <w:tc>
                <w:tcPr>
                  <w:tcW w:w="625" w:type="pct"/>
                  <w:shd w:val="clear" w:color="000000" w:fill="FFFFFF"/>
                  <w:noWrap w:val="0"/>
                  <w:vAlign w:val="center"/>
                </w:tcPr>
                <w:p w14:paraId="674C9587">
                  <w:pPr>
                    <w:widowControl/>
                    <w:jc w:val="center"/>
                    <w:rPr>
                      <w:rFonts w:hint="default"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9.9</w:t>
                  </w:r>
                </w:p>
              </w:tc>
              <w:tc>
                <w:tcPr>
                  <w:tcW w:w="625" w:type="pct"/>
                  <w:shd w:val="clear" w:color="000000" w:fill="FFFFFF"/>
                  <w:noWrap w:val="0"/>
                  <w:vAlign w:val="center"/>
                </w:tcPr>
                <w:p w14:paraId="1C825ADC">
                  <w:pPr>
                    <w:widowControl/>
                    <w:jc w:val="center"/>
                    <w:rPr>
                      <w:rFonts w:hint="default"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17.9</w:t>
                  </w:r>
                </w:p>
              </w:tc>
              <w:tc>
                <w:tcPr>
                  <w:tcW w:w="625" w:type="pct"/>
                  <w:shd w:val="clear" w:color="000000" w:fill="FFFFFF"/>
                  <w:noWrap w:val="0"/>
                  <w:vAlign w:val="center"/>
                </w:tcPr>
                <w:p w14:paraId="6530F398">
                  <w:pPr>
                    <w:widowControl/>
                    <w:jc w:val="center"/>
                    <w:rPr>
                      <w:rFonts w:hint="default"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44.9</w:t>
                  </w:r>
                </w:p>
              </w:tc>
              <w:tc>
                <w:tcPr>
                  <w:tcW w:w="625" w:type="pct"/>
                  <w:shd w:val="clear" w:color="000000" w:fill="FFFFFF"/>
                  <w:noWrap w:val="0"/>
                  <w:vAlign w:val="center"/>
                </w:tcPr>
                <w:p w14:paraId="7056AAA6">
                  <w:pPr>
                    <w:widowControl/>
                    <w:jc w:val="center"/>
                    <w:rPr>
                      <w:rFonts w:hint="default"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26.4</w:t>
                  </w:r>
                </w:p>
              </w:tc>
              <w:tc>
                <w:tcPr>
                  <w:tcW w:w="625" w:type="pct"/>
                  <w:shd w:val="clear" w:color="000000" w:fill="FFFFFF"/>
                  <w:noWrap w:val="0"/>
                  <w:vAlign w:val="center"/>
                </w:tcPr>
                <w:p w14:paraId="73A02C50">
                  <w:pPr>
                    <w:widowControl/>
                    <w:jc w:val="center"/>
                    <w:rPr>
                      <w:rFonts w:hint="default"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0.9</w:t>
                  </w:r>
                </w:p>
              </w:tc>
              <w:tc>
                <w:tcPr>
                  <w:tcW w:w="625" w:type="pct"/>
                  <w:shd w:val="clear" w:color="000000" w:fill="FFFFFF"/>
                  <w:noWrap w:val="0"/>
                  <w:vAlign w:val="center"/>
                </w:tcPr>
                <w:p w14:paraId="219627C7">
                  <w:pPr>
                    <w:widowControl/>
                    <w:jc w:val="center"/>
                    <w:rPr>
                      <w:rFonts w:hint="default"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149.9</w:t>
                  </w:r>
                </w:p>
              </w:tc>
              <w:tc>
                <w:tcPr>
                  <w:tcW w:w="625" w:type="pct"/>
                  <w:shd w:val="clear" w:color="000000" w:fill="FFFFFF"/>
                  <w:noWrap w:val="0"/>
                  <w:vAlign w:val="center"/>
                </w:tcPr>
                <w:p w14:paraId="5DB99984">
                  <w:pPr>
                    <w:widowControl/>
                    <w:jc w:val="center"/>
                    <w:rPr>
                      <w:rFonts w:hint="default"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3.17</w:t>
                  </w:r>
                </w:p>
              </w:tc>
            </w:tr>
            <w:tr w14:paraId="49E014CC">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625" w:type="pct"/>
                  <w:shd w:val="clear" w:color="000000" w:fill="FFFFFF"/>
                  <w:noWrap w:val="0"/>
                  <w:vAlign w:val="center"/>
                </w:tcPr>
                <w:p w14:paraId="22D81289">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石溪浩</w:t>
                  </w:r>
                </w:p>
              </w:tc>
              <w:tc>
                <w:tcPr>
                  <w:tcW w:w="625" w:type="pct"/>
                  <w:shd w:val="clear" w:color="000000" w:fill="FFFFFF"/>
                  <w:noWrap w:val="0"/>
                  <w:vAlign w:val="center"/>
                </w:tcPr>
                <w:p w14:paraId="53D71C80">
                  <w:pPr>
                    <w:widowControl/>
                    <w:jc w:val="center"/>
                    <w:rPr>
                      <w:rFonts w:hint="default"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6.7</w:t>
                  </w:r>
                </w:p>
              </w:tc>
              <w:tc>
                <w:tcPr>
                  <w:tcW w:w="625" w:type="pct"/>
                  <w:shd w:val="clear" w:color="000000" w:fill="FFFFFF"/>
                  <w:noWrap w:val="0"/>
                  <w:vAlign w:val="center"/>
                </w:tcPr>
                <w:p w14:paraId="75E118F7">
                  <w:pPr>
                    <w:widowControl/>
                    <w:jc w:val="center"/>
                    <w:rPr>
                      <w:rFonts w:hint="default"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17.0</w:t>
                  </w:r>
                </w:p>
              </w:tc>
              <w:tc>
                <w:tcPr>
                  <w:tcW w:w="625" w:type="pct"/>
                  <w:shd w:val="clear" w:color="000000" w:fill="FFFFFF"/>
                  <w:noWrap w:val="0"/>
                  <w:vAlign w:val="center"/>
                </w:tcPr>
                <w:p w14:paraId="52629504">
                  <w:pPr>
                    <w:widowControl/>
                    <w:jc w:val="center"/>
                    <w:rPr>
                      <w:rFonts w:hint="default"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49.3</w:t>
                  </w:r>
                </w:p>
              </w:tc>
              <w:tc>
                <w:tcPr>
                  <w:tcW w:w="625" w:type="pct"/>
                  <w:shd w:val="clear" w:color="000000" w:fill="FFFFFF"/>
                  <w:noWrap w:val="0"/>
                  <w:vAlign w:val="center"/>
                </w:tcPr>
                <w:p w14:paraId="751CE063">
                  <w:pPr>
                    <w:widowControl/>
                    <w:jc w:val="center"/>
                    <w:rPr>
                      <w:rFonts w:hint="default"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28.0</w:t>
                  </w:r>
                </w:p>
              </w:tc>
              <w:tc>
                <w:tcPr>
                  <w:tcW w:w="625" w:type="pct"/>
                  <w:shd w:val="clear" w:color="000000" w:fill="FFFFFF"/>
                  <w:noWrap w:val="0"/>
                  <w:vAlign w:val="center"/>
                </w:tcPr>
                <w:p w14:paraId="0E70ADF9">
                  <w:pPr>
                    <w:widowControl/>
                    <w:jc w:val="center"/>
                    <w:rPr>
                      <w:rFonts w:hint="default"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1.0</w:t>
                  </w:r>
                </w:p>
              </w:tc>
              <w:tc>
                <w:tcPr>
                  <w:tcW w:w="625" w:type="pct"/>
                  <w:shd w:val="clear" w:color="000000" w:fill="FFFFFF"/>
                  <w:noWrap w:val="0"/>
                  <w:vAlign w:val="center"/>
                </w:tcPr>
                <w:p w14:paraId="09730B0C">
                  <w:pPr>
                    <w:widowControl/>
                    <w:jc w:val="center"/>
                    <w:rPr>
                      <w:rFonts w:hint="default"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140.5</w:t>
                  </w:r>
                </w:p>
              </w:tc>
              <w:tc>
                <w:tcPr>
                  <w:tcW w:w="625" w:type="pct"/>
                  <w:shd w:val="clear" w:color="000000" w:fill="FFFFFF"/>
                  <w:noWrap w:val="0"/>
                  <w:vAlign w:val="center"/>
                </w:tcPr>
                <w:p w14:paraId="5FE5ABA5">
                  <w:pPr>
                    <w:widowControl/>
                    <w:jc w:val="center"/>
                    <w:rPr>
                      <w:rFonts w:hint="default"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3.17</w:t>
                  </w:r>
                </w:p>
              </w:tc>
            </w:tr>
            <w:tr w14:paraId="38D3EBCF">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625" w:type="pct"/>
                  <w:shd w:val="clear" w:color="000000" w:fill="FFFFFF"/>
                  <w:noWrap w:val="0"/>
                  <w:vAlign w:val="center"/>
                </w:tcPr>
                <w:p w14:paraId="577C6FDA">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全市平均</w:t>
                  </w:r>
                </w:p>
              </w:tc>
              <w:tc>
                <w:tcPr>
                  <w:tcW w:w="625" w:type="pct"/>
                  <w:shd w:val="clear" w:color="000000" w:fill="FFFFFF"/>
                  <w:noWrap w:val="0"/>
                  <w:vAlign w:val="center"/>
                </w:tcPr>
                <w:p w14:paraId="4F584911">
                  <w:pPr>
                    <w:widowControl/>
                    <w:jc w:val="center"/>
                    <w:rPr>
                      <w:rFonts w:hint="default"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9.6</w:t>
                  </w:r>
                </w:p>
              </w:tc>
              <w:tc>
                <w:tcPr>
                  <w:tcW w:w="625" w:type="pct"/>
                  <w:shd w:val="clear" w:color="000000" w:fill="FFFFFF"/>
                  <w:noWrap w:val="0"/>
                  <w:vAlign w:val="center"/>
                </w:tcPr>
                <w:p w14:paraId="0EF4A903">
                  <w:pPr>
                    <w:widowControl/>
                    <w:jc w:val="center"/>
                    <w:rPr>
                      <w:rFonts w:hint="default"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20.5</w:t>
                  </w:r>
                </w:p>
              </w:tc>
              <w:tc>
                <w:tcPr>
                  <w:tcW w:w="625" w:type="pct"/>
                  <w:shd w:val="clear" w:color="000000" w:fill="FFFFFF"/>
                  <w:noWrap w:val="0"/>
                  <w:vAlign w:val="center"/>
                </w:tcPr>
                <w:p w14:paraId="1141DF3D">
                  <w:pPr>
                    <w:widowControl/>
                    <w:jc w:val="center"/>
                    <w:rPr>
                      <w:rFonts w:hint="default"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46.0</w:t>
                  </w:r>
                </w:p>
              </w:tc>
              <w:tc>
                <w:tcPr>
                  <w:tcW w:w="625" w:type="pct"/>
                  <w:shd w:val="clear" w:color="000000" w:fill="FFFFFF"/>
                  <w:noWrap w:val="0"/>
                  <w:vAlign w:val="center"/>
                </w:tcPr>
                <w:p w14:paraId="2A7F88C7">
                  <w:pPr>
                    <w:widowControl/>
                    <w:jc w:val="center"/>
                    <w:rPr>
                      <w:rFonts w:hint="default"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26.5</w:t>
                  </w:r>
                </w:p>
              </w:tc>
              <w:tc>
                <w:tcPr>
                  <w:tcW w:w="625" w:type="pct"/>
                  <w:shd w:val="clear" w:color="000000" w:fill="FFFFFF"/>
                  <w:noWrap w:val="0"/>
                  <w:vAlign w:val="center"/>
                </w:tcPr>
                <w:p w14:paraId="7CA57E01">
                  <w:pPr>
                    <w:widowControl/>
                    <w:jc w:val="center"/>
                    <w:rPr>
                      <w:rFonts w:hint="default"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0.8</w:t>
                  </w:r>
                </w:p>
              </w:tc>
              <w:tc>
                <w:tcPr>
                  <w:tcW w:w="625" w:type="pct"/>
                  <w:shd w:val="clear" w:color="000000" w:fill="FFFFFF"/>
                  <w:noWrap w:val="0"/>
                  <w:vAlign w:val="center"/>
                </w:tcPr>
                <w:p w14:paraId="24BE0509">
                  <w:pPr>
                    <w:widowControl/>
                    <w:jc w:val="center"/>
                    <w:rPr>
                      <w:rFonts w:hint="default"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143.5</w:t>
                  </w:r>
                </w:p>
              </w:tc>
              <w:tc>
                <w:tcPr>
                  <w:tcW w:w="625" w:type="pct"/>
                  <w:shd w:val="clear" w:color="000000" w:fill="FFFFFF"/>
                  <w:noWrap w:val="0"/>
                  <w:vAlign w:val="center"/>
                </w:tcPr>
                <w:p w14:paraId="4C3DB304">
                  <w:pPr>
                    <w:widowControl/>
                    <w:jc w:val="center"/>
                    <w:rPr>
                      <w:rFonts w:hint="default"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3.18</w:t>
                  </w:r>
                </w:p>
              </w:tc>
            </w:tr>
          </w:tbl>
          <w:p w14:paraId="52F0EF0A">
            <w:pPr>
              <w:adjustRightInd w:val="0"/>
              <w:snapToGrid w:val="0"/>
              <w:spacing w:line="360" w:lineRule="auto"/>
              <w:ind w:firstLine="420" w:firstLineChars="200"/>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由上表可知：PM</w:t>
            </w:r>
            <w:r>
              <w:rPr>
                <w:rFonts w:hint="eastAsia" w:ascii="宋体" w:hAnsi="宋体" w:eastAsia="宋体" w:cs="宋体"/>
                <w:color w:val="auto"/>
                <w:kern w:val="2"/>
                <w:sz w:val="21"/>
                <w:szCs w:val="21"/>
                <w:vertAlign w:val="subscript"/>
              </w:rPr>
              <w:t>2.5</w:t>
            </w:r>
            <w:r>
              <w:rPr>
                <w:rFonts w:hint="eastAsia" w:ascii="宋体" w:hAnsi="宋体" w:eastAsia="宋体" w:cs="宋体"/>
                <w:color w:val="auto"/>
                <w:kern w:val="2"/>
                <w:sz w:val="21"/>
                <w:szCs w:val="21"/>
              </w:rPr>
              <w:t>、SO</w:t>
            </w:r>
            <w:r>
              <w:rPr>
                <w:rFonts w:hint="eastAsia" w:ascii="宋体" w:hAnsi="宋体" w:eastAsia="宋体" w:cs="宋体"/>
                <w:color w:val="auto"/>
                <w:kern w:val="2"/>
                <w:sz w:val="21"/>
                <w:szCs w:val="21"/>
                <w:vertAlign w:val="subscript"/>
              </w:rPr>
              <w:t>2</w:t>
            </w:r>
            <w:r>
              <w:rPr>
                <w:rFonts w:hint="eastAsia" w:ascii="宋体" w:hAnsi="宋体" w:eastAsia="宋体" w:cs="宋体"/>
                <w:color w:val="auto"/>
                <w:kern w:val="2"/>
                <w:sz w:val="21"/>
                <w:szCs w:val="21"/>
              </w:rPr>
              <w:t>、NO</w:t>
            </w:r>
            <w:r>
              <w:rPr>
                <w:rFonts w:hint="eastAsia" w:ascii="宋体" w:hAnsi="宋体" w:eastAsia="宋体" w:cs="宋体"/>
                <w:color w:val="auto"/>
                <w:kern w:val="2"/>
                <w:sz w:val="21"/>
                <w:szCs w:val="21"/>
                <w:vertAlign w:val="subscript"/>
              </w:rPr>
              <w:t>2</w:t>
            </w:r>
            <w:r>
              <w:rPr>
                <w:rFonts w:hint="eastAsia" w:ascii="宋体" w:hAnsi="宋体" w:eastAsia="宋体" w:cs="宋体"/>
                <w:color w:val="auto"/>
                <w:kern w:val="2"/>
                <w:sz w:val="21"/>
                <w:szCs w:val="21"/>
              </w:rPr>
              <w:t>、PM</w:t>
            </w:r>
            <w:r>
              <w:rPr>
                <w:rFonts w:hint="eastAsia" w:ascii="宋体" w:hAnsi="宋体" w:eastAsia="宋体" w:cs="宋体"/>
                <w:color w:val="auto"/>
                <w:kern w:val="2"/>
                <w:sz w:val="21"/>
                <w:szCs w:val="21"/>
                <w:vertAlign w:val="subscript"/>
              </w:rPr>
              <w:t>10</w:t>
            </w:r>
            <w:r>
              <w:rPr>
                <w:rFonts w:hint="eastAsia" w:ascii="宋体" w:hAnsi="宋体" w:eastAsia="宋体" w:cs="宋体"/>
                <w:color w:val="auto"/>
                <w:kern w:val="2"/>
                <w:sz w:val="21"/>
                <w:szCs w:val="21"/>
              </w:rPr>
              <w:t>、CO、O</w:t>
            </w:r>
            <w:r>
              <w:rPr>
                <w:rFonts w:hint="eastAsia" w:ascii="宋体" w:hAnsi="宋体" w:eastAsia="宋体" w:cs="宋体"/>
                <w:color w:val="auto"/>
                <w:kern w:val="2"/>
                <w:sz w:val="21"/>
                <w:szCs w:val="21"/>
                <w:vertAlign w:val="subscript"/>
              </w:rPr>
              <w:t>3</w:t>
            </w:r>
            <w:r>
              <w:rPr>
                <w:rFonts w:hint="eastAsia" w:ascii="宋体" w:hAnsi="宋体" w:eastAsia="宋体" w:cs="宋体"/>
                <w:color w:val="auto"/>
                <w:kern w:val="2"/>
                <w:sz w:val="21"/>
                <w:szCs w:val="21"/>
              </w:rPr>
              <w:t>均能够满足《环境空气质量标准》（GB3095-2012）中二级标准要求。</w:t>
            </w:r>
          </w:p>
          <w:p w14:paraId="24787F9D">
            <w:pPr>
              <w:widowControl/>
              <w:tabs>
                <w:tab w:val="left" w:pos="360"/>
              </w:tabs>
              <w:spacing w:line="360" w:lineRule="auto"/>
              <w:ind w:firstLine="420" w:firstLineChars="200"/>
              <w:jc w:val="left"/>
              <w:rPr>
                <w:rFonts w:hint="eastAsia" w:ascii="宋体" w:hAnsi="宋体" w:eastAsia="宋体" w:cs="宋体"/>
                <w:color w:val="auto"/>
                <w:sz w:val="21"/>
                <w:szCs w:val="21"/>
                <w:lang w:val="en-US" w:eastAsia="zh-CN"/>
              </w:rPr>
            </w:pPr>
            <w:r>
              <w:rPr>
                <w:rFonts w:ascii="Times New Roman" w:hAnsi="Times New Roman" w:eastAsia="宋体" w:cs="Times New Roman"/>
                <w:color w:val="auto"/>
                <w:kern w:val="2"/>
                <w:sz w:val="21"/>
                <w:szCs w:val="21"/>
                <w:lang w:val="en-US" w:eastAsia="zh-CN" w:bidi="ar-SA"/>
              </w:rPr>
              <w:t>综上，本项目所在区域环境空气质量达标。</w:t>
            </w:r>
          </w:p>
          <w:p w14:paraId="6D8B5B39">
            <w:pPr>
              <w:spacing w:line="360" w:lineRule="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◆特征污染物</w:t>
            </w:r>
          </w:p>
          <w:p w14:paraId="0DDAA2B1">
            <w:pPr>
              <w:spacing w:line="360" w:lineRule="auto"/>
              <w:ind w:firstLine="420" w:firstLineChars="200"/>
              <w:rPr>
                <w:rFonts w:hint="eastAsia" w:ascii="宋体" w:hAnsi="宋体" w:eastAsia="宋体" w:cs="宋体"/>
                <w:color w:val="auto"/>
                <w:sz w:val="21"/>
                <w:szCs w:val="21"/>
              </w:rPr>
            </w:pPr>
            <w:r>
              <w:rPr>
                <w:rFonts w:hint="default" w:ascii="Times New Roman" w:hAnsi="Times New Roman" w:eastAsia="宋体" w:cs="Times New Roman"/>
                <w:color w:val="auto"/>
                <w:sz w:val="21"/>
                <w:szCs w:val="21"/>
              </w:rPr>
              <w:t>为进一步了解该项目建设区域的环境质量，</w:t>
            </w:r>
            <w:r>
              <w:rPr>
                <w:rFonts w:hint="eastAsia" w:ascii="宋体" w:hAnsi="宋体" w:cs="宋体"/>
                <w:color w:val="auto"/>
                <w:szCs w:val="21"/>
              </w:rPr>
              <w:t>本项目特征污染因子TSP</w:t>
            </w:r>
            <w:r>
              <w:rPr>
                <w:rFonts w:hint="default" w:ascii="Times New Roman" w:hAnsi="Times New Roman" w:eastAsia="宋体" w:cs="Times New Roman"/>
                <w:color w:val="auto"/>
                <w:sz w:val="21"/>
                <w:szCs w:val="21"/>
              </w:rPr>
              <w:t>数据引用</w:t>
            </w:r>
            <w:r>
              <w:rPr>
                <w:rFonts w:hint="eastAsia" w:ascii="宋体" w:hAnsi="宋体" w:cs="宋体"/>
                <w:color w:val="auto"/>
                <w:szCs w:val="21"/>
              </w:rPr>
              <w:t>四川甲乙环境检测有限公司</w:t>
            </w:r>
            <w:r>
              <w:rPr>
                <w:rFonts w:hint="eastAsia" w:ascii="宋体" w:hAnsi="宋体" w:cs="宋体"/>
                <w:color w:val="auto"/>
                <w:szCs w:val="21"/>
                <w:lang w:val="en-US" w:eastAsia="zh-CN"/>
              </w:rPr>
              <w:t>检测报告（甲乙检字2024第02061W号）</w:t>
            </w:r>
            <w:r>
              <w:rPr>
                <w:rFonts w:hint="eastAsia" w:ascii="宋体" w:hAnsi="宋体" w:cs="宋体"/>
                <w:color w:val="auto"/>
                <w:szCs w:val="21"/>
              </w:rPr>
              <w:t>的监测数据，</w:t>
            </w:r>
            <w:r>
              <w:rPr>
                <w:rFonts w:hint="default" w:ascii="Times New Roman" w:hAnsi="Times New Roman" w:eastAsia="宋体" w:cs="Times New Roman"/>
                <w:color w:val="auto"/>
                <w:sz w:val="21"/>
                <w:szCs w:val="21"/>
              </w:rPr>
              <w:t>监测时间为</w:t>
            </w:r>
            <w:r>
              <w:rPr>
                <w:rFonts w:hint="eastAsia" w:ascii="宋体" w:hAnsi="宋体" w:cs="宋体"/>
                <w:color w:val="auto"/>
                <w:szCs w:val="21"/>
              </w:rPr>
              <w:t>202</w:t>
            </w:r>
            <w:r>
              <w:rPr>
                <w:rFonts w:hint="eastAsia" w:ascii="宋体" w:hAnsi="宋体" w:cs="宋体"/>
                <w:color w:val="auto"/>
                <w:szCs w:val="21"/>
                <w:lang w:val="en-US" w:eastAsia="zh-CN"/>
              </w:rPr>
              <w:t>4</w:t>
            </w:r>
            <w:r>
              <w:rPr>
                <w:rFonts w:hint="eastAsia" w:ascii="宋体" w:hAnsi="宋体" w:cs="宋体"/>
                <w:color w:val="auto"/>
                <w:szCs w:val="21"/>
              </w:rPr>
              <w:t>年</w:t>
            </w:r>
            <w:r>
              <w:rPr>
                <w:rFonts w:hint="eastAsia" w:ascii="宋体" w:hAnsi="宋体" w:cs="宋体"/>
                <w:color w:val="auto"/>
                <w:szCs w:val="21"/>
                <w:lang w:val="en-US" w:eastAsia="zh-CN"/>
              </w:rPr>
              <w:t>2</w:t>
            </w:r>
            <w:r>
              <w:rPr>
                <w:rFonts w:hint="eastAsia" w:ascii="宋体" w:hAnsi="宋体" w:cs="宋体"/>
                <w:color w:val="auto"/>
                <w:szCs w:val="21"/>
              </w:rPr>
              <w:t>月2</w:t>
            </w:r>
            <w:r>
              <w:rPr>
                <w:rFonts w:hint="eastAsia" w:ascii="宋体" w:hAnsi="宋体" w:cs="宋体"/>
                <w:color w:val="auto"/>
                <w:szCs w:val="21"/>
                <w:lang w:val="en-US" w:eastAsia="zh-CN"/>
              </w:rPr>
              <w:t>7</w:t>
            </w:r>
            <w:r>
              <w:rPr>
                <w:rFonts w:hint="eastAsia" w:ascii="宋体" w:hAnsi="宋体" w:cs="宋体"/>
                <w:color w:val="auto"/>
                <w:szCs w:val="21"/>
              </w:rPr>
              <w:t>日</w:t>
            </w:r>
            <w:r>
              <w:rPr>
                <w:rFonts w:hint="eastAsia" w:ascii="宋体" w:hAnsi="宋体" w:cs="宋体"/>
                <w:color w:val="auto"/>
                <w:szCs w:val="21"/>
                <w:lang w:eastAsia="zh-CN"/>
              </w:rPr>
              <w:t>—</w:t>
            </w:r>
            <w:r>
              <w:rPr>
                <w:rFonts w:hint="eastAsia" w:ascii="宋体" w:hAnsi="宋体" w:cs="宋体"/>
                <w:color w:val="auto"/>
                <w:szCs w:val="21"/>
                <w:lang w:val="en-US" w:eastAsia="zh-CN"/>
              </w:rPr>
              <w:t>3</w:t>
            </w:r>
            <w:r>
              <w:rPr>
                <w:rFonts w:hint="eastAsia" w:ascii="宋体" w:hAnsi="宋体" w:cs="宋体"/>
                <w:color w:val="auto"/>
                <w:szCs w:val="21"/>
              </w:rPr>
              <w:t>月1日</w:t>
            </w:r>
            <w:r>
              <w:rPr>
                <w:rFonts w:hint="eastAsia"/>
                <w:color w:val="auto"/>
                <w:szCs w:val="21"/>
                <w:lang w:eastAsia="zh-CN"/>
              </w:rPr>
              <w:t>，</w:t>
            </w:r>
            <w:r>
              <w:rPr>
                <w:rFonts w:hint="eastAsia"/>
                <w:color w:val="auto"/>
                <w:szCs w:val="21"/>
                <w:lang w:val="en-US" w:eastAsia="zh-CN"/>
              </w:rPr>
              <w:t>监测时间</w:t>
            </w:r>
            <w:r>
              <w:rPr>
                <w:rFonts w:hint="default" w:ascii="Times New Roman" w:hAnsi="Times New Roman" w:eastAsia="宋体" w:cs="Times New Roman"/>
                <w:color w:val="auto"/>
                <w:sz w:val="21"/>
                <w:szCs w:val="21"/>
              </w:rPr>
              <w:t>距今较近，且引用的环境空气监测点位</w:t>
            </w:r>
            <w:r>
              <w:rPr>
                <w:rFonts w:hint="eastAsia" w:ascii="Times New Roman" w:hAnsi="Times New Roman" w:eastAsia="宋体" w:cs="Times New Roman"/>
                <w:color w:val="auto"/>
                <w:sz w:val="21"/>
                <w:szCs w:val="21"/>
                <w:lang w:val="en-US" w:eastAsia="zh-CN"/>
              </w:rPr>
              <w:t>距离本项目约为</w:t>
            </w:r>
            <w:r>
              <w:rPr>
                <w:rFonts w:hint="eastAsia" w:cs="Times New Roman"/>
                <w:color w:val="auto"/>
                <w:sz w:val="21"/>
                <w:szCs w:val="21"/>
                <w:lang w:val="en-US" w:eastAsia="zh-CN"/>
              </w:rPr>
              <w:t>430</w:t>
            </w:r>
            <w:r>
              <w:rPr>
                <w:rFonts w:hint="eastAsia" w:ascii="Times New Roman" w:hAnsi="Times New Roman" w:eastAsia="宋体" w:cs="Times New Roman"/>
                <w:color w:val="auto"/>
                <w:sz w:val="21"/>
                <w:szCs w:val="21"/>
                <w:lang w:val="en-US" w:eastAsia="zh-CN"/>
              </w:rPr>
              <w:t>m，</w:t>
            </w:r>
            <w:r>
              <w:rPr>
                <w:rFonts w:hint="eastAsia" w:ascii="宋体" w:hAnsi="宋体" w:cs="宋体"/>
                <w:color w:val="auto"/>
                <w:szCs w:val="21"/>
              </w:rPr>
              <w:t>监测点位置见</w:t>
            </w:r>
            <w:r>
              <w:rPr>
                <w:rFonts w:hint="eastAsia" w:ascii="宋体" w:hAnsi="宋体" w:cs="宋体"/>
                <w:color w:val="auto"/>
                <w:szCs w:val="21"/>
                <w:lang w:val="en-US" w:eastAsia="zh-CN"/>
              </w:rPr>
              <w:t>下表</w:t>
            </w:r>
            <w:r>
              <w:rPr>
                <w:rFonts w:hint="eastAsia" w:ascii="宋体" w:hAnsi="宋体" w:cs="宋体"/>
                <w:color w:val="auto"/>
                <w:sz w:val="21"/>
                <w:szCs w:val="21"/>
              </w:rPr>
              <w:t>。</w:t>
            </w:r>
            <w:r>
              <w:rPr>
                <w:rFonts w:hint="eastAsia" w:ascii="宋体" w:hAnsi="宋体" w:eastAsia="宋体" w:cs="宋体"/>
                <w:color w:val="auto"/>
                <w:sz w:val="21"/>
                <w:szCs w:val="21"/>
              </w:rPr>
              <w:t>监测点位置见表3-</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w:t>
            </w:r>
          </w:p>
          <w:p w14:paraId="09AD16C0">
            <w:pPr>
              <w:snapToGrid w:val="0"/>
              <w:spacing w:before="120" w:beforeLines="50"/>
              <w:jc w:val="center"/>
              <w:rPr>
                <w:rFonts w:hint="eastAsia"/>
                <w:b/>
                <w:color w:val="auto"/>
                <w:sz w:val="21"/>
                <w:szCs w:val="21"/>
              </w:rPr>
            </w:pPr>
            <w:r>
              <w:rPr>
                <w:rFonts w:hint="eastAsia"/>
                <w:b/>
                <w:color w:val="auto"/>
                <w:sz w:val="21"/>
                <w:szCs w:val="21"/>
              </w:rPr>
              <w:t>表3-</w:t>
            </w:r>
            <w:r>
              <w:rPr>
                <w:rFonts w:hint="eastAsia"/>
                <w:b/>
                <w:color w:val="auto"/>
                <w:sz w:val="21"/>
                <w:szCs w:val="21"/>
                <w:lang w:val="en-US" w:eastAsia="zh-CN"/>
              </w:rPr>
              <w:t>2</w:t>
            </w:r>
            <w:r>
              <w:rPr>
                <w:rFonts w:hint="eastAsia"/>
                <w:b/>
                <w:color w:val="auto"/>
                <w:sz w:val="21"/>
                <w:szCs w:val="21"/>
              </w:rPr>
              <w:t xml:space="preserve">  </w:t>
            </w:r>
            <w:r>
              <w:rPr>
                <w:rFonts w:hint="eastAsia"/>
                <w:b/>
                <w:color w:val="auto"/>
                <w:sz w:val="21"/>
                <w:szCs w:val="21"/>
                <w:lang w:val="en-US" w:eastAsia="zh-CN"/>
              </w:rPr>
              <w:t>项目</w:t>
            </w:r>
            <w:r>
              <w:rPr>
                <w:rFonts w:hint="eastAsia"/>
                <w:b/>
                <w:color w:val="auto"/>
                <w:sz w:val="21"/>
                <w:szCs w:val="21"/>
              </w:rPr>
              <w:t>大气监测点位置</w:t>
            </w:r>
          </w:p>
          <w:tbl>
            <w:tblPr>
              <w:tblStyle w:val="30"/>
              <w:tblW w:w="6914"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440"/>
              <w:gridCol w:w="2440"/>
              <w:gridCol w:w="2034"/>
            </w:tblGrid>
            <w:tr w14:paraId="2333738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5" w:hRule="atLeast"/>
                <w:jc w:val="center"/>
              </w:trPr>
              <w:tc>
                <w:tcPr>
                  <w:tcW w:w="2440" w:type="dxa"/>
                  <w:noWrap w:val="0"/>
                  <w:vAlign w:val="center"/>
                </w:tcPr>
                <w:p w14:paraId="3E819230">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监测点位名称</w:t>
                  </w:r>
                </w:p>
              </w:tc>
              <w:tc>
                <w:tcPr>
                  <w:tcW w:w="2440" w:type="dxa"/>
                  <w:noWrap w:val="0"/>
                  <w:vAlign w:val="center"/>
                </w:tcPr>
                <w:p w14:paraId="79D0C105">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与本项目相对位置</w:t>
                  </w:r>
                </w:p>
              </w:tc>
              <w:tc>
                <w:tcPr>
                  <w:tcW w:w="2034" w:type="dxa"/>
                  <w:noWrap w:val="0"/>
                  <w:vAlign w:val="center"/>
                </w:tcPr>
                <w:p w14:paraId="5660C46F">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备   注</w:t>
                  </w:r>
                </w:p>
              </w:tc>
            </w:tr>
            <w:tr w14:paraId="165EC05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2440" w:type="dxa"/>
                  <w:noWrap w:val="0"/>
                  <w:vAlign w:val="center"/>
                </w:tcPr>
                <w:p w14:paraId="0DFC53E2">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项目下风向厂界南侧100m处</w:t>
                  </w:r>
                </w:p>
              </w:tc>
              <w:tc>
                <w:tcPr>
                  <w:tcW w:w="2440" w:type="dxa"/>
                  <w:noWrap w:val="0"/>
                  <w:vAlign w:val="center"/>
                </w:tcPr>
                <w:p w14:paraId="7BCB16AE">
                  <w:pPr>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西侧430</w:t>
                  </w:r>
                  <w:r>
                    <w:rPr>
                      <w:rFonts w:hint="eastAsia" w:ascii="宋体" w:hAnsi="宋体" w:eastAsia="宋体" w:cs="宋体"/>
                      <w:color w:val="auto"/>
                      <w:sz w:val="21"/>
                      <w:szCs w:val="21"/>
                      <w:lang w:val="en-US" w:eastAsia="zh-CN"/>
                    </w:rPr>
                    <w:t>m处</w:t>
                  </w:r>
                </w:p>
              </w:tc>
              <w:tc>
                <w:tcPr>
                  <w:tcW w:w="2034" w:type="dxa"/>
                  <w:noWrap w:val="0"/>
                  <w:vAlign w:val="center"/>
                </w:tcPr>
                <w:p w14:paraId="419360E1">
                  <w:pPr>
                    <w:jc w:val="center"/>
                    <w:rPr>
                      <w:rFonts w:hint="eastAsia" w:ascii="宋体" w:hAnsi="宋体" w:eastAsia="宋体" w:cs="宋体"/>
                      <w:color w:val="auto"/>
                      <w:sz w:val="21"/>
                      <w:szCs w:val="21"/>
                    </w:rPr>
                  </w:pPr>
                  <w:r>
                    <w:rPr>
                      <w:rFonts w:hint="eastAsia" w:ascii="宋体" w:hAnsi="宋体" w:eastAsia="宋体" w:cs="宋体"/>
                      <w:color w:val="auto"/>
                      <w:sz w:val="21"/>
                      <w:szCs w:val="21"/>
                    </w:rPr>
                    <w:t>现状监测</w:t>
                  </w:r>
                </w:p>
              </w:tc>
            </w:tr>
          </w:tbl>
          <w:p w14:paraId="675AD892">
            <w:pPr>
              <w:tabs>
                <w:tab w:val="left" w:pos="2160"/>
              </w:tabs>
              <w:spacing w:before="156" w:beforeLines="50"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 1 \* GB3 \* MERGEFORMAT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①</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t>监测因子</w:t>
            </w:r>
          </w:p>
          <w:p w14:paraId="550552A1">
            <w:pPr>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监测因子：</w:t>
            </w:r>
            <w:r>
              <w:rPr>
                <w:rFonts w:hint="eastAsia" w:ascii="宋体" w:hAnsi="宋体" w:eastAsia="宋体" w:cs="宋体"/>
                <w:color w:val="auto"/>
                <w:sz w:val="21"/>
                <w:szCs w:val="21"/>
                <w:lang w:val="en-US" w:eastAsia="zh-CN"/>
              </w:rPr>
              <w:t>TSP</w:t>
            </w:r>
            <w:r>
              <w:rPr>
                <w:rFonts w:hint="eastAsia" w:ascii="宋体" w:hAnsi="宋体" w:eastAsia="宋体" w:cs="宋体"/>
                <w:color w:val="auto"/>
                <w:sz w:val="21"/>
                <w:szCs w:val="21"/>
              </w:rPr>
              <w:t>。</w:t>
            </w:r>
          </w:p>
          <w:p w14:paraId="35CAA4E9">
            <w:pPr>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评价标准</w:t>
            </w:r>
          </w:p>
          <w:p w14:paraId="44CF99F9">
            <w:pPr>
              <w:spacing w:line="360" w:lineRule="auto"/>
              <w:ind w:firstLine="482"/>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TSP执行《环境空气质量标准》（GB3095-2012）中二级标准限值</w:t>
            </w:r>
            <w:r>
              <w:rPr>
                <w:rFonts w:hint="eastAsia" w:ascii="宋体" w:hAnsi="宋体" w:eastAsia="宋体" w:cs="宋体"/>
                <w:color w:val="auto"/>
                <w:sz w:val="21"/>
                <w:szCs w:val="21"/>
                <w:lang w:eastAsia="zh-CN"/>
              </w:rPr>
              <w:t>。</w:t>
            </w:r>
          </w:p>
          <w:p w14:paraId="2027A430">
            <w:pPr>
              <w:spacing w:line="360" w:lineRule="auto"/>
              <w:ind w:firstLine="420" w:firstLineChars="200"/>
              <w:rPr>
                <w:rFonts w:hint="eastAsia" w:ascii="宋体" w:hAnsi="宋体" w:eastAsia="宋体" w:cs="宋体"/>
                <w:color w:val="auto"/>
                <w:sz w:val="21"/>
                <w:szCs w:val="21"/>
              </w:rPr>
            </w:pPr>
            <w:r>
              <w:rPr>
                <w:rFonts w:hint="eastAsia" w:ascii="宋体" w:hAnsi="宋体" w:cs="宋体"/>
                <w:b w:val="0"/>
                <w:bCs/>
                <w:color w:val="auto"/>
                <w:szCs w:val="21"/>
              </w:rPr>
              <w:t>（3）</w:t>
            </w:r>
            <w:r>
              <w:rPr>
                <w:rFonts w:hint="eastAsia" w:ascii="宋体" w:hAnsi="宋体" w:eastAsia="宋体" w:cs="宋体"/>
                <w:color w:val="auto"/>
                <w:sz w:val="21"/>
                <w:szCs w:val="21"/>
              </w:rPr>
              <w:t>评价方法</w:t>
            </w:r>
          </w:p>
          <w:p w14:paraId="3A6FEE6B">
            <w:pPr>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大气环境现状采用单项标准指数法进行评价。评价公式：</w:t>
            </w:r>
          </w:p>
          <w:p w14:paraId="306B60CE">
            <w:pPr>
              <w:tabs>
                <w:tab w:val="left" w:leader="dot" w:pos="7770"/>
              </w:tabs>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object>
                <v:shape id="_x0000_i1025" o:spt="75" type="#_x0000_t75" style="height:36.5pt;width:39pt;" o:ole="t" filled="f" o:preferrelative="t" stroked="f" coordsize="21600,21600">
                  <v:path/>
                  <v:fill on="f" focussize="0,0"/>
                  <v:stroke on="f" joinstyle="miter"/>
                  <v:imagedata r:id="rId18" o:title=""/>
                  <o:lock v:ext="edit" aspectratio="t"/>
                  <w10:wrap type="none"/>
                  <w10:anchorlock/>
                </v:shape>
                <o:OLEObject Type="Embed" ProgID="Equation.DSMT4" ShapeID="_x0000_i1025" DrawAspect="Content" ObjectID="_1468075725" r:id="rId17">
                  <o:LockedField>false</o:LockedField>
                </o:OLEObject>
              </w:object>
            </w:r>
          </w:p>
          <w:p w14:paraId="51D43F2D">
            <w:pPr>
              <w:spacing w:line="360" w:lineRule="auto"/>
              <w:ind w:firstLine="482"/>
              <w:rPr>
                <w:rFonts w:hint="eastAsia" w:ascii="宋体" w:hAnsi="宋体" w:eastAsia="宋体" w:cs="宋体"/>
                <w:color w:val="auto"/>
                <w:sz w:val="21"/>
                <w:szCs w:val="21"/>
              </w:rPr>
            </w:pPr>
            <w:r>
              <w:rPr>
                <w:rFonts w:hint="eastAsia" w:ascii="宋体" w:hAnsi="宋体" w:eastAsia="宋体" w:cs="宋体"/>
                <w:color w:val="auto"/>
                <w:sz w:val="21"/>
                <w:szCs w:val="21"/>
              </w:rPr>
              <w:t>式中：I</w:t>
            </w:r>
            <w:r>
              <w:rPr>
                <w:rFonts w:hint="eastAsia" w:ascii="宋体" w:hAnsi="宋体" w:eastAsia="宋体" w:cs="宋体"/>
                <w:color w:val="auto"/>
                <w:sz w:val="21"/>
                <w:szCs w:val="21"/>
                <w:vertAlign w:val="subscript"/>
              </w:rPr>
              <w:t>i</w:t>
            </w:r>
            <w:r>
              <w:rPr>
                <w:rFonts w:hint="eastAsia" w:ascii="宋体" w:hAnsi="宋体" w:eastAsia="宋体" w:cs="宋体"/>
                <w:color w:val="auto"/>
                <w:sz w:val="21"/>
                <w:szCs w:val="21"/>
              </w:rPr>
              <w:t>——i种污染物的单项指数；</w:t>
            </w:r>
          </w:p>
          <w:p w14:paraId="36CADF3E">
            <w:pPr>
              <w:spacing w:line="360" w:lineRule="auto"/>
              <w:ind w:firstLine="1050" w:firstLineChars="500"/>
              <w:rPr>
                <w:rFonts w:hint="eastAsia" w:ascii="宋体" w:hAnsi="宋体" w:eastAsia="宋体" w:cs="宋体"/>
                <w:color w:val="auto"/>
                <w:sz w:val="21"/>
                <w:szCs w:val="21"/>
              </w:rPr>
            </w:pPr>
            <w:r>
              <w:rPr>
                <w:rFonts w:hint="eastAsia" w:ascii="宋体" w:hAnsi="宋体" w:eastAsia="宋体" w:cs="宋体"/>
                <w:color w:val="auto"/>
                <w:sz w:val="21"/>
                <w:szCs w:val="21"/>
              </w:rPr>
              <w:t>C</w:t>
            </w:r>
            <w:r>
              <w:rPr>
                <w:rFonts w:hint="eastAsia" w:ascii="宋体" w:hAnsi="宋体" w:eastAsia="宋体" w:cs="宋体"/>
                <w:color w:val="auto"/>
                <w:sz w:val="21"/>
                <w:szCs w:val="21"/>
                <w:vertAlign w:val="subscript"/>
              </w:rPr>
              <w:t>i</w:t>
            </w:r>
            <w:r>
              <w:rPr>
                <w:rFonts w:hint="eastAsia" w:ascii="宋体" w:hAnsi="宋体" w:eastAsia="宋体" w:cs="宋体"/>
                <w:color w:val="auto"/>
                <w:sz w:val="21"/>
                <w:szCs w:val="21"/>
              </w:rPr>
              <w:t>——i种污染物的实测浓度，mg/Nm</w:t>
            </w:r>
            <w:r>
              <w:rPr>
                <w:rFonts w:hint="eastAsia" w:ascii="宋体" w:hAnsi="宋体" w:eastAsia="宋体" w:cs="宋体"/>
                <w:color w:val="auto"/>
                <w:sz w:val="21"/>
                <w:szCs w:val="21"/>
                <w:vertAlign w:val="superscript"/>
              </w:rPr>
              <w:t>3</w:t>
            </w:r>
            <w:r>
              <w:rPr>
                <w:rFonts w:hint="eastAsia" w:ascii="宋体" w:hAnsi="宋体" w:eastAsia="宋体" w:cs="宋体"/>
                <w:color w:val="auto"/>
                <w:sz w:val="21"/>
                <w:szCs w:val="21"/>
              </w:rPr>
              <w:t>；</w:t>
            </w:r>
          </w:p>
          <w:p w14:paraId="34A1048B">
            <w:pPr>
              <w:spacing w:line="360" w:lineRule="auto"/>
              <w:ind w:firstLine="1050" w:firstLineChars="500"/>
              <w:rPr>
                <w:rFonts w:hint="eastAsia" w:ascii="宋体" w:hAnsi="宋体" w:eastAsia="宋体" w:cs="宋体"/>
                <w:color w:val="auto"/>
                <w:sz w:val="21"/>
                <w:szCs w:val="21"/>
              </w:rPr>
            </w:pPr>
            <w:r>
              <w:rPr>
                <w:rFonts w:hint="eastAsia" w:ascii="宋体" w:hAnsi="宋体" w:eastAsia="宋体" w:cs="宋体"/>
                <w:color w:val="auto"/>
                <w:sz w:val="21"/>
                <w:szCs w:val="21"/>
              </w:rPr>
              <w:t>S</w:t>
            </w:r>
            <w:r>
              <w:rPr>
                <w:rFonts w:hint="eastAsia" w:ascii="宋体" w:hAnsi="宋体" w:eastAsia="宋体" w:cs="宋体"/>
                <w:color w:val="auto"/>
                <w:sz w:val="21"/>
                <w:szCs w:val="21"/>
                <w:vertAlign w:val="subscript"/>
              </w:rPr>
              <w:t>i</w:t>
            </w:r>
            <w:r>
              <w:rPr>
                <w:rFonts w:hint="eastAsia" w:ascii="宋体" w:hAnsi="宋体" w:eastAsia="宋体" w:cs="宋体"/>
                <w:color w:val="auto"/>
                <w:sz w:val="21"/>
                <w:szCs w:val="21"/>
              </w:rPr>
              <w:t>——i种污染物的评价标准，mg/Nm</w:t>
            </w:r>
            <w:r>
              <w:rPr>
                <w:rFonts w:hint="eastAsia" w:ascii="宋体" w:hAnsi="宋体" w:eastAsia="宋体" w:cs="宋体"/>
                <w:color w:val="auto"/>
                <w:sz w:val="21"/>
                <w:szCs w:val="21"/>
                <w:vertAlign w:val="superscript"/>
              </w:rPr>
              <w:t>3</w:t>
            </w:r>
            <w:r>
              <w:rPr>
                <w:rFonts w:hint="eastAsia" w:ascii="宋体" w:hAnsi="宋体" w:eastAsia="宋体" w:cs="宋体"/>
                <w:color w:val="auto"/>
                <w:sz w:val="21"/>
                <w:szCs w:val="21"/>
              </w:rPr>
              <w:t>。</w:t>
            </w:r>
          </w:p>
          <w:p w14:paraId="4F1853BE">
            <w:pPr>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 4 \* GB3 \* MERGEFORMAT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④</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t>监测结果</w:t>
            </w:r>
          </w:p>
          <w:p w14:paraId="38F1058D">
            <w:pPr>
              <w:snapToGrid w:val="0"/>
              <w:spacing w:before="120" w:beforeLines="50"/>
              <w:jc w:val="center"/>
              <w:rPr>
                <w:rFonts w:hint="eastAsia"/>
                <w:b/>
                <w:color w:val="auto"/>
                <w:sz w:val="21"/>
                <w:szCs w:val="21"/>
              </w:rPr>
            </w:pPr>
            <w:r>
              <w:rPr>
                <w:rFonts w:hint="eastAsia"/>
                <w:b/>
                <w:color w:val="auto"/>
                <w:sz w:val="21"/>
                <w:szCs w:val="21"/>
              </w:rPr>
              <w:t>表3-</w:t>
            </w:r>
            <w:r>
              <w:rPr>
                <w:rFonts w:hint="eastAsia"/>
                <w:b/>
                <w:color w:val="auto"/>
                <w:sz w:val="21"/>
                <w:szCs w:val="21"/>
                <w:lang w:val="en-US" w:eastAsia="zh-CN"/>
              </w:rPr>
              <w:t>3</w:t>
            </w:r>
            <w:r>
              <w:rPr>
                <w:rFonts w:hint="eastAsia"/>
                <w:b/>
                <w:color w:val="auto"/>
                <w:sz w:val="21"/>
                <w:szCs w:val="21"/>
              </w:rPr>
              <w:t>　 大气监测因子评价结果表</w:t>
            </w:r>
          </w:p>
          <w:tbl>
            <w:tblPr>
              <w:tblStyle w:val="30"/>
              <w:tblW w:w="80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2336"/>
              <w:gridCol w:w="1328"/>
              <w:gridCol w:w="1787"/>
              <w:gridCol w:w="1338"/>
              <w:gridCol w:w="1249"/>
            </w:tblGrid>
            <w:tr w14:paraId="11FE4A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95" w:hRule="atLeast"/>
                <w:jc w:val="center"/>
              </w:trPr>
              <w:tc>
                <w:tcPr>
                  <w:tcW w:w="2336" w:type="dxa"/>
                  <w:vMerge w:val="restart"/>
                  <w:noWrap w:val="0"/>
                  <w:vAlign w:val="center"/>
                </w:tcPr>
                <w:p w14:paraId="4585BB06">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监测点位</w:t>
                  </w:r>
                </w:p>
              </w:tc>
              <w:tc>
                <w:tcPr>
                  <w:tcW w:w="1328" w:type="dxa"/>
                  <w:vMerge w:val="restart"/>
                  <w:noWrap w:val="0"/>
                  <w:vAlign w:val="center"/>
                </w:tcPr>
                <w:p w14:paraId="639BD812">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监测项目</w:t>
                  </w:r>
                </w:p>
              </w:tc>
              <w:tc>
                <w:tcPr>
                  <w:tcW w:w="4374" w:type="dxa"/>
                  <w:gridSpan w:val="3"/>
                  <w:noWrap w:val="0"/>
                  <w:vAlign w:val="center"/>
                </w:tcPr>
                <w:p w14:paraId="09B7A7BA">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平均浓度</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mg/m</w:t>
                  </w:r>
                  <w:r>
                    <w:rPr>
                      <w:rFonts w:hint="eastAsia" w:ascii="宋体" w:hAnsi="宋体" w:eastAsia="宋体" w:cs="宋体"/>
                      <w:color w:val="auto"/>
                      <w:sz w:val="21"/>
                      <w:szCs w:val="21"/>
                      <w:vertAlign w:val="superscript"/>
                    </w:rPr>
                    <w:t>3</w:t>
                  </w:r>
                  <w:r>
                    <w:rPr>
                      <w:rFonts w:hint="eastAsia" w:ascii="宋体" w:hAnsi="宋体" w:eastAsia="宋体" w:cs="宋体"/>
                      <w:color w:val="auto"/>
                      <w:sz w:val="21"/>
                      <w:szCs w:val="21"/>
                      <w:vertAlign w:val="superscript"/>
                      <w:lang w:eastAsia="zh-CN"/>
                    </w:rPr>
                    <w:t>）</w:t>
                  </w:r>
                </w:p>
              </w:tc>
            </w:tr>
            <w:tr w14:paraId="5AFC15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74" w:hRule="atLeast"/>
                <w:jc w:val="center"/>
              </w:trPr>
              <w:tc>
                <w:tcPr>
                  <w:tcW w:w="2336" w:type="dxa"/>
                  <w:vMerge w:val="continue"/>
                  <w:noWrap w:val="0"/>
                  <w:vAlign w:val="center"/>
                </w:tcPr>
                <w:p w14:paraId="09C51BB3">
                  <w:pPr>
                    <w:keepNext w:val="0"/>
                    <w:keepLines w:val="0"/>
                    <w:widowControl/>
                    <w:suppressLineNumbers w:val="0"/>
                    <w:spacing w:before="0" w:beforeAutospacing="0" w:after="0" w:afterAutospacing="0"/>
                    <w:ind w:left="0" w:right="0"/>
                    <w:jc w:val="left"/>
                    <w:rPr>
                      <w:rFonts w:hint="eastAsia" w:ascii="宋体" w:hAnsi="宋体" w:eastAsia="宋体" w:cs="宋体"/>
                      <w:color w:val="auto"/>
                      <w:sz w:val="21"/>
                      <w:szCs w:val="21"/>
                    </w:rPr>
                  </w:pPr>
                </w:p>
              </w:tc>
              <w:tc>
                <w:tcPr>
                  <w:tcW w:w="1328" w:type="dxa"/>
                  <w:vMerge w:val="continue"/>
                  <w:noWrap w:val="0"/>
                  <w:vAlign w:val="center"/>
                </w:tcPr>
                <w:p w14:paraId="1723D444">
                  <w:pPr>
                    <w:keepNext w:val="0"/>
                    <w:keepLines w:val="0"/>
                    <w:widowControl/>
                    <w:suppressLineNumbers w:val="0"/>
                    <w:spacing w:before="0" w:beforeAutospacing="0" w:after="0" w:afterAutospacing="0"/>
                    <w:ind w:left="0" w:right="0"/>
                    <w:jc w:val="left"/>
                    <w:rPr>
                      <w:rFonts w:hint="eastAsia" w:ascii="宋体" w:hAnsi="宋体" w:eastAsia="宋体" w:cs="宋体"/>
                      <w:color w:val="auto"/>
                      <w:sz w:val="21"/>
                      <w:szCs w:val="21"/>
                    </w:rPr>
                  </w:pPr>
                </w:p>
              </w:tc>
              <w:tc>
                <w:tcPr>
                  <w:tcW w:w="1787" w:type="dxa"/>
                  <w:noWrap w:val="0"/>
                  <w:vAlign w:val="center"/>
                </w:tcPr>
                <w:p w14:paraId="55A99874">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浓度范围</w:t>
                  </w:r>
                </w:p>
              </w:tc>
              <w:tc>
                <w:tcPr>
                  <w:tcW w:w="1338" w:type="dxa"/>
                  <w:noWrap w:val="0"/>
                  <w:vAlign w:val="center"/>
                </w:tcPr>
                <w:p w14:paraId="49C40187">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标准值</w:t>
                  </w:r>
                </w:p>
              </w:tc>
              <w:tc>
                <w:tcPr>
                  <w:tcW w:w="1249" w:type="dxa"/>
                  <w:noWrap w:val="0"/>
                  <w:vAlign w:val="center"/>
                </w:tcPr>
                <w:p w14:paraId="43A30695">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PImax</w:t>
                  </w:r>
                </w:p>
              </w:tc>
            </w:tr>
            <w:tr w14:paraId="6CE9B4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74" w:hRule="atLeast"/>
                <w:jc w:val="center"/>
              </w:trPr>
              <w:tc>
                <w:tcPr>
                  <w:tcW w:w="2336" w:type="dxa"/>
                  <w:noWrap w:val="0"/>
                  <w:vAlign w:val="center"/>
                </w:tcPr>
                <w:p w14:paraId="45AEC8B9">
                  <w:pPr>
                    <w:keepNext w:val="0"/>
                    <w:keepLines w:val="0"/>
                    <w:widowControl/>
                    <w:suppressLineNumbers w:val="0"/>
                    <w:spacing w:before="0" w:beforeAutospacing="0" w:after="0" w:afterAutospacing="0"/>
                    <w:ind w:left="0" w:right="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项目下风向厂界南侧100m处</w:t>
                  </w:r>
                </w:p>
              </w:tc>
              <w:tc>
                <w:tcPr>
                  <w:tcW w:w="1328" w:type="dxa"/>
                  <w:noWrap w:val="0"/>
                  <w:vAlign w:val="center"/>
                </w:tcPr>
                <w:p w14:paraId="66155F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kern w:val="2"/>
                      <w:sz w:val="21"/>
                      <w:szCs w:val="21"/>
                      <w:lang w:val="en-US" w:eastAsia="zh-CN" w:bidi="ar-SA"/>
                    </w:rPr>
                    <w:t>总悬浮颗粒物</w:t>
                  </w:r>
                </w:p>
              </w:tc>
              <w:tc>
                <w:tcPr>
                  <w:tcW w:w="1787" w:type="dxa"/>
                  <w:noWrap w:val="0"/>
                  <w:vAlign w:val="center"/>
                </w:tcPr>
                <w:p w14:paraId="4ADDD5FA">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0.108~0.115</w:t>
                  </w:r>
                </w:p>
              </w:tc>
              <w:tc>
                <w:tcPr>
                  <w:tcW w:w="1338" w:type="dxa"/>
                  <w:noWrap w:val="0"/>
                  <w:vAlign w:val="center"/>
                </w:tcPr>
                <w:p w14:paraId="334751FB">
                  <w:pPr>
                    <w:keepNext w:val="0"/>
                    <w:keepLines w:val="0"/>
                    <w:widowControl/>
                    <w:suppressLineNumbers w:val="0"/>
                    <w:spacing w:before="0" w:beforeAutospacing="0" w:after="0" w:afterAutospacing="0"/>
                    <w:ind w:left="0" w:leftChars="0" w:right="0" w:rightChars="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0.3</w:t>
                  </w:r>
                </w:p>
              </w:tc>
              <w:tc>
                <w:tcPr>
                  <w:tcW w:w="1249" w:type="dxa"/>
                  <w:noWrap w:val="0"/>
                  <w:vAlign w:val="center"/>
                </w:tcPr>
                <w:p w14:paraId="55E58EA0">
                  <w:pPr>
                    <w:keepNext w:val="0"/>
                    <w:keepLines w:val="0"/>
                    <w:widowControl/>
                    <w:suppressLineNumbers w:val="0"/>
                    <w:spacing w:before="0" w:beforeAutospacing="0" w:after="0" w:afterAutospacing="0"/>
                    <w:ind w:left="0" w:leftChars="0" w:right="0" w:rightChars="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0.383</w:t>
                  </w:r>
                </w:p>
              </w:tc>
            </w:tr>
          </w:tbl>
          <w:p w14:paraId="7EAE81E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 5 \* GB3 \* MERGEFORMAT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⑤</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t>现状评价结论</w:t>
            </w:r>
          </w:p>
          <w:p w14:paraId="552B3FA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
                <w:bCs/>
                <w:color w:val="auto"/>
                <w:sz w:val="21"/>
                <w:szCs w:val="21"/>
                <w:lang w:val="en-US" w:eastAsia="zh-CN"/>
              </w:rPr>
            </w:pPr>
            <w:r>
              <w:rPr>
                <w:rFonts w:hint="eastAsia" w:ascii="宋体" w:hAnsi="宋体" w:eastAsia="宋体" w:cs="宋体"/>
                <w:color w:val="auto"/>
                <w:sz w:val="21"/>
                <w:szCs w:val="21"/>
              </w:rPr>
              <w:t>由表3-</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可知，评价区目前环境空气中，监测因子能达到相关标准要求，说明所在区域环境空气质量较好</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尚有一定的环境容量。</w:t>
            </w:r>
          </w:p>
          <w:p w14:paraId="3CECB87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2、地表水环境</w:t>
            </w:r>
          </w:p>
          <w:p w14:paraId="25BD3744">
            <w:pPr>
              <w:widowControl/>
              <w:spacing w:line="360" w:lineRule="auto"/>
              <w:ind w:firstLine="420" w:firstLineChars="200"/>
              <w:jc w:val="left"/>
              <w:rPr>
                <w:bCs/>
                <w:color w:val="auto"/>
                <w:kern w:val="0"/>
                <w:sz w:val="21"/>
                <w:szCs w:val="21"/>
                <w:shd w:val="clear" w:color="auto" w:fill="FFFFFF"/>
              </w:rPr>
            </w:pPr>
            <w:r>
              <w:rPr>
                <w:rFonts w:hint="eastAsia"/>
                <w:bCs/>
                <w:color w:val="auto"/>
                <w:kern w:val="0"/>
                <w:sz w:val="21"/>
                <w:szCs w:val="21"/>
                <w:shd w:val="clear" w:color="auto" w:fill="FFFFFF"/>
              </w:rPr>
              <w:t>根据《202</w:t>
            </w:r>
            <w:r>
              <w:rPr>
                <w:rFonts w:hint="eastAsia"/>
                <w:bCs/>
                <w:color w:val="auto"/>
                <w:kern w:val="0"/>
                <w:sz w:val="21"/>
                <w:szCs w:val="21"/>
                <w:shd w:val="clear" w:color="auto" w:fill="FFFFFF"/>
                <w:lang w:val="en-US" w:eastAsia="zh-CN"/>
              </w:rPr>
              <w:t>4</w:t>
            </w:r>
            <w:r>
              <w:rPr>
                <w:rFonts w:hint="eastAsia"/>
                <w:bCs/>
                <w:color w:val="auto"/>
                <w:kern w:val="0"/>
                <w:sz w:val="21"/>
                <w:szCs w:val="21"/>
                <w:shd w:val="clear" w:color="auto" w:fill="FFFFFF"/>
              </w:rPr>
              <w:t>年遂宁市环境质量公告》，遂宁202</w:t>
            </w:r>
            <w:r>
              <w:rPr>
                <w:rFonts w:hint="eastAsia"/>
                <w:bCs/>
                <w:color w:val="auto"/>
                <w:kern w:val="0"/>
                <w:sz w:val="21"/>
                <w:szCs w:val="21"/>
                <w:shd w:val="clear" w:color="auto" w:fill="FFFFFF"/>
                <w:lang w:val="en-US" w:eastAsia="zh-CN"/>
              </w:rPr>
              <w:t>4</w:t>
            </w:r>
            <w:r>
              <w:rPr>
                <w:rFonts w:hint="eastAsia"/>
                <w:bCs/>
                <w:color w:val="auto"/>
                <w:kern w:val="0"/>
                <w:sz w:val="21"/>
                <w:szCs w:val="21"/>
                <w:shd w:val="clear" w:color="auto" w:fill="FFFFFF"/>
              </w:rPr>
              <w:t>年地表水监测断面数据如下：</w:t>
            </w:r>
          </w:p>
          <w:p w14:paraId="19208F19">
            <w:pPr>
              <w:snapToGrid w:val="0"/>
              <w:spacing w:before="120" w:beforeLines="50"/>
              <w:jc w:val="center"/>
              <w:rPr>
                <w:rFonts w:hint="eastAsia"/>
                <w:b/>
                <w:color w:val="auto"/>
                <w:sz w:val="21"/>
                <w:szCs w:val="21"/>
                <w:lang w:val="en-US" w:eastAsia="zh-CN"/>
              </w:rPr>
            </w:pPr>
            <w:r>
              <w:rPr>
                <w:rFonts w:hint="eastAsia"/>
                <w:b/>
                <w:color w:val="auto"/>
                <w:sz w:val="21"/>
                <w:szCs w:val="21"/>
                <w:lang w:val="en-US" w:eastAsia="zh-CN"/>
              </w:rPr>
              <w:t>表3-4    区域地表水功能类别</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2"/>
              <w:gridCol w:w="752"/>
              <w:gridCol w:w="1355"/>
              <w:gridCol w:w="573"/>
              <w:gridCol w:w="867"/>
              <w:gridCol w:w="867"/>
              <w:gridCol w:w="1485"/>
              <w:gridCol w:w="1374"/>
            </w:tblGrid>
            <w:tr w14:paraId="54A2D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9" w:type="pct"/>
                  <w:noWrap w:val="0"/>
                  <w:vAlign w:val="center"/>
                </w:tcPr>
                <w:p w14:paraId="4C25535C">
                  <w:pPr>
                    <w:widowControl/>
                    <w:jc w:val="center"/>
                    <w:rPr>
                      <w:color w:val="auto"/>
                      <w:kern w:val="0"/>
                      <w:sz w:val="18"/>
                      <w:szCs w:val="18"/>
                    </w:rPr>
                  </w:pPr>
                  <w:r>
                    <w:rPr>
                      <w:rFonts w:hint="eastAsia"/>
                      <w:color w:val="auto"/>
                      <w:kern w:val="0"/>
                      <w:sz w:val="18"/>
                      <w:szCs w:val="18"/>
                    </w:rPr>
                    <w:t>断</w:t>
                  </w:r>
                  <w:r>
                    <w:rPr>
                      <w:color w:val="auto"/>
                      <w:kern w:val="0"/>
                      <w:sz w:val="18"/>
                      <w:szCs w:val="18"/>
                    </w:rPr>
                    <w:t>面名称</w:t>
                  </w:r>
                </w:p>
              </w:tc>
              <w:tc>
                <w:tcPr>
                  <w:tcW w:w="469" w:type="pct"/>
                  <w:noWrap w:val="0"/>
                  <w:vAlign w:val="center"/>
                </w:tcPr>
                <w:p w14:paraId="79353356">
                  <w:pPr>
                    <w:widowControl/>
                    <w:jc w:val="center"/>
                    <w:rPr>
                      <w:color w:val="auto"/>
                      <w:kern w:val="0"/>
                      <w:sz w:val="18"/>
                      <w:szCs w:val="18"/>
                    </w:rPr>
                  </w:pPr>
                  <w:r>
                    <w:rPr>
                      <w:color w:val="auto"/>
                      <w:kern w:val="0"/>
                      <w:sz w:val="18"/>
                      <w:szCs w:val="18"/>
                    </w:rPr>
                    <w:t>所在地</w:t>
                  </w:r>
                </w:p>
              </w:tc>
              <w:tc>
                <w:tcPr>
                  <w:tcW w:w="844" w:type="pct"/>
                  <w:noWrap w:val="0"/>
                  <w:vAlign w:val="center"/>
                </w:tcPr>
                <w:p w14:paraId="2D662513">
                  <w:pPr>
                    <w:widowControl/>
                    <w:jc w:val="center"/>
                    <w:rPr>
                      <w:color w:val="auto"/>
                      <w:kern w:val="0"/>
                      <w:sz w:val="18"/>
                      <w:szCs w:val="18"/>
                    </w:rPr>
                  </w:pPr>
                  <w:r>
                    <w:rPr>
                      <w:color w:val="auto"/>
                      <w:kern w:val="0"/>
                      <w:sz w:val="18"/>
                      <w:szCs w:val="18"/>
                    </w:rPr>
                    <w:t>断面类别</w:t>
                  </w:r>
                </w:p>
              </w:tc>
              <w:tc>
                <w:tcPr>
                  <w:tcW w:w="357" w:type="pct"/>
                  <w:noWrap w:val="0"/>
                  <w:vAlign w:val="center"/>
                </w:tcPr>
                <w:p w14:paraId="3A3969A7">
                  <w:pPr>
                    <w:widowControl/>
                    <w:jc w:val="center"/>
                    <w:rPr>
                      <w:color w:val="auto"/>
                      <w:kern w:val="0"/>
                      <w:sz w:val="18"/>
                      <w:szCs w:val="18"/>
                    </w:rPr>
                  </w:pPr>
                  <w:r>
                    <w:rPr>
                      <w:color w:val="auto"/>
                      <w:kern w:val="0"/>
                      <w:sz w:val="18"/>
                      <w:szCs w:val="18"/>
                    </w:rPr>
                    <w:t>规定</w:t>
                  </w:r>
                </w:p>
              </w:tc>
              <w:tc>
                <w:tcPr>
                  <w:tcW w:w="540" w:type="pct"/>
                  <w:noWrap w:val="0"/>
                  <w:vAlign w:val="center"/>
                </w:tcPr>
                <w:p w14:paraId="3A8FB134">
                  <w:pPr>
                    <w:widowControl/>
                    <w:jc w:val="center"/>
                    <w:rPr>
                      <w:color w:val="auto"/>
                      <w:kern w:val="0"/>
                      <w:sz w:val="18"/>
                      <w:szCs w:val="18"/>
                    </w:rPr>
                  </w:pPr>
                  <w:r>
                    <w:rPr>
                      <w:color w:val="auto"/>
                      <w:kern w:val="0"/>
                      <w:sz w:val="18"/>
                      <w:szCs w:val="18"/>
                    </w:rPr>
                    <w:t>上年度类别</w:t>
                  </w:r>
                </w:p>
              </w:tc>
              <w:tc>
                <w:tcPr>
                  <w:tcW w:w="540" w:type="pct"/>
                  <w:noWrap w:val="0"/>
                  <w:vAlign w:val="center"/>
                </w:tcPr>
                <w:p w14:paraId="113D8442">
                  <w:pPr>
                    <w:widowControl/>
                    <w:jc w:val="center"/>
                    <w:rPr>
                      <w:color w:val="auto"/>
                      <w:kern w:val="0"/>
                      <w:sz w:val="18"/>
                      <w:szCs w:val="18"/>
                    </w:rPr>
                  </w:pPr>
                  <w:r>
                    <w:rPr>
                      <w:color w:val="auto"/>
                      <w:kern w:val="0"/>
                      <w:sz w:val="18"/>
                      <w:szCs w:val="18"/>
                    </w:rPr>
                    <w:t>本年度类别</w:t>
                  </w:r>
                </w:p>
              </w:tc>
              <w:tc>
                <w:tcPr>
                  <w:tcW w:w="925" w:type="pct"/>
                  <w:noWrap w:val="0"/>
                  <w:vAlign w:val="center"/>
                </w:tcPr>
                <w:p w14:paraId="6A28277E">
                  <w:pPr>
                    <w:widowControl/>
                    <w:jc w:val="center"/>
                    <w:rPr>
                      <w:color w:val="auto"/>
                      <w:kern w:val="0"/>
                      <w:sz w:val="18"/>
                      <w:szCs w:val="18"/>
                    </w:rPr>
                  </w:pPr>
                  <w:r>
                    <w:rPr>
                      <w:color w:val="auto"/>
                      <w:kern w:val="0"/>
                      <w:sz w:val="18"/>
                      <w:szCs w:val="18"/>
                    </w:rPr>
                    <w:t>主要污染指标/超标倍数</w:t>
                  </w:r>
                </w:p>
              </w:tc>
              <w:tc>
                <w:tcPr>
                  <w:tcW w:w="854" w:type="pct"/>
                  <w:noWrap w:val="0"/>
                  <w:vAlign w:val="center"/>
                </w:tcPr>
                <w:p w14:paraId="49503D15">
                  <w:pPr>
                    <w:widowControl/>
                    <w:jc w:val="center"/>
                    <w:rPr>
                      <w:color w:val="auto"/>
                      <w:kern w:val="0"/>
                      <w:sz w:val="18"/>
                      <w:szCs w:val="18"/>
                    </w:rPr>
                  </w:pPr>
                  <w:r>
                    <w:rPr>
                      <w:color w:val="auto"/>
                      <w:kern w:val="0"/>
                      <w:sz w:val="18"/>
                      <w:szCs w:val="18"/>
                    </w:rPr>
                    <w:t>单独评价指标/超标倍数</w:t>
                  </w:r>
                </w:p>
              </w:tc>
            </w:tr>
            <w:tr w14:paraId="2FE75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9" w:type="pct"/>
                  <w:shd w:val="clear" w:color="000000" w:fill="FFFFFF"/>
                  <w:noWrap w:val="0"/>
                  <w:vAlign w:val="center"/>
                </w:tcPr>
                <w:p w14:paraId="5C4A3517">
                  <w:pPr>
                    <w:widowControl/>
                    <w:jc w:val="center"/>
                    <w:rPr>
                      <w:color w:val="auto"/>
                      <w:kern w:val="0"/>
                      <w:sz w:val="18"/>
                      <w:szCs w:val="18"/>
                    </w:rPr>
                  </w:pPr>
                  <w:r>
                    <w:rPr>
                      <w:color w:val="auto"/>
                      <w:kern w:val="0"/>
                      <w:sz w:val="18"/>
                      <w:szCs w:val="18"/>
                    </w:rPr>
                    <w:t>红江渡口</w:t>
                  </w:r>
                </w:p>
              </w:tc>
              <w:tc>
                <w:tcPr>
                  <w:tcW w:w="469" w:type="pct"/>
                  <w:shd w:val="clear" w:color="000000" w:fill="FFFFFF"/>
                  <w:noWrap w:val="0"/>
                  <w:vAlign w:val="center"/>
                </w:tcPr>
                <w:p w14:paraId="78898A39">
                  <w:pPr>
                    <w:widowControl/>
                    <w:jc w:val="center"/>
                    <w:rPr>
                      <w:color w:val="auto"/>
                      <w:kern w:val="0"/>
                      <w:sz w:val="18"/>
                      <w:szCs w:val="18"/>
                    </w:rPr>
                  </w:pPr>
                  <w:r>
                    <w:rPr>
                      <w:color w:val="auto"/>
                      <w:kern w:val="0"/>
                      <w:sz w:val="18"/>
                      <w:szCs w:val="18"/>
                    </w:rPr>
                    <w:t>蓬溪县</w:t>
                  </w:r>
                </w:p>
              </w:tc>
              <w:tc>
                <w:tcPr>
                  <w:tcW w:w="844" w:type="pct"/>
                  <w:shd w:val="clear" w:color="000000" w:fill="FFFFFF"/>
                  <w:noWrap w:val="0"/>
                  <w:vAlign w:val="center"/>
                </w:tcPr>
                <w:p w14:paraId="648B5A4F">
                  <w:pPr>
                    <w:widowControl/>
                    <w:jc w:val="center"/>
                    <w:rPr>
                      <w:color w:val="auto"/>
                      <w:kern w:val="0"/>
                      <w:sz w:val="18"/>
                      <w:szCs w:val="18"/>
                    </w:rPr>
                  </w:pPr>
                  <w:r>
                    <w:rPr>
                      <w:color w:val="auto"/>
                      <w:kern w:val="0"/>
                      <w:sz w:val="18"/>
                      <w:szCs w:val="18"/>
                    </w:rPr>
                    <w:t>国控</w:t>
                  </w:r>
                </w:p>
              </w:tc>
              <w:tc>
                <w:tcPr>
                  <w:tcW w:w="357" w:type="pct"/>
                  <w:shd w:val="clear" w:color="000000" w:fill="FFFFFF"/>
                  <w:noWrap w:val="0"/>
                  <w:vAlign w:val="center"/>
                </w:tcPr>
                <w:p w14:paraId="698E627F">
                  <w:pPr>
                    <w:widowControl/>
                    <w:jc w:val="center"/>
                    <w:rPr>
                      <w:color w:val="auto"/>
                      <w:kern w:val="0"/>
                      <w:sz w:val="18"/>
                      <w:szCs w:val="18"/>
                    </w:rPr>
                  </w:pPr>
                  <w:r>
                    <w:rPr>
                      <w:color w:val="auto"/>
                      <w:kern w:val="0"/>
                      <w:sz w:val="18"/>
                      <w:szCs w:val="18"/>
                    </w:rPr>
                    <w:t>Ⅱ</w:t>
                  </w:r>
                </w:p>
              </w:tc>
              <w:tc>
                <w:tcPr>
                  <w:tcW w:w="540" w:type="pct"/>
                  <w:shd w:val="clear" w:color="000000" w:fill="FFFFFF"/>
                  <w:noWrap w:val="0"/>
                  <w:vAlign w:val="center"/>
                </w:tcPr>
                <w:p w14:paraId="644AD92C">
                  <w:pPr>
                    <w:widowControl/>
                    <w:jc w:val="center"/>
                    <w:rPr>
                      <w:color w:val="auto"/>
                      <w:kern w:val="0"/>
                      <w:sz w:val="18"/>
                      <w:szCs w:val="18"/>
                    </w:rPr>
                  </w:pPr>
                  <w:r>
                    <w:rPr>
                      <w:color w:val="auto"/>
                      <w:kern w:val="0"/>
                      <w:sz w:val="18"/>
                      <w:szCs w:val="18"/>
                    </w:rPr>
                    <w:t>Ⅱ</w:t>
                  </w:r>
                </w:p>
              </w:tc>
              <w:tc>
                <w:tcPr>
                  <w:tcW w:w="540" w:type="pct"/>
                  <w:shd w:val="clear" w:color="000000" w:fill="FFFFFF"/>
                  <w:noWrap w:val="0"/>
                  <w:vAlign w:val="center"/>
                </w:tcPr>
                <w:p w14:paraId="6DC47CE1">
                  <w:pPr>
                    <w:widowControl/>
                    <w:jc w:val="center"/>
                    <w:rPr>
                      <w:color w:val="auto"/>
                      <w:kern w:val="0"/>
                      <w:sz w:val="18"/>
                      <w:szCs w:val="18"/>
                    </w:rPr>
                  </w:pPr>
                  <w:r>
                    <w:rPr>
                      <w:color w:val="auto"/>
                      <w:kern w:val="0"/>
                      <w:sz w:val="18"/>
                      <w:szCs w:val="18"/>
                    </w:rPr>
                    <w:t>Ⅱ</w:t>
                  </w:r>
                </w:p>
              </w:tc>
              <w:tc>
                <w:tcPr>
                  <w:tcW w:w="925" w:type="pct"/>
                  <w:shd w:val="clear" w:color="000000" w:fill="FFFFFF"/>
                  <w:noWrap w:val="0"/>
                  <w:vAlign w:val="center"/>
                </w:tcPr>
                <w:p w14:paraId="4EC5A213">
                  <w:pPr>
                    <w:widowControl/>
                    <w:jc w:val="center"/>
                    <w:rPr>
                      <w:color w:val="auto"/>
                      <w:kern w:val="0"/>
                      <w:sz w:val="18"/>
                      <w:szCs w:val="18"/>
                    </w:rPr>
                  </w:pPr>
                  <w:r>
                    <w:rPr>
                      <w:color w:val="auto"/>
                      <w:kern w:val="0"/>
                      <w:sz w:val="18"/>
                      <w:szCs w:val="18"/>
                    </w:rPr>
                    <w:t>/</w:t>
                  </w:r>
                </w:p>
              </w:tc>
              <w:tc>
                <w:tcPr>
                  <w:tcW w:w="854" w:type="pct"/>
                  <w:shd w:val="clear" w:color="000000" w:fill="FFFFFF"/>
                  <w:noWrap w:val="0"/>
                  <w:vAlign w:val="center"/>
                </w:tcPr>
                <w:p w14:paraId="7A6B47C3">
                  <w:pPr>
                    <w:widowControl/>
                    <w:jc w:val="center"/>
                    <w:rPr>
                      <w:color w:val="auto"/>
                      <w:kern w:val="0"/>
                      <w:sz w:val="18"/>
                      <w:szCs w:val="18"/>
                    </w:rPr>
                  </w:pPr>
                  <w:r>
                    <w:rPr>
                      <w:color w:val="auto"/>
                      <w:kern w:val="0"/>
                      <w:sz w:val="18"/>
                      <w:szCs w:val="18"/>
                    </w:rPr>
                    <w:t>/</w:t>
                  </w:r>
                </w:p>
              </w:tc>
            </w:tr>
            <w:tr w14:paraId="1480E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9" w:type="pct"/>
                  <w:shd w:val="clear" w:color="000000" w:fill="FFFFFF"/>
                  <w:noWrap w:val="0"/>
                  <w:vAlign w:val="center"/>
                </w:tcPr>
                <w:p w14:paraId="25933D45">
                  <w:pPr>
                    <w:widowControl/>
                    <w:jc w:val="center"/>
                    <w:rPr>
                      <w:color w:val="auto"/>
                      <w:kern w:val="0"/>
                      <w:sz w:val="18"/>
                      <w:szCs w:val="18"/>
                    </w:rPr>
                  </w:pPr>
                  <w:r>
                    <w:rPr>
                      <w:color w:val="auto"/>
                      <w:kern w:val="0"/>
                      <w:sz w:val="18"/>
                      <w:szCs w:val="18"/>
                    </w:rPr>
                    <w:t>玉溪</w:t>
                  </w:r>
                </w:p>
              </w:tc>
              <w:tc>
                <w:tcPr>
                  <w:tcW w:w="469" w:type="pct"/>
                  <w:shd w:val="clear" w:color="000000" w:fill="FFFFFF"/>
                  <w:noWrap w:val="0"/>
                  <w:vAlign w:val="center"/>
                </w:tcPr>
                <w:p w14:paraId="094E5028">
                  <w:pPr>
                    <w:widowControl/>
                    <w:jc w:val="center"/>
                    <w:rPr>
                      <w:color w:val="auto"/>
                      <w:kern w:val="0"/>
                      <w:sz w:val="18"/>
                      <w:szCs w:val="18"/>
                    </w:rPr>
                  </w:pPr>
                  <w:r>
                    <w:rPr>
                      <w:color w:val="auto"/>
                      <w:kern w:val="0"/>
                      <w:sz w:val="18"/>
                      <w:szCs w:val="18"/>
                    </w:rPr>
                    <w:t>重庆潼南</w:t>
                  </w:r>
                </w:p>
              </w:tc>
              <w:tc>
                <w:tcPr>
                  <w:tcW w:w="844" w:type="pct"/>
                  <w:shd w:val="clear" w:color="000000" w:fill="FFFFFF"/>
                  <w:noWrap w:val="0"/>
                  <w:vAlign w:val="center"/>
                </w:tcPr>
                <w:p w14:paraId="3DC592EF">
                  <w:pPr>
                    <w:widowControl/>
                    <w:jc w:val="center"/>
                    <w:rPr>
                      <w:color w:val="auto"/>
                      <w:kern w:val="0"/>
                      <w:sz w:val="18"/>
                      <w:szCs w:val="18"/>
                    </w:rPr>
                  </w:pPr>
                  <w:r>
                    <w:rPr>
                      <w:color w:val="auto"/>
                      <w:kern w:val="0"/>
                      <w:sz w:val="18"/>
                      <w:szCs w:val="18"/>
                    </w:rPr>
                    <w:t>国控</w:t>
                  </w:r>
                </w:p>
              </w:tc>
              <w:tc>
                <w:tcPr>
                  <w:tcW w:w="357" w:type="pct"/>
                  <w:shd w:val="clear" w:color="000000" w:fill="FFFFFF"/>
                  <w:noWrap w:val="0"/>
                  <w:vAlign w:val="center"/>
                </w:tcPr>
                <w:p w14:paraId="3DC99BCA">
                  <w:pPr>
                    <w:widowControl/>
                    <w:jc w:val="center"/>
                    <w:rPr>
                      <w:color w:val="auto"/>
                      <w:kern w:val="0"/>
                      <w:sz w:val="18"/>
                      <w:szCs w:val="18"/>
                    </w:rPr>
                  </w:pPr>
                  <w:r>
                    <w:rPr>
                      <w:color w:val="auto"/>
                      <w:kern w:val="0"/>
                      <w:sz w:val="18"/>
                      <w:szCs w:val="18"/>
                    </w:rPr>
                    <w:t>Ⅱ</w:t>
                  </w:r>
                </w:p>
              </w:tc>
              <w:tc>
                <w:tcPr>
                  <w:tcW w:w="540" w:type="pct"/>
                  <w:shd w:val="clear" w:color="000000" w:fill="FFFFFF"/>
                  <w:noWrap w:val="0"/>
                  <w:vAlign w:val="center"/>
                </w:tcPr>
                <w:p w14:paraId="1F3817BB">
                  <w:pPr>
                    <w:widowControl/>
                    <w:jc w:val="center"/>
                    <w:rPr>
                      <w:color w:val="auto"/>
                      <w:kern w:val="0"/>
                      <w:sz w:val="18"/>
                      <w:szCs w:val="18"/>
                    </w:rPr>
                  </w:pPr>
                  <w:r>
                    <w:rPr>
                      <w:color w:val="auto"/>
                      <w:kern w:val="0"/>
                      <w:sz w:val="18"/>
                      <w:szCs w:val="18"/>
                    </w:rPr>
                    <w:t>Ⅱ</w:t>
                  </w:r>
                </w:p>
              </w:tc>
              <w:tc>
                <w:tcPr>
                  <w:tcW w:w="540" w:type="pct"/>
                  <w:shd w:val="clear" w:color="000000" w:fill="FFFFFF"/>
                  <w:noWrap w:val="0"/>
                  <w:vAlign w:val="center"/>
                </w:tcPr>
                <w:p w14:paraId="1C1461E3">
                  <w:pPr>
                    <w:widowControl/>
                    <w:jc w:val="center"/>
                    <w:rPr>
                      <w:color w:val="auto"/>
                      <w:kern w:val="0"/>
                      <w:sz w:val="18"/>
                      <w:szCs w:val="18"/>
                    </w:rPr>
                  </w:pPr>
                  <w:r>
                    <w:rPr>
                      <w:color w:val="auto"/>
                      <w:kern w:val="0"/>
                      <w:sz w:val="18"/>
                      <w:szCs w:val="18"/>
                    </w:rPr>
                    <w:t>Ⅱ</w:t>
                  </w:r>
                </w:p>
              </w:tc>
              <w:tc>
                <w:tcPr>
                  <w:tcW w:w="925" w:type="pct"/>
                  <w:shd w:val="clear" w:color="000000" w:fill="FFFFFF"/>
                  <w:noWrap w:val="0"/>
                  <w:vAlign w:val="center"/>
                </w:tcPr>
                <w:p w14:paraId="67DE1510">
                  <w:pPr>
                    <w:widowControl/>
                    <w:jc w:val="center"/>
                    <w:rPr>
                      <w:color w:val="auto"/>
                      <w:kern w:val="0"/>
                      <w:sz w:val="18"/>
                      <w:szCs w:val="18"/>
                    </w:rPr>
                  </w:pPr>
                  <w:r>
                    <w:rPr>
                      <w:color w:val="auto"/>
                      <w:kern w:val="0"/>
                      <w:sz w:val="18"/>
                      <w:szCs w:val="18"/>
                    </w:rPr>
                    <w:t>/</w:t>
                  </w:r>
                </w:p>
              </w:tc>
              <w:tc>
                <w:tcPr>
                  <w:tcW w:w="854" w:type="pct"/>
                  <w:shd w:val="clear" w:color="000000" w:fill="FFFFFF"/>
                  <w:noWrap w:val="0"/>
                  <w:vAlign w:val="center"/>
                </w:tcPr>
                <w:p w14:paraId="68A49FC1">
                  <w:pPr>
                    <w:widowControl/>
                    <w:jc w:val="center"/>
                    <w:rPr>
                      <w:color w:val="auto"/>
                      <w:kern w:val="0"/>
                      <w:sz w:val="18"/>
                      <w:szCs w:val="18"/>
                    </w:rPr>
                  </w:pPr>
                  <w:r>
                    <w:rPr>
                      <w:color w:val="auto"/>
                      <w:kern w:val="0"/>
                      <w:sz w:val="18"/>
                      <w:szCs w:val="18"/>
                    </w:rPr>
                    <w:t>/</w:t>
                  </w:r>
                </w:p>
              </w:tc>
            </w:tr>
            <w:tr w14:paraId="66D1E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9" w:type="pct"/>
                  <w:shd w:val="clear" w:color="000000" w:fill="FFFFFF"/>
                  <w:noWrap w:val="0"/>
                  <w:vAlign w:val="center"/>
                </w:tcPr>
                <w:p w14:paraId="240C0532">
                  <w:pPr>
                    <w:widowControl/>
                    <w:jc w:val="center"/>
                    <w:rPr>
                      <w:b/>
                      <w:bCs/>
                      <w:color w:val="auto"/>
                      <w:kern w:val="0"/>
                      <w:sz w:val="18"/>
                      <w:szCs w:val="18"/>
                    </w:rPr>
                  </w:pPr>
                  <w:r>
                    <w:rPr>
                      <w:b/>
                      <w:bCs/>
                      <w:color w:val="auto"/>
                      <w:kern w:val="0"/>
                      <w:sz w:val="18"/>
                      <w:szCs w:val="18"/>
                    </w:rPr>
                    <w:t>跑马滩</w:t>
                  </w:r>
                </w:p>
              </w:tc>
              <w:tc>
                <w:tcPr>
                  <w:tcW w:w="469" w:type="pct"/>
                  <w:shd w:val="clear" w:color="000000" w:fill="FFFFFF"/>
                  <w:noWrap w:val="0"/>
                  <w:vAlign w:val="center"/>
                </w:tcPr>
                <w:p w14:paraId="0E04CBF3">
                  <w:pPr>
                    <w:widowControl/>
                    <w:jc w:val="center"/>
                    <w:rPr>
                      <w:b/>
                      <w:bCs/>
                      <w:color w:val="auto"/>
                      <w:kern w:val="0"/>
                      <w:sz w:val="18"/>
                      <w:szCs w:val="18"/>
                    </w:rPr>
                  </w:pPr>
                  <w:r>
                    <w:rPr>
                      <w:b/>
                      <w:bCs/>
                      <w:color w:val="auto"/>
                      <w:kern w:val="0"/>
                      <w:sz w:val="18"/>
                      <w:szCs w:val="18"/>
                    </w:rPr>
                    <w:t>安居区</w:t>
                  </w:r>
                </w:p>
              </w:tc>
              <w:tc>
                <w:tcPr>
                  <w:tcW w:w="844" w:type="pct"/>
                  <w:shd w:val="clear" w:color="000000" w:fill="FFFFFF"/>
                  <w:noWrap w:val="0"/>
                  <w:vAlign w:val="center"/>
                </w:tcPr>
                <w:p w14:paraId="12093AA2">
                  <w:pPr>
                    <w:widowControl/>
                    <w:jc w:val="center"/>
                    <w:rPr>
                      <w:b/>
                      <w:bCs/>
                      <w:color w:val="auto"/>
                      <w:kern w:val="0"/>
                      <w:sz w:val="18"/>
                      <w:szCs w:val="18"/>
                    </w:rPr>
                  </w:pPr>
                  <w:r>
                    <w:rPr>
                      <w:b/>
                      <w:bCs/>
                      <w:color w:val="auto"/>
                      <w:kern w:val="0"/>
                      <w:sz w:val="18"/>
                      <w:szCs w:val="18"/>
                    </w:rPr>
                    <w:t>国控</w:t>
                  </w:r>
                </w:p>
              </w:tc>
              <w:tc>
                <w:tcPr>
                  <w:tcW w:w="357" w:type="pct"/>
                  <w:shd w:val="clear" w:color="000000" w:fill="FFFFFF"/>
                  <w:noWrap w:val="0"/>
                  <w:vAlign w:val="center"/>
                </w:tcPr>
                <w:p w14:paraId="013D99A9">
                  <w:pPr>
                    <w:widowControl/>
                    <w:jc w:val="center"/>
                    <w:rPr>
                      <w:b/>
                      <w:bCs/>
                      <w:color w:val="auto"/>
                      <w:kern w:val="0"/>
                      <w:sz w:val="18"/>
                      <w:szCs w:val="18"/>
                    </w:rPr>
                  </w:pPr>
                  <w:r>
                    <w:rPr>
                      <w:b/>
                      <w:bCs/>
                      <w:color w:val="auto"/>
                      <w:kern w:val="0"/>
                      <w:sz w:val="18"/>
                      <w:szCs w:val="18"/>
                    </w:rPr>
                    <w:t>Ⅲ</w:t>
                  </w:r>
                </w:p>
              </w:tc>
              <w:tc>
                <w:tcPr>
                  <w:tcW w:w="540" w:type="pct"/>
                  <w:shd w:val="clear" w:color="000000" w:fill="FFFFFF"/>
                  <w:noWrap w:val="0"/>
                  <w:vAlign w:val="center"/>
                </w:tcPr>
                <w:p w14:paraId="043FF6EC">
                  <w:pPr>
                    <w:widowControl/>
                    <w:jc w:val="center"/>
                    <w:rPr>
                      <w:b/>
                      <w:bCs/>
                      <w:color w:val="auto"/>
                      <w:kern w:val="0"/>
                      <w:sz w:val="18"/>
                      <w:szCs w:val="18"/>
                    </w:rPr>
                  </w:pPr>
                  <w:r>
                    <w:rPr>
                      <w:b/>
                      <w:bCs/>
                      <w:color w:val="auto"/>
                      <w:kern w:val="0"/>
                      <w:sz w:val="18"/>
                      <w:szCs w:val="18"/>
                    </w:rPr>
                    <w:t>Ⅲ</w:t>
                  </w:r>
                </w:p>
              </w:tc>
              <w:tc>
                <w:tcPr>
                  <w:tcW w:w="540" w:type="pct"/>
                  <w:shd w:val="clear" w:color="000000" w:fill="FFFFFF"/>
                  <w:noWrap w:val="0"/>
                  <w:vAlign w:val="center"/>
                </w:tcPr>
                <w:p w14:paraId="28C6215E">
                  <w:pPr>
                    <w:widowControl/>
                    <w:jc w:val="center"/>
                    <w:rPr>
                      <w:b/>
                      <w:bCs/>
                      <w:color w:val="auto"/>
                      <w:kern w:val="0"/>
                      <w:sz w:val="18"/>
                      <w:szCs w:val="18"/>
                    </w:rPr>
                  </w:pPr>
                  <w:r>
                    <w:rPr>
                      <w:b/>
                      <w:bCs/>
                      <w:color w:val="auto"/>
                      <w:kern w:val="0"/>
                      <w:sz w:val="18"/>
                      <w:szCs w:val="18"/>
                    </w:rPr>
                    <w:t>Ⅲ</w:t>
                  </w:r>
                </w:p>
              </w:tc>
              <w:tc>
                <w:tcPr>
                  <w:tcW w:w="925" w:type="pct"/>
                  <w:shd w:val="clear" w:color="000000" w:fill="FFFFFF"/>
                  <w:noWrap w:val="0"/>
                  <w:vAlign w:val="center"/>
                </w:tcPr>
                <w:p w14:paraId="400AF063">
                  <w:pPr>
                    <w:widowControl/>
                    <w:jc w:val="center"/>
                    <w:rPr>
                      <w:b/>
                      <w:bCs/>
                      <w:color w:val="auto"/>
                      <w:kern w:val="0"/>
                      <w:sz w:val="18"/>
                      <w:szCs w:val="18"/>
                    </w:rPr>
                  </w:pPr>
                  <w:r>
                    <w:rPr>
                      <w:b/>
                      <w:bCs/>
                      <w:color w:val="auto"/>
                      <w:kern w:val="0"/>
                      <w:sz w:val="18"/>
                      <w:szCs w:val="18"/>
                    </w:rPr>
                    <w:t>/</w:t>
                  </w:r>
                </w:p>
              </w:tc>
              <w:tc>
                <w:tcPr>
                  <w:tcW w:w="854" w:type="pct"/>
                  <w:shd w:val="clear" w:color="000000" w:fill="FFFFFF"/>
                  <w:noWrap w:val="0"/>
                  <w:vAlign w:val="center"/>
                </w:tcPr>
                <w:p w14:paraId="5BE8D29B">
                  <w:pPr>
                    <w:widowControl/>
                    <w:jc w:val="center"/>
                    <w:rPr>
                      <w:b/>
                      <w:bCs/>
                      <w:color w:val="auto"/>
                      <w:kern w:val="0"/>
                      <w:sz w:val="18"/>
                      <w:szCs w:val="18"/>
                    </w:rPr>
                  </w:pPr>
                  <w:r>
                    <w:rPr>
                      <w:b/>
                      <w:bCs/>
                      <w:color w:val="auto"/>
                      <w:kern w:val="0"/>
                      <w:sz w:val="18"/>
                      <w:szCs w:val="18"/>
                    </w:rPr>
                    <w:t>/</w:t>
                  </w:r>
                </w:p>
              </w:tc>
            </w:tr>
            <w:tr w14:paraId="16754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9" w:type="pct"/>
                  <w:shd w:val="clear" w:color="000000" w:fill="FFFFFF"/>
                  <w:noWrap w:val="0"/>
                  <w:vAlign w:val="center"/>
                </w:tcPr>
                <w:p w14:paraId="477AFB48">
                  <w:pPr>
                    <w:widowControl/>
                    <w:jc w:val="center"/>
                    <w:rPr>
                      <w:b/>
                      <w:bCs/>
                      <w:color w:val="auto"/>
                      <w:kern w:val="0"/>
                      <w:sz w:val="18"/>
                      <w:szCs w:val="18"/>
                    </w:rPr>
                  </w:pPr>
                  <w:r>
                    <w:rPr>
                      <w:b/>
                      <w:bCs/>
                      <w:color w:val="auto"/>
                      <w:kern w:val="0"/>
                      <w:sz w:val="18"/>
                      <w:szCs w:val="18"/>
                    </w:rPr>
                    <w:t>大安</w:t>
                  </w:r>
                </w:p>
              </w:tc>
              <w:tc>
                <w:tcPr>
                  <w:tcW w:w="469" w:type="pct"/>
                  <w:shd w:val="clear" w:color="000000" w:fill="FFFFFF"/>
                  <w:noWrap w:val="0"/>
                  <w:vAlign w:val="center"/>
                </w:tcPr>
                <w:p w14:paraId="54D9ECD1">
                  <w:pPr>
                    <w:widowControl/>
                    <w:jc w:val="center"/>
                    <w:rPr>
                      <w:b/>
                      <w:bCs/>
                      <w:color w:val="auto"/>
                      <w:kern w:val="0"/>
                      <w:sz w:val="18"/>
                      <w:szCs w:val="18"/>
                    </w:rPr>
                  </w:pPr>
                  <w:r>
                    <w:rPr>
                      <w:b/>
                      <w:bCs/>
                      <w:color w:val="auto"/>
                      <w:kern w:val="0"/>
                      <w:sz w:val="18"/>
                      <w:szCs w:val="18"/>
                    </w:rPr>
                    <w:t>安居区</w:t>
                  </w:r>
                </w:p>
              </w:tc>
              <w:tc>
                <w:tcPr>
                  <w:tcW w:w="844" w:type="pct"/>
                  <w:shd w:val="clear" w:color="000000" w:fill="FFFFFF"/>
                  <w:noWrap w:val="0"/>
                  <w:vAlign w:val="center"/>
                </w:tcPr>
                <w:p w14:paraId="14B648C1">
                  <w:pPr>
                    <w:widowControl/>
                    <w:jc w:val="center"/>
                    <w:rPr>
                      <w:b/>
                      <w:bCs/>
                      <w:color w:val="auto"/>
                      <w:kern w:val="0"/>
                      <w:sz w:val="18"/>
                      <w:szCs w:val="18"/>
                    </w:rPr>
                  </w:pPr>
                  <w:r>
                    <w:rPr>
                      <w:b/>
                      <w:bCs/>
                      <w:color w:val="auto"/>
                      <w:kern w:val="0"/>
                      <w:sz w:val="18"/>
                      <w:szCs w:val="18"/>
                    </w:rPr>
                    <w:t>国控</w:t>
                  </w:r>
                </w:p>
              </w:tc>
              <w:tc>
                <w:tcPr>
                  <w:tcW w:w="357" w:type="pct"/>
                  <w:shd w:val="clear" w:color="000000" w:fill="FFFFFF"/>
                  <w:noWrap w:val="0"/>
                  <w:vAlign w:val="center"/>
                </w:tcPr>
                <w:p w14:paraId="4C6053D5">
                  <w:pPr>
                    <w:widowControl/>
                    <w:jc w:val="center"/>
                    <w:rPr>
                      <w:b/>
                      <w:bCs/>
                      <w:color w:val="auto"/>
                      <w:kern w:val="0"/>
                      <w:sz w:val="18"/>
                      <w:szCs w:val="18"/>
                    </w:rPr>
                  </w:pPr>
                  <w:r>
                    <w:rPr>
                      <w:b/>
                      <w:bCs/>
                      <w:color w:val="auto"/>
                      <w:kern w:val="0"/>
                      <w:sz w:val="18"/>
                      <w:szCs w:val="18"/>
                    </w:rPr>
                    <w:t>Ⅲ</w:t>
                  </w:r>
                </w:p>
              </w:tc>
              <w:tc>
                <w:tcPr>
                  <w:tcW w:w="540" w:type="pct"/>
                  <w:shd w:val="clear" w:color="000000" w:fill="FFFFFF"/>
                  <w:noWrap w:val="0"/>
                  <w:vAlign w:val="center"/>
                </w:tcPr>
                <w:p w14:paraId="6686DA68">
                  <w:pPr>
                    <w:widowControl/>
                    <w:jc w:val="center"/>
                    <w:rPr>
                      <w:b/>
                      <w:bCs/>
                      <w:color w:val="auto"/>
                      <w:kern w:val="0"/>
                      <w:sz w:val="18"/>
                      <w:szCs w:val="18"/>
                    </w:rPr>
                  </w:pPr>
                  <w:r>
                    <w:rPr>
                      <w:b/>
                      <w:bCs/>
                      <w:color w:val="auto"/>
                      <w:kern w:val="0"/>
                      <w:sz w:val="18"/>
                      <w:szCs w:val="18"/>
                    </w:rPr>
                    <w:t>Ⅲ</w:t>
                  </w:r>
                </w:p>
              </w:tc>
              <w:tc>
                <w:tcPr>
                  <w:tcW w:w="540" w:type="pct"/>
                  <w:shd w:val="clear" w:color="000000" w:fill="FFFFFF"/>
                  <w:noWrap w:val="0"/>
                  <w:vAlign w:val="center"/>
                </w:tcPr>
                <w:p w14:paraId="0857121C">
                  <w:pPr>
                    <w:widowControl/>
                    <w:jc w:val="center"/>
                    <w:rPr>
                      <w:b/>
                      <w:bCs/>
                      <w:color w:val="auto"/>
                      <w:kern w:val="0"/>
                      <w:sz w:val="18"/>
                      <w:szCs w:val="18"/>
                    </w:rPr>
                  </w:pPr>
                  <w:r>
                    <w:rPr>
                      <w:b/>
                      <w:bCs/>
                      <w:color w:val="auto"/>
                      <w:kern w:val="0"/>
                      <w:sz w:val="18"/>
                      <w:szCs w:val="18"/>
                    </w:rPr>
                    <w:t>Ⅲ</w:t>
                  </w:r>
                </w:p>
              </w:tc>
              <w:tc>
                <w:tcPr>
                  <w:tcW w:w="925" w:type="pct"/>
                  <w:shd w:val="clear" w:color="000000" w:fill="FFFFFF"/>
                  <w:noWrap w:val="0"/>
                  <w:vAlign w:val="center"/>
                </w:tcPr>
                <w:p w14:paraId="670D36B4">
                  <w:pPr>
                    <w:widowControl/>
                    <w:jc w:val="center"/>
                    <w:rPr>
                      <w:b/>
                      <w:bCs/>
                      <w:color w:val="auto"/>
                      <w:kern w:val="0"/>
                      <w:sz w:val="18"/>
                      <w:szCs w:val="18"/>
                    </w:rPr>
                  </w:pPr>
                  <w:r>
                    <w:rPr>
                      <w:b/>
                      <w:bCs/>
                      <w:color w:val="auto"/>
                      <w:kern w:val="0"/>
                      <w:sz w:val="18"/>
                      <w:szCs w:val="18"/>
                    </w:rPr>
                    <w:t>/</w:t>
                  </w:r>
                </w:p>
              </w:tc>
              <w:tc>
                <w:tcPr>
                  <w:tcW w:w="854" w:type="pct"/>
                  <w:shd w:val="clear" w:color="000000" w:fill="FFFFFF"/>
                  <w:noWrap w:val="0"/>
                  <w:vAlign w:val="center"/>
                </w:tcPr>
                <w:p w14:paraId="524E4E54">
                  <w:pPr>
                    <w:widowControl/>
                    <w:jc w:val="center"/>
                    <w:rPr>
                      <w:b/>
                      <w:bCs/>
                      <w:color w:val="auto"/>
                      <w:kern w:val="0"/>
                      <w:sz w:val="18"/>
                      <w:szCs w:val="18"/>
                    </w:rPr>
                  </w:pPr>
                  <w:r>
                    <w:rPr>
                      <w:b/>
                      <w:bCs/>
                      <w:color w:val="auto"/>
                      <w:kern w:val="0"/>
                      <w:sz w:val="18"/>
                      <w:szCs w:val="18"/>
                    </w:rPr>
                    <w:t>/</w:t>
                  </w:r>
                </w:p>
              </w:tc>
            </w:tr>
            <w:tr w14:paraId="792D2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9" w:type="pct"/>
                  <w:shd w:val="clear" w:color="000000" w:fill="FFFFFF"/>
                  <w:noWrap w:val="0"/>
                  <w:vAlign w:val="center"/>
                </w:tcPr>
                <w:p w14:paraId="2C3FFB0A">
                  <w:pPr>
                    <w:widowControl/>
                    <w:jc w:val="center"/>
                    <w:rPr>
                      <w:color w:val="auto"/>
                      <w:kern w:val="0"/>
                      <w:sz w:val="18"/>
                      <w:szCs w:val="18"/>
                    </w:rPr>
                  </w:pPr>
                  <w:r>
                    <w:rPr>
                      <w:color w:val="auto"/>
                      <w:kern w:val="0"/>
                      <w:sz w:val="18"/>
                      <w:szCs w:val="18"/>
                    </w:rPr>
                    <w:t>郪江口</w:t>
                  </w:r>
                </w:p>
              </w:tc>
              <w:tc>
                <w:tcPr>
                  <w:tcW w:w="469" w:type="pct"/>
                  <w:shd w:val="clear" w:color="000000" w:fill="FFFFFF"/>
                  <w:noWrap w:val="0"/>
                  <w:vAlign w:val="center"/>
                </w:tcPr>
                <w:p w14:paraId="54915506">
                  <w:pPr>
                    <w:widowControl/>
                    <w:jc w:val="center"/>
                    <w:rPr>
                      <w:color w:val="auto"/>
                      <w:kern w:val="0"/>
                      <w:sz w:val="18"/>
                      <w:szCs w:val="18"/>
                    </w:rPr>
                  </w:pPr>
                  <w:r>
                    <w:rPr>
                      <w:color w:val="auto"/>
                      <w:kern w:val="0"/>
                      <w:sz w:val="18"/>
                      <w:szCs w:val="18"/>
                    </w:rPr>
                    <w:t>大英县</w:t>
                  </w:r>
                </w:p>
              </w:tc>
              <w:tc>
                <w:tcPr>
                  <w:tcW w:w="844" w:type="pct"/>
                  <w:shd w:val="clear" w:color="000000" w:fill="FFFFFF"/>
                  <w:noWrap w:val="0"/>
                  <w:vAlign w:val="center"/>
                </w:tcPr>
                <w:p w14:paraId="2B66949B">
                  <w:pPr>
                    <w:widowControl/>
                    <w:jc w:val="center"/>
                    <w:rPr>
                      <w:color w:val="auto"/>
                      <w:kern w:val="0"/>
                      <w:sz w:val="18"/>
                      <w:szCs w:val="18"/>
                    </w:rPr>
                  </w:pPr>
                  <w:r>
                    <w:rPr>
                      <w:color w:val="auto"/>
                      <w:kern w:val="0"/>
                      <w:sz w:val="18"/>
                      <w:szCs w:val="18"/>
                    </w:rPr>
                    <w:t>国控</w:t>
                  </w:r>
                </w:p>
              </w:tc>
              <w:tc>
                <w:tcPr>
                  <w:tcW w:w="357" w:type="pct"/>
                  <w:shd w:val="clear" w:color="000000" w:fill="FFFFFF"/>
                  <w:noWrap w:val="0"/>
                  <w:vAlign w:val="center"/>
                </w:tcPr>
                <w:p w14:paraId="5CB9C1C2">
                  <w:pPr>
                    <w:widowControl/>
                    <w:jc w:val="center"/>
                    <w:rPr>
                      <w:color w:val="auto"/>
                      <w:kern w:val="0"/>
                      <w:sz w:val="18"/>
                      <w:szCs w:val="18"/>
                    </w:rPr>
                  </w:pPr>
                  <w:r>
                    <w:rPr>
                      <w:color w:val="auto"/>
                      <w:kern w:val="0"/>
                      <w:sz w:val="18"/>
                      <w:szCs w:val="18"/>
                    </w:rPr>
                    <w:t>Ⅲ</w:t>
                  </w:r>
                </w:p>
              </w:tc>
              <w:tc>
                <w:tcPr>
                  <w:tcW w:w="540" w:type="pct"/>
                  <w:shd w:val="clear" w:color="000000" w:fill="FFFFFF"/>
                  <w:noWrap w:val="0"/>
                  <w:vAlign w:val="center"/>
                </w:tcPr>
                <w:p w14:paraId="0258F1C4">
                  <w:pPr>
                    <w:widowControl/>
                    <w:jc w:val="center"/>
                    <w:rPr>
                      <w:color w:val="auto"/>
                      <w:kern w:val="0"/>
                      <w:sz w:val="18"/>
                      <w:szCs w:val="18"/>
                    </w:rPr>
                  </w:pPr>
                  <w:r>
                    <w:rPr>
                      <w:color w:val="auto"/>
                      <w:kern w:val="0"/>
                      <w:sz w:val="18"/>
                      <w:szCs w:val="18"/>
                    </w:rPr>
                    <w:t>Ⅲ</w:t>
                  </w:r>
                </w:p>
              </w:tc>
              <w:tc>
                <w:tcPr>
                  <w:tcW w:w="540" w:type="pct"/>
                  <w:shd w:val="clear" w:color="000000" w:fill="FFFFFF"/>
                  <w:noWrap w:val="0"/>
                  <w:vAlign w:val="center"/>
                </w:tcPr>
                <w:p w14:paraId="611C435D">
                  <w:pPr>
                    <w:widowControl/>
                    <w:jc w:val="center"/>
                    <w:rPr>
                      <w:color w:val="auto"/>
                      <w:kern w:val="0"/>
                      <w:sz w:val="18"/>
                      <w:szCs w:val="18"/>
                    </w:rPr>
                  </w:pPr>
                  <w:r>
                    <w:rPr>
                      <w:color w:val="auto"/>
                      <w:kern w:val="0"/>
                      <w:sz w:val="18"/>
                      <w:szCs w:val="18"/>
                    </w:rPr>
                    <w:t>Ⅲ</w:t>
                  </w:r>
                </w:p>
              </w:tc>
              <w:tc>
                <w:tcPr>
                  <w:tcW w:w="925" w:type="pct"/>
                  <w:shd w:val="clear" w:color="000000" w:fill="FFFFFF"/>
                  <w:noWrap w:val="0"/>
                  <w:vAlign w:val="center"/>
                </w:tcPr>
                <w:p w14:paraId="42073A2F">
                  <w:pPr>
                    <w:widowControl/>
                    <w:jc w:val="center"/>
                    <w:rPr>
                      <w:color w:val="auto"/>
                      <w:kern w:val="0"/>
                      <w:sz w:val="18"/>
                      <w:szCs w:val="18"/>
                    </w:rPr>
                  </w:pPr>
                  <w:r>
                    <w:rPr>
                      <w:color w:val="auto"/>
                      <w:kern w:val="0"/>
                      <w:sz w:val="18"/>
                      <w:szCs w:val="18"/>
                    </w:rPr>
                    <w:t>/</w:t>
                  </w:r>
                </w:p>
              </w:tc>
              <w:tc>
                <w:tcPr>
                  <w:tcW w:w="854" w:type="pct"/>
                  <w:shd w:val="clear" w:color="000000" w:fill="FFFFFF"/>
                  <w:noWrap w:val="0"/>
                  <w:vAlign w:val="center"/>
                </w:tcPr>
                <w:p w14:paraId="6CFE2044">
                  <w:pPr>
                    <w:widowControl/>
                    <w:jc w:val="center"/>
                    <w:rPr>
                      <w:color w:val="auto"/>
                      <w:kern w:val="0"/>
                      <w:sz w:val="18"/>
                      <w:szCs w:val="18"/>
                    </w:rPr>
                  </w:pPr>
                  <w:r>
                    <w:rPr>
                      <w:color w:val="auto"/>
                      <w:kern w:val="0"/>
                      <w:sz w:val="18"/>
                      <w:szCs w:val="18"/>
                    </w:rPr>
                    <w:t>/</w:t>
                  </w:r>
                </w:p>
              </w:tc>
            </w:tr>
            <w:tr w14:paraId="089F1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9" w:type="pct"/>
                  <w:shd w:val="clear" w:color="000000" w:fill="FFFFFF"/>
                  <w:noWrap w:val="0"/>
                  <w:vAlign w:val="center"/>
                </w:tcPr>
                <w:p w14:paraId="50497171">
                  <w:pPr>
                    <w:widowControl/>
                    <w:jc w:val="center"/>
                    <w:rPr>
                      <w:color w:val="auto"/>
                      <w:kern w:val="0"/>
                      <w:sz w:val="18"/>
                      <w:szCs w:val="18"/>
                    </w:rPr>
                  </w:pPr>
                  <w:r>
                    <w:rPr>
                      <w:color w:val="auto"/>
                      <w:kern w:val="0"/>
                      <w:sz w:val="18"/>
                      <w:szCs w:val="18"/>
                    </w:rPr>
                    <w:t>梓江大桥</w:t>
                  </w:r>
                </w:p>
              </w:tc>
              <w:tc>
                <w:tcPr>
                  <w:tcW w:w="469" w:type="pct"/>
                  <w:shd w:val="clear" w:color="000000" w:fill="FFFFFF"/>
                  <w:noWrap w:val="0"/>
                  <w:vAlign w:val="center"/>
                </w:tcPr>
                <w:p w14:paraId="34CCE91D">
                  <w:pPr>
                    <w:widowControl/>
                    <w:jc w:val="center"/>
                    <w:rPr>
                      <w:color w:val="auto"/>
                      <w:kern w:val="0"/>
                      <w:sz w:val="18"/>
                      <w:szCs w:val="18"/>
                    </w:rPr>
                  </w:pPr>
                  <w:r>
                    <w:rPr>
                      <w:color w:val="auto"/>
                      <w:kern w:val="0"/>
                      <w:sz w:val="18"/>
                      <w:szCs w:val="18"/>
                    </w:rPr>
                    <w:t>射洪市</w:t>
                  </w:r>
                </w:p>
              </w:tc>
              <w:tc>
                <w:tcPr>
                  <w:tcW w:w="844" w:type="pct"/>
                  <w:shd w:val="clear" w:color="000000" w:fill="FFFFFF"/>
                  <w:noWrap w:val="0"/>
                  <w:vAlign w:val="center"/>
                </w:tcPr>
                <w:p w14:paraId="3D233AAC">
                  <w:pPr>
                    <w:widowControl/>
                    <w:jc w:val="center"/>
                    <w:rPr>
                      <w:color w:val="auto"/>
                      <w:kern w:val="0"/>
                      <w:sz w:val="18"/>
                      <w:szCs w:val="18"/>
                    </w:rPr>
                  </w:pPr>
                  <w:r>
                    <w:rPr>
                      <w:color w:val="auto"/>
                      <w:kern w:val="0"/>
                      <w:sz w:val="18"/>
                      <w:szCs w:val="18"/>
                    </w:rPr>
                    <w:t>国控</w:t>
                  </w:r>
                </w:p>
              </w:tc>
              <w:tc>
                <w:tcPr>
                  <w:tcW w:w="357" w:type="pct"/>
                  <w:shd w:val="clear" w:color="000000" w:fill="FFFFFF"/>
                  <w:noWrap w:val="0"/>
                  <w:vAlign w:val="center"/>
                </w:tcPr>
                <w:p w14:paraId="5B8FCF4B">
                  <w:pPr>
                    <w:widowControl/>
                    <w:jc w:val="center"/>
                    <w:rPr>
                      <w:color w:val="auto"/>
                      <w:kern w:val="0"/>
                      <w:sz w:val="18"/>
                      <w:szCs w:val="18"/>
                    </w:rPr>
                  </w:pPr>
                  <w:r>
                    <w:rPr>
                      <w:color w:val="auto"/>
                      <w:kern w:val="0"/>
                      <w:sz w:val="18"/>
                      <w:szCs w:val="18"/>
                    </w:rPr>
                    <w:t>Ⅱ</w:t>
                  </w:r>
                </w:p>
              </w:tc>
              <w:tc>
                <w:tcPr>
                  <w:tcW w:w="540" w:type="pct"/>
                  <w:shd w:val="clear" w:color="000000" w:fill="FFFFFF"/>
                  <w:noWrap w:val="0"/>
                  <w:vAlign w:val="center"/>
                </w:tcPr>
                <w:p w14:paraId="7DE8A691">
                  <w:pPr>
                    <w:widowControl/>
                    <w:jc w:val="center"/>
                    <w:rPr>
                      <w:color w:val="auto"/>
                      <w:kern w:val="0"/>
                      <w:sz w:val="18"/>
                      <w:szCs w:val="18"/>
                    </w:rPr>
                  </w:pPr>
                  <w:r>
                    <w:rPr>
                      <w:color w:val="auto"/>
                      <w:kern w:val="0"/>
                      <w:sz w:val="18"/>
                      <w:szCs w:val="18"/>
                    </w:rPr>
                    <w:t>Ⅱ</w:t>
                  </w:r>
                </w:p>
              </w:tc>
              <w:tc>
                <w:tcPr>
                  <w:tcW w:w="540" w:type="pct"/>
                  <w:shd w:val="clear" w:color="000000" w:fill="FFFFFF"/>
                  <w:noWrap w:val="0"/>
                  <w:vAlign w:val="center"/>
                </w:tcPr>
                <w:p w14:paraId="3D69B077">
                  <w:pPr>
                    <w:widowControl/>
                    <w:jc w:val="center"/>
                    <w:rPr>
                      <w:color w:val="auto"/>
                      <w:kern w:val="0"/>
                      <w:sz w:val="18"/>
                      <w:szCs w:val="18"/>
                    </w:rPr>
                  </w:pPr>
                  <w:r>
                    <w:rPr>
                      <w:color w:val="auto"/>
                      <w:kern w:val="0"/>
                      <w:sz w:val="18"/>
                      <w:szCs w:val="18"/>
                    </w:rPr>
                    <w:t>Ⅱ</w:t>
                  </w:r>
                </w:p>
              </w:tc>
              <w:tc>
                <w:tcPr>
                  <w:tcW w:w="925" w:type="pct"/>
                  <w:shd w:val="clear" w:color="000000" w:fill="FFFFFF"/>
                  <w:noWrap w:val="0"/>
                  <w:vAlign w:val="center"/>
                </w:tcPr>
                <w:p w14:paraId="782415A5">
                  <w:pPr>
                    <w:widowControl/>
                    <w:jc w:val="center"/>
                    <w:rPr>
                      <w:color w:val="auto"/>
                      <w:kern w:val="0"/>
                      <w:sz w:val="18"/>
                      <w:szCs w:val="18"/>
                    </w:rPr>
                  </w:pPr>
                  <w:r>
                    <w:rPr>
                      <w:color w:val="auto"/>
                      <w:kern w:val="0"/>
                      <w:sz w:val="18"/>
                      <w:szCs w:val="18"/>
                    </w:rPr>
                    <w:t>/</w:t>
                  </w:r>
                </w:p>
              </w:tc>
              <w:tc>
                <w:tcPr>
                  <w:tcW w:w="854" w:type="pct"/>
                  <w:shd w:val="clear" w:color="000000" w:fill="FFFFFF"/>
                  <w:noWrap w:val="0"/>
                  <w:vAlign w:val="center"/>
                </w:tcPr>
                <w:p w14:paraId="1D869384">
                  <w:pPr>
                    <w:widowControl/>
                    <w:jc w:val="center"/>
                    <w:rPr>
                      <w:color w:val="auto"/>
                      <w:kern w:val="0"/>
                      <w:sz w:val="18"/>
                      <w:szCs w:val="18"/>
                    </w:rPr>
                  </w:pPr>
                  <w:r>
                    <w:rPr>
                      <w:color w:val="auto"/>
                      <w:kern w:val="0"/>
                      <w:sz w:val="18"/>
                      <w:szCs w:val="18"/>
                    </w:rPr>
                    <w:t>/</w:t>
                  </w:r>
                </w:p>
              </w:tc>
            </w:tr>
            <w:tr w14:paraId="6CA4A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9" w:type="pct"/>
                  <w:shd w:val="clear" w:color="000000" w:fill="FFFFFF"/>
                  <w:noWrap w:val="0"/>
                  <w:vAlign w:val="center"/>
                </w:tcPr>
                <w:p w14:paraId="7141B994">
                  <w:pPr>
                    <w:widowControl/>
                    <w:jc w:val="center"/>
                    <w:rPr>
                      <w:b/>
                      <w:bCs/>
                      <w:color w:val="auto"/>
                      <w:kern w:val="0"/>
                      <w:sz w:val="18"/>
                      <w:szCs w:val="18"/>
                    </w:rPr>
                  </w:pPr>
                  <w:r>
                    <w:rPr>
                      <w:b/>
                      <w:bCs/>
                      <w:color w:val="auto"/>
                      <w:kern w:val="0"/>
                      <w:sz w:val="18"/>
                      <w:szCs w:val="18"/>
                    </w:rPr>
                    <w:t>白鹤桥</w:t>
                  </w:r>
                </w:p>
              </w:tc>
              <w:tc>
                <w:tcPr>
                  <w:tcW w:w="469" w:type="pct"/>
                  <w:shd w:val="clear" w:color="000000" w:fill="FFFFFF"/>
                  <w:noWrap w:val="0"/>
                  <w:vAlign w:val="center"/>
                </w:tcPr>
                <w:p w14:paraId="0C29A864">
                  <w:pPr>
                    <w:widowControl/>
                    <w:jc w:val="center"/>
                    <w:rPr>
                      <w:b/>
                      <w:bCs/>
                      <w:color w:val="auto"/>
                      <w:kern w:val="0"/>
                      <w:sz w:val="18"/>
                      <w:szCs w:val="18"/>
                    </w:rPr>
                  </w:pPr>
                  <w:r>
                    <w:rPr>
                      <w:b/>
                      <w:bCs/>
                      <w:color w:val="auto"/>
                      <w:kern w:val="0"/>
                      <w:sz w:val="18"/>
                      <w:szCs w:val="18"/>
                    </w:rPr>
                    <w:t>安居区</w:t>
                  </w:r>
                </w:p>
              </w:tc>
              <w:tc>
                <w:tcPr>
                  <w:tcW w:w="844" w:type="pct"/>
                  <w:shd w:val="clear" w:color="000000" w:fill="FFFFFF"/>
                  <w:noWrap w:val="0"/>
                  <w:vAlign w:val="center"/>
                </w:tcPr>
                <w:p w14:paraId="3147AAB1">
                  <w:pPr>
                    <w:widowControl/>
                    <w:jc w:val="center"/>
                    <w:rPr>
                      <w:b/>
                      <w:bCs/>
                      <w:color w:val="auto"/>
                      <w:kern w:val="0"/>
                      <w:sz w:val="18"/>
                      <w:szCs w:val="18"/>
                    </w:rPr>
                  </w:pPr>
                  <w:r>
                    <w:rPr>
                      <w:b/>
                      <w:bCs/>
                      <w:color w:val="auto"/>
                      <w:kern w:val="0"/>
                      <w:sz w:val="18"/>
                      <w:szCs w:val="18"/>
                    </w:rPr>
                    <w:t>省控（长江经济带）</w:t>
                  </w:r>
                </w:p>
              </w:tc>
              <w:tc>
                <w:tcPr>
                  <w:tcW w:w="581" w:type="dxa"/>
                  <w:shd w:val="clear" w:color="000000" w:fill="FFFFFF"/>
                  <w:noWrap w:val="0"/>
                  <w:vAlign w:val="center"/>
                </w:tcPr>
                <w:p w14:paraId="7CEBD750">
                  <w:pPr>
                    <w:widowControl/>
                    <w:jc w:val="center"/>
                    <w:rPr>
                      <w:b/>
                      <w:bCs/>
                      <w:color w:val="auto"/>
                      <w:kern w:val="0"/>
                      <w:sz w:val="18"/>
                      <w:szCs w:val="18"/>
                    </w:rPr>
                  </w:pPr>
                  <w:r>
                    <w:rPr>
                      <w:b/>
                      <w:bCs/>
                      <w:color w:val="auto"/>
                      <w:kern w:val="0"/>
                      <w:sz w:val="18"/>
                      <w:szCs w:val="18"/>
                    </w:rPr>
                    <w:t>Ⅲ</w:t>
                  </w:r>
                </w:p>
              </w:tc>
              <w:tc>
                <w:tcPr>
                  <w:tcW w:w="879" w:type="dxa"/>
                  <w:shd w:val="clear" w:color="000000" w:fill="FFFFFF"/>
                  <w:noWrap w:val="0"/>
                  <w:vAlign w:val="center"/>
                </w:tcPr>
                <w:p w14:paraId="1E99DF93">
                  <w:pPr>
                    <w:widowControl/>
                    <w:jc w:val="center"/>
                    <w:rPr>
                      <w:b/>
                      <w:bCs/>
                      <w:color w:val="auto"/>
                      <w:kern w:val="0"/>
                      <w:sz w:val="18"/>
                      <w:szCs w:val="18"/>
                    </w:rPr>
                  </w:pPr>
                  <w:r>
                    <w:rPr>
                      <w:b/>
                      <w:bCs/>
                      <w:color w:val="auto"/>
                      <w:kern w:val="0"/>
                      <w:sz w:val="18"/>
                      <w:szCs w:val="18"/>
                    </w:rPr>
                    <w:t>Ⅲ</w:t>
                  </w:r>
                </w:p>
              </w:tc>
              <w:tc>
                <w:tcPr>
                  <w:tcW w:w="879" w:type="dxa"/>
                  <w:shd w:val="clear" w:color="000000" w:fill="FFFFFF"/>
                  <w:noWrap w:val="0"/>
                  <w:vAlign w:val="center"/>
                </w:tcPr>
                <w:p w14:paraId="54892F0D">
                  <w:pPr>
                    <w:widowControl/>
                    <w:jc w:val="center"/>
                    <w:rPr>
                      <w:rFonts w:ascii="Times New Roman" w:hAnsi="Times New Roman" w:eastAsia="宋体" w:cs="Times New Roman"/>
                      <w:b/>
                      <w:bCs/>
                      <w:color w:val="auto"/>
                      <w:kern w:val="0"/>
                      <w:sz w:val="18"/>
                      <w:szCs w:val="18"/>
                    </w:rPr>
                  </w:pPr>
                  <w:r>
                    <w:rPr>
                      <w:b/>
                      <w:bCs/>
                      <w:color w:val="auto"/>
                      <w:kern w:val="0"/>
                      <w:sz w:val="18"/>
                      <w:szCs w:val="18"/>
                    </w:rPr>
                    <w:t>Ⅲ</w:t>
                  </w:r>
                </w:p>
              </w:tc>
              <w:tc>
                <w:tcPr>
                  <w:tcW w:w="925" w:type="pct"/>
                  <w:shd w:val="clear" w:color="000000" w:fill="FFFFFF"/>
                  <w:noWrap w:val="0"/>
                  <w:vAlign w:val="center"/>
                </w:tcPr>
                <w:p w14:paraId="43BA77AE">
                  <w:pPr>
                    <w:widowControl/>
                    <w:jc w:val="center"/>
                    <w:rPr>
                      <w:rFonts w:ascii="Times New Roman" w:hAnsi="Times New Roman" w:eastAsia="宋体" w:cs="Times New Roman"/>
                      <w:color w:val="auto"/>
                      <w:kern w:val="0"/>
                      <w:sz w:val="18"/>
                      <w:szCs w:val="18"/>
                    </w:rPr>
                  </w:pPr>
                  <w:r>
                    <w:rPr>
                      <w:color w:val="auto"/>
                      <w:kern w:val="0"/>
                      <w:sz w:val="18"/>
                      <w:szCs w:val="18"/>
                    </w:rPr>
                    <w:t>/</w:t>
                  </w:r>
                </w:p>
              </w:tc>
              <w:tc>
                <w:tcPr>
                  <w:tcW w:w="854" w:type="pct"/>
                  <w:shd w:val="clear" w:color="000000" w:fill="FFFFFF"/>
                  <w:noWrap w:val="0"/>
                  <w:vAlign w:val="center"/>
                </w:tcPr>
                <w:p w14:paraId="18AF9849">
                  <w:pPr>
                    <w:widowControl/>
                    <w:jc w:val="center"/>
                    <w:rPr>
                      <w:color w:val="auto"/>
                      <w:kern w:val="0"/>
                      <w:sz w:val="18"/>
                      <w:szCs w:val="18"/>
                    </w:rPr>
                  </w:pPr>
                  <w:r>
                    <w:rPr>
                      <w:color w:val="auto"/>
                      <w:kern w:val="0"/>
                      <w:sz w:val="18"/>
                      <w:szCs w:val="18"/>
                    </w:rPr>
                    <w:t>/</w:t>
                  </w:r>
                </w:p>
              </w:tc>
            </w:tr>
            <w:tr w14:paraId="544FC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9" w:type="pct"/>
                  <w:shd w:val="clear" w:color="000000" w:fill="FFFFFF"/>
                  <w:noWrap w:val="0"/>
                  <w:vAlign w:val="center"/>
                </w:tcPr>
                <w:p w14:paraId="6804AD71">
                  <w:pPr>
                    <w:widowControl/>
                    <w:jc w:val="center"/>
                    <w:rPr>
                      <w:color w:val="auto"/>
                      <w:kern w:val="0"/>
                      <w:sz w:val="18"/>
                      <w:szCs w:val="18"/>
                    </w:rPr>
                  </w:pPr>
                  <w:r>
                    <w:rPr>
                      <w:color w:val="auto"/>
                      <w:kern w:val="0"/>
                      <w:sz w:val="18"/>
                      <w:szCs w:val="18"/>
                    </w:rPr>
                    <w:t>涪山坝</w:t>
                  </w:r>
                </w:p>
              </w:tc>
              <w:tc>
                <w:tcPr>
                  <w:tcW w:w="469" w:type="pct"/>
                  <w:shd w:val="clear" w:color="000000" w:fill="FFFFFF"/>
                  <w:noWrap w:val="0"/>
                  <w:vAlign w:val="center"/>
                </w:tcPr>
                <w:p w14:paraId="717A16C9">
                  <w:pPr>
                    <w:widowControl/>
                    <w:jc w:val="center"/>
                    <w:rPr>
                      <w:color w:val="auto"/>
                      <w:kern w:val="0"/>
                      <w:sz w:val="18"/>
                      <w:szCs w:val="18"/>
                    </w:rPr>
                  </w:pPr>
                  <w:r>
                    <w:rPr>
                      <w:color w:val="auto"/>
                      <w:kern w:val="0"/>
                      <w:sz w:val="18"/>
                      <w:szCs w:val="18"/>
                    </w:rPr>
                    <w:t>蓬溪县</w:t>
                  </w:r>
                </w:p>
              </w:tc>
              <w:tc>
                <w:tcPr>
                  <w:tcW w:w="844" w:type="pct"/>
                  <w:shd w:val="clear" w:color="000000" w:fill="FFFFFF"/>
                  <w:noWrap w:val="0"/>
                  <w:vAlign w:val="center"/>
                </w:tcPr>
                <w:p w14:paraId="7EC6A135">
                  <w:pPr>
                    <w:widowControl/>
                    <w:jc w:val="center"/>
                    <w:rPr>
                      <w:color w:val="auto"/>
                      <w:kern w:val="0"/>
                      <w:sz w:val="18"/>
                      <w:szCs w:val="18"/>
                    </w:rPr>
                  </w:pPr>
                  <w:r>
                    <w:rPr>
                      <w:color w:val="auto"/>
                      <w:kern w:val="0"/>
                      <w:sz w:val="18"/>
                      <w:szCs w:val="18"/>
                    </w:rPr>
                    <w:t>省控（长江经济带）</w:t>
                  </w:r>
                </w:p>
              </w:tc>
              <w:tc>
                <w:tcPr>
                  <w:tcW w:w="581" w:type="dxa"/>
                  <w:shd w:val="clear" w:color="000000" w:fill="FFFFFF"/>
                  <w:noWrap w:val="0"/>
                  <w:vAlign w:val="center"/>
                </w:tcPr>
                <w:p w14:paraId="5F9CFBED">
                  <w:pPr>
                    <w:widowControl/>
                    <w:jc w:val="center"/>
                    <w:rPr>
                      <w:color w:val="auto"/>
                      <w:kern w:val="0"/>
                      <w:sz w:val="18"/>
                      <w:szCs w:val="18"/>
                    </w:rPr>
                  </w:pPr>
                  <w:r>
                    <w:rPr>
                      <w:color w:val="auto"/>
                      <w:kern w:val="0"/>
                      <w:sz w:val="18"/>
                      <w:szCs w:val="18"/>
                    </w:rPr>
                    <w:t>Ⅲ</w:t>
                  </w:r>
                </w:p>
              </w:tc>
              <w:tc>
                <w:tcPr>
                  <w:tcW w:w="879" w:type="dxa"/>
                  <w:shd w:val="clear" w:color="000000" w:fill="FFFFFF"/>
                  <w:noWrap w:val="0"/>
                  <w:vAlign w:val="center"/>
                </w:tcPr>
                <w:p w14:paraId="6B55EE17">
                  <w:pPr>
                    <w:widowControl/>
                    <w:jc w:val="center"/>
                    <w:rPr>
                      <w:color w:val="auto"/>
                      <w:kern w:val="0"/>
                      <w:sz w:val="18"/>
                      <w:szCs w:val="18"/>
                    </w:rPr>
                  </w:pPr>
                  <w:r>
                    <w:rPr>
                      <w:color w:val="auto"/>
                      <w:kern w:val="0"/>
                      <w:sz w:val="18"/>
                      <w:szCs w:val="18"/>
                    </w:rPr>
                    <w:t>Ⅲ</w:t>
                  </w:r>
                </w:p>
              </w:tc>
              <w:tc>
                <w:tcPr>
                  <w:tcW w:w="879" w:type="dxa"/>
                  <w:shd w:val="clear" w:color="000000" w:fill="FFFFFF"/>
                  <w:noWrap w:val="0"/>
                  <w:vAlign w:val="center"/>
                </w:tcPr>
                <w:p w14:paraId="3384265A">
                  <w:pPr>
                    <w:widowControl/>
                    <w:jc w:val="center"/>
                    <w:rPr>
                      <w:color w:val="auto"/>
                      <w:kern w:val="0"/>
                      <w:sz w:val="18"/>
                      <w:szCs w:val="18"/>
                    </w:rPr>
                  </w:pPr>
                  <w:r>
                    <w:rPr>
                      <w:color w:val="auto"/>
                      <w:kern w:val="0"/>
                      <w:sz w:val="18"/>
                      <w:szCs w:val="18"/>
                    </w:rPr>
                    <w:t>Ⅲ</w:t>
                  </w:r>
                </w:p>
              </w:tc>
              <w:tc>
                <w:tcPr>
                  <w:tcW w:w="925" w:type="pct"/>
                  <w:shd w:val="clear" w:color="000000" w:fill="FFFFFF"/>
                  <w:noWrap w:val="0"/>
                  <w:vAlign w:val="center"/>
                </w:tcPr>
                <w:p w14:paraId="06520581">
                  <w:pPr>
                    <w:widowControl/>
                    <w:jc w:val="center"/>
                    <w:rPr>
                      <w:color w:val="auto"/>
                      <w:kern w:val="0"/>
                      <w:sz w:val="18"/>
                      <w:szCs w:val="18"/>
                    </w:rPr>
                  </w:pPr>
                  <w:r>
                    <w:rPr>
                      <w:color w:val="auto"/>
                      <w:kern w:val="0"/>
                      <w:sz w:val="18"/>
                      <w:szCs w:val="18"/>
                    </w:rPr>
                    <w:t>/</w:t>
                  </w:r>
                </w:p>
              </w:tc>
              <w:tc>
                <w:tcPr>
                  <w:tcW w:w="854" w:type="pct"/>
                  <w:shd w:val="clear" w:color="000000" w:fill="FFFFFF"/>
                  <w:noWrap w:val="0"/>
                  <w:vAlign w:val="center"/>
                </w:tcPr>
                <w:p w14:paraId="4D9C5CEA">
                  <w:pPr>
                    <w:widowControl/>
                    <w:jc w:val="center"/>
                    <w:rPr>
                      <w:color w:val="auto"/>
                      <w:kern w:val="0"/>
                      <w:sz w:val="18"/>
                      <w:szCs w:val="18"/>
                    </w:rPr>
                  </w:pPr>
                  <w:r>
                    <w:rPr>
                      <w:color w:val="auto"/>
                      <w:kern w:val="0"/>
                      <w:sz w:val="18"/>
                      <w:szCs w:val="18"/>
                    </w:rPr>
                    <w:t>/</w:t>
                  </w:r>
                </w:p>
              </w:tc>
            </w:tr>
            <w:tr w14:paraId="069D9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9" w:type="pct"/>
                  <w:shd w:val="clear" w:color="000000" w:fill="FFFFFF"/>
                  <w:noWrap w:val="0"/>
                  <w:vAlign w:val="center"/>
                </w:tcPr>
                <w:p w14:paraId="4B142AC3">
                  <w:pPr>
                    <w:widowControl/>
                    <w:jc w:val="center"/>
                    <w:rPr>
                      <w:b w:val="0"/>
                      <w:bCs w:val="0"/>
                      <w:color w:val="auto"/>
                      <w:kern w:val="0"/>
                      <w:sz w:val="18"/>
                      <w:szCs w:val="18"/>
                    </w:rPr>
                  </w:pPr>
                  <w:r>
                    <w:rPr>
                      <w:b w:val="0"/>
                      <w:bCs w:val="0"/>
                      <w:color w:val="auto"/>
                      <w:kern w:val="0"/>
                      <w:sz w:val="18"/>
                      <w:szCs w:val="18"/>
                    </w:rPr>
                    <w:t>米家桥</w:t>
                  </w:r>
                </w:p>
              </w:tc>
              <w:tc>
                <w:tcPr>
                  <w:tcW w:w="469" w:type="pct"/>
                  <w:shd w:val="clear" w:color="000000" w:fill="FFFFFF"/>
                  <w:noWrap w:val="0"/>
                  <w:vAlign w:val="center"/>
                </w:tcPr>
                <w:p w14:paraId="0D8843F9">
                  <w:pPr>
                    <w:widowControl/>
                    <w:jc w:val="center"/>
                    <w:rPr>
                      <w:b w:val="0"/>
                      <w:bCs w:val="0"/>
                      <w:color w:val="auto"/>
                      <w:kern w:val="0"/>
                      <w:sz w:val="18"/>
                      <w:szCs w:val="18"/>
                    </w:rPr>
                  </w:pPr>
                  <w:r>
                    <w:rPr>
                      <w:b w:val="0"/>
                      <w:bCs w:val="0"/>
                      <w:color w:val="auto"/>
                      <w:kern w:val="0"/>
                      <w:sz w:val="18"/>
                      <w:szCs w:val="18"/>
                    </w:rPr>
                    <w:t>船山区</w:t>
                  </w:r>
                </w:p>
              </w:tc>
              <w:tc>
                <w:tcPr>
                  <w:tcW w:w="844" w:type="pct"/>
                  <w:shd w:val="clear" w:color="000000" w:fill="FFFFFF"/>
                  <w:noWrap w:val="0"/>
                  <w:vAlign w:val="center"/>
                </w:tcPr>
                <w:p w14:paraId="1F762184">
                  <w:pPr>
                    <w:widowControl/>
                    <w:jc w:val="center"/>
                    <w:rPr>
                      <w:b w:val="0"/>
                      <w:bCs w:val="0"/>
                      <w:color w:val="auto"/>
                      <w:kern w:val="0"/>
                      <w:sz w:val="18"/>
                      <w:szCs w:val="18"/>
                    </w:rPr>
                  </w:pPr>
                  <w:r>
                    <w:rPr>
                      <w:b w:val="0"/>
                      <w:bCs w:val="0"/>
                      <w:color w:val="auto"/>
                      <w:kern w:val="0"/>
                      <w:sz w:val="18"/>
                      <w:szCs w:val="18"/>
                    </w:rPr>
                    <w:t>省控</w:t>
                  </w:r>
                  <w:r>
                    <w:rPr>
                      <w:rFonts w:hint="eastAsia"/>
                      <w:b w:val="0"/>
                      <w:bCs w:val="0"/>
                      <w:color w:val="auto"/>
                      <w:kern w:val="0"/>
                      <w:sz w:val="18"/>
                      <w:szCs w:val="18"/>
                      <w:lang w:eastAsia="zh-CN"/>
                    </w:rPr>
                    <w:t>（</w:t>
                  </w:r>
                  <w:r>
                    <w:rPr>
                      <w:b w:val="0"/>
                      <w:bCs w:val="0"/>
                      <w:color w:val="auto"/>
                      <w:kern w:val="0"/>
                      <w:sz w:val="18"/>
                      <w:szCs w:val="18"/>
                    </w:rPr>
                    <w:t>趋势科研</w:t>
                  </w:r>
                  <w:r>
                    <w:rPr>
                      <w:rFonts w:hint="eastAsia"/>
                      <w:b w:val="0"/>
                      <w:bCs w:val="0"/>
                      <w:color w:val="auto"/>
                      <w:kern w:val="0"/>
                      <w:sz w:val="18"/>
                      <w:szCs w:val="18"/>
                      <w:lang w:eastAsia="zh-CN"/>
                    </w:rPr>
                    <w:t>）</w:t>
                  </w:r>
                </w:p>
              </w:tc>
              <w:tc>
                <w:tcPr>
                  <w:tcW w:w="357" w:type="pct"/>
                  <w:shd w:val="clear" w:color="000000" w:fill="FFFFFF"/>
                  <w:noWrap w:val="0"/>
                  <w:vAlign w:val="center"/>
                </w:tcPr>
                <w:p w14:paraId="6B91B9D7">
                  <w:pPr>
                    <w:widowControl/>
                    <w:jc w:val="center"/>
                    <w:rPr>
                      <w:b w:val="0"/>
                      <w:bCs w:val="0"/>
                      <w:color w:val="auto"/>
                      <w:kern w:val="0"/>
                      <w:sz w:val="18"/>
                      <w:szCs w:val="18"/>
                    </w:rPr>
                  </w:pPr>
                  <w:r>
                    <w:rPr>
                      <w:b w:val="0"/>
                      <w:bCs w:val="0"/>
                      <w:color w:val="auto"/>
                      <w:kern w:val="0"/>
                      <w:sz w:val="18"/>
                      <w:szCs w:val="18"/>
                    </w:rPr>
                    <w:t>Ⅱ</w:t>
                  </w:r>
                </w:p>
              </w:tc>
              <w:tc>
                <w:tcPr>
                  <w:tcW w:w="540" w:type="pct"/>
                  <w:shd w:val="clear" w:color="000000" w:fill="FFFFFF"/>
                  <w:noWrap w:val="0"/>
                  <w:vAlign w:val="center"/>
                </w:tcPr>
                <w:p w14:paraId="285C90D4">
                  <w:pPr>
                    <w:widowControl/>
                    <w:jc w:val="center"/>
                    <w:rPr>
                      <w:b w:val="0"/>
                      <w:bCs w:val="0"/>
                      <w:color w:val="auto"/>
                      <w:kern w:val="0"/>
                      <w:sz w:val="18"/>
                      <w:szCs w:val="18"/>
                    </w:rPr>
                  </w:pPr>
                  <w:r>
                    <w:rPr>
                      <w:b w:val="0"/>
                      <w:bCs w:val="0"/>
                      <w:color w:val="auto"/>
                      <w:kern w:val="0"/>
                      <w:sz w:val="18"/>
                      <w:szCs w:val="18"/>
                    </w:rPr>
                    <w:t>Ⅱ</w:t>
                  </w:r>
                </w:p>
              </w:tc>
              <w:tc>
                <w:tcPr>
                  <w:tcW w:w="540" w:type="pct"/>
                  <w:shd w:val="clear" w:color="000000" w:fill="FFFFFF"/>
                  <w:noWrap w:val="0"/>
                  <w:vAlign w:val="center"/>
                </w:tcPr>
                <w:p w14:paraId="0F2A2647">
                  <w:pPr>
                    <w:widowControl/>
                    <w:jc w:val="center"/>
                    <w:rPr>
                      <w:b w:val="0"/>
                      <w:bCs w:val="0"/>
                      <w:color w:val="auto"/>
                      <w:kern w:val="0"/>
                      <w:sz w:val="18"/>
                      <w:szCs w:val="18"/>
                    </w:rPr>
                  </w:pPr>
                  <w:r>
                    <w:rPr>
                      <w:b w:val="0"/>
                      <w:bCs w:val="0"/>
                      <w:color w:val="auto"/>
                      <w:kern w:val="0"/>
                      <w:sz w:val="18"/>
                      <w:szCs w:val="18"/>
                    </w:rPr>
                    <w:t>Ⅱ</w:t>
                  </w:r>
                </w:p>
              </w:tc>
              <w:tc>
                <w:tcPr>
                  <w:tcW w:w="925" w:type="pct"/>
                  <w:shd w:val="clear" w:color="000000" w:fill="FFFFFF"/>
                  <w:noWrap w:val="0"/>
                  <w:vAlign w:val="center"/>
                </w:tcPr>
                <w:p w14:paraId="62302A25">
                  <w:pPr>
                    <w:widowControl/>
                    <w:jc w:val="center"/>
                    <w:rPr>
                      <w:color w:val="auto"/>
                      <w:kern w:val="0"/>
                      <w:sz w:val="18"/>
                      <w:szCs w:val="18"/>
                    </w:rPr>
                  </w:pPr>
                  <w:r>
                    <w:rPr>
                      <w:color w:val="auto"/>
                      <w:kern w:val="0"/>
                      <w:sz w:val="18"/>
                      <w:szCs w:val="18"/>
                    </w:rPr>
                    <w:t>/</w:t>
                  </w:r>
                </w:p>
              </w:tc>
              <w:tc>
                <w:tcPr>
                  <w:tcW w:w="854" w:type="pct"/>
                  <w:shd w:val="clear" w:color="000000" w:fill="FFFFFF"/>
                  <w:noWrap w:val="0"/>
                  <w:vAlign w:val="center"/>
                </w:tcPr>
                <w:p w14:paraId="3060A0B0">
                  <w:pPr>
                    <w:widowControl/>
                    <w:jc w:val="center"/>
                    <w:rPr>
                      <w:color w:val="auto"/>
                      <w:kern w:val="0"/>
                      <w:sz w:val="18"/>
                      <w:szCs w:val="18"/>
                    </w:rPr>
                  </w:pPr>
                  <w:r>
                    <w:rPr>
                      <w:color w:val="auto"/>
                      <w:kern w:val="0"/>
                      <w:sz w:val="18"/>
                      <w:szCs w:val="18"/>
                    </w:rPr>
                    <w:t>/</w:t>
                  </w:r>
                </w:p>
              </w:tc>
            </w:tr>
            <w:tr w14:paraId="645BA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8"/>
                  <w:shd w:val="clear" w:color="000000" w:fill="FFFFFF"/>
                  <w:noWrap w:val="0"/>
                  <w:vAlign w:val="center"/>
                </w:tcPr>
                <w:p w14:paraId="15E2F869">
                  <w:pPr>
                    <w:widowControl/>
                    <w:jc w:val="left"/>
                    <w:rPr>
                      <w:color w:val="auto"/>
                      <w:kern w:val="0"/>
                      <w:sz w:val="18"/>
                      <w:szCs w:val="18"/>
                    </w:rPr>
                  </w:pPr>
                  <w:r>
                    <w:rPr>
                      <w:color w:val="auto"/>
                      <w:kern w:val="0"/>
                      <w:sz w:val="18"/>
                      <w:szCs w:val="18"/>
                    </w:rPr>
                    <w:t>注：1. 地表水环境评价执行《地表水环境质量标准》（GB3838-2002）和《地表水环境质量评价办法（试行）》（环办〔2011〕22号）。</w:t>
                  </w:r>
                </w:p>
                <w:p w14:paraId="4884A55C">
                  <w:pPr>
                    <w:widowControl/>
                    <w:numPr>
                      <w:ilvl w:val="0"/>
                      <w:numId w:val="0"/>
                    </w:numPr>
                    <w:ind w:firstLine="360" w:firstLineChars="200"/>
                    <w:jc w:val="left"/>
                    <w:rPr>
                      <w:color w:val="auto"/>
                      <w:kern w:val="0"/>
                      <w:sz w:val="18"/>
                      <w:szCs w:val="18"/>
                    </w:rPr>
                  </w:pPr>
                  <w:r>
                    <w:rPr>
                      <w:rFonts w:hint="eastAsia"/>
                      <w:color w:val="auto"/>
                      <w:kern w:val="0"/>
                      <w:sz w:val="18"/>
                      <w:szCs w:val="18"/>
                      <w:lang w:val="en-US" w:eastAsia="zh-CN"/>
                    </w:rPr>
                    <w:t>2</w:t>
                  </w:r>
                  <w:r>
                    <w:rPr>
                      <w:color w:val="auto"/>
                      <w:kern w:val="0"/>
                      <w:sz w:val="18"/>
                      <w:szCs w:val="18"/>
                    </w:rPr>
                    <w:t>.21项评价指标为：pH、溶解氧、高锰酸盐指数、五日生化需氧量、氨氮、石油类、挥发酚、汞、铅、镉、阴离子表面活性剂、铬（六价）、氟化物、总磷、氰化物、硫化物、砷、化学需氧量、铜、锌、硒。</w:t>
                  </w:r>
                </w:p>
                <w:p w14:paraId="2C9B9063">
                  <w:pPr>
                    <w:widowControl/>
                    <w:numPr>
                      <w:ilvl w:val="0"/>
                      <w:numId w:val="0"/>
                    </w:numPr>
                    <w:ind w:firstLine="360" w:firstLineChars="200"/>
                    <w:jc w:val="left"/>
                    <w:rPr>
                      <w:color w:val="auto"/>
                      <w:kern w:val="0"/>
                      <w:sz w:val="18"/>
                      <w:szCs w:val="18"/>
                    </w:rPr>
                  </w:pPr>
                  <w:r>
                    <w:rPr>
                      <w:color w:val="auto"/>
                      <w:kern w:val="0"/>
                      <w:sz w:val="18"/>
                      <w:szCs w:val="18"/>
                    </w:rPr>
                    <w:t>3. 超过Ⅲ类水质标准的指标为断面污染指标，取超标倍数最大的前三项为主要污染指标。</w:t>
                  </w:r>
                </w:p>
                <w:p w14:paraId="7D0A8D35">
                  <w:pPr>
                    <w:widowControl/>
                    <w:numPr>
                      <w:ilvl w:val="0"/>
                      <w:numId w:val="0"/>
                    </w:numPr>
                    <w:ind w:firstLine="360" w:firstLineChars="200"/>
                    <w:jc w:val="left"/>
                    <w:rPr>
                      <w:color w:val="auto"/>
                      <w:kern w:val="0"/>
                      <w:sz w:val="18"/>
                      <w:szCs w:val="18"/>
                    </w:rPr>
                  </w:pPr>
                  <w:r>
                    <w:rPr>
                      <w:color w:val="auto"/>
                      <w:kern w:val="0"/>
                      <w:sz w:val="18"/>
                      <w:szCs w:val="18"/>
                    </w:rPr>
                    <w:t>4. 红江渡口、玉溪、跑马滩、大安、郪江口和梓江大桥6个国控断面采用国家反馈的采测分离数据（含部分市级监测数据）进行评价。</w:t>
                  </w:r>
                </w:p>
              </w:tc>
            </w:tr>
          </w:tbl>
          <w:p w14:paraId="1D2BA99A">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bCs/>
                <w:color w:val="auto"/>
                <w:kern w:val="0"/>
                <w:sz w:val="21"/>
                <w:szCs w:val="21"/>
                <w:shd w:val="clear" w:color="auto" w:fill="FFFFFF"/>
              </w:rPr>
            </w:pPr>
          </w:p>
          <w:p w14:paraId="57C74EB4">
            <w:pPr>
              <w:widowControl/>
              <w:spacing w:line="360" w:lineRule="auto"/>
              <w:ind w:firstLine="420" w:firstLineChars="200"/>
              <w:jc w:val="left"/>
              <w:rPr>
                <w:rFonts w:hint="eastAsia" w:ascii="宋体" w:hAnsi="宋体" w:eastAsia="宋体" w:cs="宋体"/>
                <w:b w:val="0"/>
                <w:bCs/>
                <w:color w:val="auto"/>
                <w:sz w:val="21"/>
                <w:szCs w:val="21"/>
                <w:lang w:eastAsia="zh-CN"/>
              </w:rPr>
            </w:pPr>
            <w:r>
              <w:rPr>
                <w:rFonts w:hint="eastAsia"/>
                <w:bCs/>
                <w:color w:val="auto"/>
                <w:kern w:val="0"/>
                <w:sz w:val="21"/>
                <w:szCs w:val="21"/>
                <w:shd w:val="clear" w:color="auto" w:fill="FFFFFF"/>
              </w:rPr>
              <w:t>根据上表可知，区域地表水环境能满足《地表水环境质量标准》（GB3838-2002）中的</w:t>
            </w:r>
            <w:r>
              <w:rPr>
                <w:rFonts w:hint="eastAsia"/>
                <w:bCs/>
                <w:color w:val="auto"/>
                <w:kern w:val="0"/>
                <w:sz w:val="21"/>
                <w:szCs w:val="21"/>
                <w:shd w:val="clear" w:color="auto" w:fill="FFFFFF"/>
                <w:lang w:val="en-US" w:eastAsia="zh-CN"/>
              </w:rPr>
              <w:t>Ⅲ</w:t>
            </w:r>
            <w:r>
              <w:rPr>
                <w:rFonts w:hint="eastAsia"/>
                <w:bCs/>
                <w:color w:val="auto"/>
                <w:kern w:val="0"/>
                <w:sz w:val="21"/>
                <w:szCs w:val="21"/>
                <w:shd w:val="clear" w:color="auto" w:fill="FFFFFF"/>
              </w:rPr>
              <w:t>类水域标准要求。因此，项目所在区域地表水环境质量现状良好</w:t>
            </w:r>
            <w:r>
              <w:rPr>
                <w:rFonts w:hint="eastAsia"/>
                <w:bCs/>
                <w:color w:val="auto"/>
                <w:kern w:val="0"/>
                <w:sz w:val="21"/>
                <w:szCs w:val="21"/>
                <w:shd w:val="clear" w:color="auto" w:fill="FFFFFF"/>
                <w:lang w:eastAsia="zh-CN"/>
              </w:rPr>
              <w:t>。</w:t>
            </w:r>
          </w:p>
          <w:p w14:paraId="3FEBE4F3">
            <w:pPr>
              <w:keepNext w:val="0"/>
              <w:keepLines w:val="0"/>
              <w:pageBreakBefore w:val="0"/>
              <w:widowControl w:val="0"/>
              <w:numPr>
                <w:ilvl w:val="0"/>
                <w:numId w:val="3"/>
              </w:numPr>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声环境</w:t>
            </w:r>
          </w:p>
          <w:p w14:paraId="4398E1A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color w:val="auto"/>
                <w:lang w:val="en-US" w:eastAsia="zh-CN"/>
              </w:rPr>
            </w:pPr>
            <w:r>
              <w:rPr>
                <w:rFonts w:hint="eastAsia"/>
                <w:color w:val="auto"/>
                <w:lang w:val="en-US" w:eastAsia="zh-CN"/>
              </w:rPr>
              <w:t>本项目厂区所在地为安居区工业集中发展区食品加工聚集区，项目厂区周边50m范围内无声环境保护目标存在，因此根据《建设项目环境影响报告表编制技术指南》（污染影响类），本项目可不进行声环境监测。</w:t>
            </w:r>
          </w:p>
          <w:p w14:paraId="03E679BC">
            <w:pPr>
              <w:keepNext w:val="0"/>
              <w:keepLines w:val="0"/>
              <w:pageBreakBefore w:val="0"/>
              <w:widowControl w:val="0"/>
              <w:numPr>
                <w:ilvl w:val="0"/>
                <w:numId w:val="3"/>
              </w:numPr>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生态环境现状</w:t>
            </w:r>
          </w:p>
          <w:p w14:paraId="574F339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项目选址于</w:t>
            </w:r>
            <w:r>
              <w:rPr>
                <w:rFonts w:hint="eastAsia" w:ascii="宋体" w:hAnsi="宋体" w:cs="宋体"/>
                <w:color w:val="auto"/>
                <w:szCs w:val="21"/>
                <w:lang w:val="en-US" w:eastAsia="zh-CN"/>
              </w:rPr>
              <w:t>四川省遂宁市安居区潮新路北侧</w:t>
            </w:r>
            <w:r>
              <w:rPr>
                <w:rFonts w:hint="eastAsia" w:cs="Times New Roman"/>
                <w:color w:val="auto"/>
                <w:lang w:val="en-US" w:eastAsia="zh-CN"/>
              </w:rPr>
              <w:t>、胡琴路西侧，</w:t>
            </w:r>
            <w:r>
              <w:rPr>
                <w:rFonts w:hint="eastAsia" w:ascii="Times New Roman" w:hAnsi="Times New Roman" w:eastAsia="宋体" w:cs="Times New Roman"/>
                <w:color w:val="auto"/>
                <w:lang w:val="en-US" w:eastAsia="zh-CN"/>
              </w:rPr>
              <w:t>项目所在区域为工业用地为主，</w:t>
            </w:r>
            <w:r>
              <w:rPr>
                <w:rFonts w:hint="default" w:ascii="Times New Roman" w:hAnsi="Times New Roman" w:eastAsia="宋体" w:cs="Times New Roman"/>
                <w:color w:val="auto"/>
                <w:lang w:val="en-US" w:eastAsia="zh-CN"/>
              </w:rPr>
              <w:t>建设区域人为活动较频繁</w:t>
            </w:r>
            <w:r>
              <w:rPr>
                <w:rFonts w:hint="eastAsia" w:ascii="Times New Roman" w:hAnsi="Times New Roman" w:eastAsia="宋体" w:cs="Times New Roman"/>
                <w:color w:val="auto"/>
                <w:lang w:val="en-US" w:eastAsia="zh-CN"/>
              </w:rPr>
              <w:t>，周边各类生产企业较多，</w:t>
            </w:r>
            <w:r>
              <w:rPr>
                <w:rFonts w:hint="default" w:ascii="Times New Roman" w:hAnsi="Times New Roman" w:eastAsia="宋体" w:cs="Times New Roman"/>
                <w:color w:val="auto"/>
                <w:lang w:val="en-US" w:eastAsia="zh-CN"/>
              </w:rPr>
              <w:t>已不存在原生植被，不涉及饮用水保护区、自然保护区、风景名胜区、森林公园、文物保护单位等生态敏感区。</w:t>
            </w:r>
          </w:p>
          <w:p w14:paraId="267082A9">
            <w:pPr>
              <w:pStyle w:val="48"/>
              <w:rPr>
                <w:rFonts w:hint="eastAsia"/>
                <w:color w:val="auto"/>
                <w:lang w:val="en-US" w:eastAsia="zh-CN"/>
              </w:rPr>
            </w:pPr>
          </w:p>
        </w:tc>
      </w:tr>
      <w:tr w14:paraId="16319C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77" w:hRule="atLeast"/>
          <w:jc w:val="center"/>
        </w:trPr>
        <w:tc>
          <w:tcPr>
            <w:tcW w:w="811" w:type="dxa"/>
            <w:noWrap w:val="0"/>
            <w:vAlign w:val="center"/>
          </w:tcPr>
          <w:p w14:paraId="00CAEF09">
            <w:pPr>
              <w:adjustRightInd w:val="0"/>
              <w:snapToGrid w:val="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环境</w:t>
            </w:r>
          </w:p>
          <w:p w14:paraId="76DC8F54">
            <w:pPr>
              <w:adjustRightInd w:val="0"/>
              <w:snapToGrid w:val="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保护</w:t>
            </w:r>
          </w:p>
          <w:p w14:paraId="5675D9BD">
            <w:pPr>
              <w:adjustRightInd w:val="0"/>
              <w:snapToGrid w:val="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目标</w:t>
            </w:r>
          </w:p>
        </w:tc>
        <w:tc>
          <w:tcPr>
            <w:tcW w:w="8250" w:type="dxa"/>
            <w:noWrap w:val="0"/>
            <w:vAlign w:val="center"/>
          </w:tcPr>
          <w:p w14:paraId="452B3912">
            <w:pPr>
              <w:adjustRightInd w:val="0"/>
              <w:snapToGrid w:val="0"/>
              <w:spacing w:line="360" w:lineRule="auto"/>
              <w:jc w:val="both"/>
              <w:rPr>
                <w:rFonts w:hint="default" w:ascii="Times New Roman" w:hAnsi="Times New Roman" w:eastAsia="宋体" w:cs="Times New Roman"/>
                <w:b/>
                <w:bCs/>
                <w:color w:val="auto"/>
                <w:kern w:val="0"/>
                <w:sz w:val="21"/>
                <w:szCs w:val="21"/>
                <w:shd w:val="clear" w:color="auto" w:fill="auto"/>
                <w:lang w:val="en-US" w:eastAsia="zh-CN"/>
              </w:rPr>
            </w:pPr>
            <w:r>
              <w:rPr>
                <w:rFonts w:hint="default" w:ascii="Times New Roman" w:hAnsi="Times New Roman" w:eastAsia="宋体" w:cs="Times New Roman"/>
                <w:b/>
                <w:bCs/>
                <w:color w:val="auto"/>
                <w:kern w:val="0"/>
                <w:sz w:val="21"/>
                <w:szCs w:val="21"/>
                <w:shd w:val="clear" w:color="auto" w:fill="auto"/>
                <w:lang w:val="en-US" w:eastAsia="zh-CN"/>
              </w:rPr>
              <w:t>主要环境保护目标：</w:t>
            </w:r>
          </w:p>
          <w:p w14:paraId="3DF0991C">
            <w:pPr>
              <w:adjustRightInd w:val="0"/>
              <w:snapToGrid w:val="0"/>
              <w:spacing w:line="360" w:lineRule="auto"/>
              <w:ind w:firstLine="422" w:firstLineChars="200"/>
              <w:jc w:val="both"/>
              <w:rPr>
                <w:rFonts w:hint="default" w:ascii="Times New Roman" w:hAnsi="Times New Roman" w:eastAsia="宋体" w:cs="Times New Roman"/>
                <w:color w:val="auto"/>
                <w:kern w:val="0"/>
                <w:sz w:val="21"/>
                <w:szCs w:val="21"/>
                <w:shd w:val="clear" w:color="auto" w:fill="auto"/>
                <w:lang w:val="en-US" w:eastAsia="zh-CN"/>
              </w:rPr>
            </w:pPr>
            <w:r>
              <w:rPr>
                <w:rFonts w:hint="default" w:ascii="Times New Roman" w:hAnsi="Times New Roman" w:eastAsia="宋体" w:cs="Times New Roman"/>
                <w:b/>
                <w:bCs/>
                <w:color w:val="auto"/>
                <w:kern w:val="0"/>
                <w:sz w:val="21"/>
                <w:szCs w:val="21"/>
                <w:shd w:val="clear" w:color="auto" w:fill="auto"/>
                <w:lang w:val="en-US" w:eastAsia="zh-CN"/>
              </w:rPr>
              <w:t>1、大气环境</w:t>
            </w:r>
          </w:p>
          <w:p w14:paraId="4DEDC675">
            <w:pPr>
              <w:adjustRightInd w:val="0"/>
              <w:snapToGrid w:val="0"/>
              <w:spacing w:line="360" w:lineRule="auto"/>
              <w:ind w:firstLine="420" w:firstLineChars="200"/>
              <w:jc w:val="both"/>
              <w:rPr>
                <w:rFonts w:hint="eastAsia" w:ascii="宋体" w:hAnsi="宋体" w:eastAsia="宋体" w:cs="宋体"/>
                <w:color w:val="auto"/>
                <w:kern w:val="0"/>
                <w:sz w:val="21"/>
                <w:szCs w:val="21"/>
                <w:shd w:val="clear" w:color="auto" w:fill="auto"/>
                <w:lang w:val="en-US" w:eastAsia="zh-CN"/>
              </w:rPr>
            </w:pPr>
            <w:r>
              <w:rPr>
                <w:rFonts w:hint="eastAsia" w:ascii="宋体" w:hAnsi="宋体" w:eastAsia="宋体" w:cs="宋体"/>
                <w:color w:val="auto"/>
                <w:kern w:val="0"/>
                <w:sz w:val="21"/>
                <w:szCs w:val="21"/>
                <w:shd w:val="clear" w:color="auto" w:fill="auto"/>
                <w:lang w:val="en-US" w:eastAsia="zh-CN"/>
              </w:rPr>
              <w:t>本项目500m范围内无</w:t>
            </w:r>
            <w:r>
              <w:rPr>
                <w:rFonts w:hint="eastAsia" w:ascii="宋体" w:hAnsi="宋体" w:cs="宋体"/>
                <w:color w:val="auto"/>
                <w:kern w:val="0"/>
                <w:sz w:val="21"/>
                <w:szCs w:val="21"/>
                <w:shd w:val="clear" w:color="auto" w:fill="auto"/>
                <w:lang w:val="en-US" w:eastAsia="zh-CN"/>
              </w:rPr>
              <w:t>居民点、</w:t>
            </w:r>
            <w:r>
              <w:rPr>
                <w:rFonts w:hint="eastAsia" w:ascii="宋体" w:hAnsi="宋体" w:eastAsia="宋体" w:cs="宋体"/>
                <w:color w:val="auto"/>
                <w:kern w:val="0"/>
                <w:sz w:val="21"/>
                <w:szCs w:val="21"/>
                <w:shd w:val="clear" w:color="auto" w:fill="auto"/>
                <w:lang w:val="en-US" w:eastAsia="zh-CN"/>
              </w:rPr>
              <w:t>自然保护区、风景名胜区、居住区、文化区等保护目标，所在区域大气环境应符合《环境空气质量标准》（GB3095-2012）二级标准。</w:t>
            </w:r>
          </w:p>
          <w:p w14:paraId="4BA05C70">
            <w:pPr>
              <w:adjustRightInd w:val="0"/>
              <w:snapToGrid w:val="0"/>
              <w:spacing w:line="360" w:lineRule="auto"/>
              <w:ind w:firstLine="422" w:firstLineChars="200"/>
              <w:jc w:val="both"/>
              <w:rPr>
                <w:rFonts w:hint="default" w:ascii="Times New Roman" w:hAnsi="Times New Roman" w:eastAsia="宋体" w:cs="Times New Roman"/>
                <w:color w:val="auto"/>
                <w:kern w:val="0"/>
                <w:sz w:val="21"/>
                <w:szCs w:val="21"/>
                <w:shd w:val="clear" w:color="auto" w:fill="auto"/>
                <w:lang w:val="en-US" w:eastAsia="zh-CN"/>
              </w:rPr>
            </w:pPr>
            <w:r>
              <w:rPr>
                <w:rFonts w:hint="default" w:ascii="Times New Roman" w:hAnsi="Times New Roman" w:eastAsia="宋体" w:cs="Times New Roman"/>
                <w:b/>
                <w:bCs/>
                <w:color w:val="auto"/>
                <w:kern w:val="0"/>
                <w:sz w:val="21"/>
                <w:szCs w:val="21"/>
                <w:shd w:val="clear" w:color="auto" w:fill="auto"/>
                <w:lang w:val="en-US" w:eastAsia="zh-CN"/>
              </w:rPr>
              <w:t>2、地表水环境</w:t>
            </w:r>
          </w:p>
          <w:p w14:paraId="529A6A41">
            <w:pPr>
              <w:adjustRightInd w:val="0"/>
              <w:snapToGrid w:val="0"/>
              <w:spacing w:line="360" w:lineRule="auto"/>
              <w:ind w:firstLine="420" w:firstLineChars="200"/>
              <w:jc w:val="both"/>
              <w:rPr>
                <w:rFonts w:hint="default" w:ascii="Times New Roman" w:hAnsi="Times New Roman" w:eastAsia="宋体" w:cs="Times New Roman"/>
                <w:color w:val="auto"/>
                <w:kern w:val="0"/>
                <w:sz w:val="21"/>
                <w:szCs w:val="21"/>
                <w:shd w:val="clear" w:color="auto" w:fill="auto"/>
                <w:lang w:val="en-US" w:eastAsia="zh-CN"/>
              </w:rPr>
            </w:pPr>
            <w:r>
              <w:rPr>
                <w:rFonts w:hint="default" w:ascii="Times New Roman" w:hAnsi="Times New Roman" w:eastAsia="宋体" w:cs="Times New Roman"/>
                <w:color w:val="auto"/>
                <w:kern w:val="0"/>
                <w:sz w:val="21"/>
                <w:szCs w:val="21"/>
                <w:shd w:val="clear" w:color="auto" w:fill="auto"/>
                <w:lang w:val="en-US" w:eastAsia="zh-CN"/>
              </w:rPr>
              <w:t>本项目地表水环境保护目标为评价</w:t>
            </w:r>
            <w:r>
              <w:rPr>
                <w:rFonts w:hint="eastAsia" w:ascii="Times New Roman" w:hAnsi="Times New Roman" w:eastAsia="宋体" w:cs="Times New Roman"/>
                <w:color w:val="auto"/>
                <w:kern w:val="0"/>
                <w:sz w:val="21"/>
                <w:szCs w:val="21"/>
                <w:shd w:val="clear" w:color="auto" w:fill="auto"/>
                <w:lang w:val="en-US" w:eastAsia="zh-CN"/>
              </w:rPr>
              <w:t>琼江</w:t>
            </w:r>
            <w:r>
              <w:rPr>
                <w:rFonts w:hint="eastAsia" w:cs="Times New Roman"/>
                <w:color w:val="auto"/>
                <w:kern w:val="0"/>
                <w:sz w:val="21"/>
                <w:szCs w:val="21"/>
                <w:shd w:val="clear" w:color="auto" w:fill="auto"/>
                <w:lang w:val="en-US" w:eastAsia="zh-CN"/>
              </w:rPr>
              <w:t>水质</w:t>
            </w:r>
            <w:r>
              <w:rPr>
                <w:rFonts w:hint="default" w:ascii="Times New Roman" w:hAnsi="Times New Roman" w:eastAsia="宋体" w:cs="Times New Roman"/>
                <w:color w:val="auto"/>
                <w:kern w:val="0"/>
                <w:sz w:val="21"/>
                <w:szCs w:val="21"/>
                <w:shd w:val="clear" w:color="auto" w:fill="auto"/>
                <w:lang w:val="en-US" w:eastAsia="zh-CN"/>
              </w:rPr>
              <w:t>，应符合《地表水环境质量标准》（GB3838-2002）</w:t>
            </w:r>
            <w:r>
              <w:rPr>
                <w:rFonts w:hint="eastAsia" w:cs="Times New Roman"/>
                <w:color w:val="auto"/>
                <w:kern w:val="0"/>
                <w:sz w:val="21"/>
                <w:szCs w:val="21"/>
                <w:shd w:val="clear" w:color="auto" w:fill="auto"/>
                <w:lang w:val="en-US" w:eastAsia="zh-CN"/>
              </w:rPr>
              <w:t>Ⅲ类</w:t>
            </w:r>
            <w:r>
              <w:rPr>
                <w:rFonts w:hint="default" w:ascii="Times New Roman" w:hAnsi="Times New Roman" w:eastAsia="宋体" w:cs="Times New Roman"/>
                <w:color w:val="auto"/>
                <w:kern w:val="0"/>
                <w:sz w:val="21"/>
                <w:szCs w:val="21"/>
                <w:shd w:val="clear" w:color="auto" w:fill="auto"/>
                <w:lang w:val="en-US" w:eastAsia="zh-CN"/>
              </w:rPr>
              <w:t>水域标准。</w:t>
            </w:r>
          </w:p>
          <w:p w14:paraId="7E0D5FE5">
            <w:pPr>
              <w:adjustRightInd w:val="0"/>
              <w:snapToGrid w:val="0"/>
              <w:spacing w:line="360" w:lineRule="auto"/>
              <w:ind w:firstLine="422" w:firstLineChars="200"/>
              <w:jc w:val="both"/>
              <w:rPr>
                <w:rFonts w:hint="default" w:ascii="Times New Roman" w:hAnsi="Times New Roman" w:eastAsia="宋体" w:cs="Times New Roman"/>
                <w:color w:val="auto"/>
                <w:kern w:val="0"/>
                <w:sz w:val="21"/>
                <w:szCs w:val="21"/>
                <w:shd w:val="clear" w:color="auto" w:fill="auto"/>
                <w:lang w:val="en-US" w:eastAsia="zh-CN"/>
              </w:rPr>
            </w:pPr>
            <w:r>
              <w:rPr>
                <w:rFonts w:hint="default" w:ascii="Times New Roman" w:hAnsi="Times New Roman" w:eastAsia="宋体" w:cs="Times New Roman"/>
                <w:b/>
                <w:bCs/>
                <w:color w:val="auto"/>
                <w:kern w:val="0"/>
                <w:sz w:val="21"/>
                <w:szCs w:val="21"/>
                <w:shd w:val="clear" w:color="auto" w:fill="auto"/>
                <w:lang w:val="en-US" w:eastAsia="zh-CN"/>
              </w:rPr>
              <w:t>3、声环境</w:t>
            </w:r>
          </w:p>
          <w:p w14:paraId="42E2996D">
            <w:pPr>
              <w:adjustRightInd w:val="0"/>
              <w:snapToGrid w:val="0"/>
              <w:spacing w:line="360" w:lineRule="auto"/>
              <w:ind w:firstLine="420" w:firstLineChars="200"/>
              <w:jc w:val="both"/>
              <w:rPr>
                <w:rFonts w:hint="default" w:ascii="Times New Roman" w:hAnsi="Times New Roman" w:eastAsia="宋体" w:cs="Times New Roman"/>
                <w:color w:val="auto"/>
                <w:kern w:val="0"/>
                <w:sz w:val="21"/>
                <w:szCs w:val="21"/>
                <w:shd w:val="clear" w:color="auto" w:fill="auto"/>
                <w:lang w:val="en-US" w:eastAsia="zh-CN"/>
              </w:rPr>
            </w:pPr>
            <w:r>
              <w:rPr>
                <w:rFonts w:hint="default" w:ascii="Times New Roman" w:hAnsi="Times New Roman" w:eastAsia="宋体" w:cs="Times New Roman"/>
                <w:color w:val="auto"/>
                <w:kern w:val="0"/>
                <w:sz w:val="21"/>
                <w:szCs w:val="21"/>
                <w:shd w:val="clear" w:color="auto" w:fill="auto"/>
                <w:lang w:val="en-US" w:eastAsia="zh-CN"/>
              </w:rPr>
              <w:t>本项目50m范围内不存在声环境保护敏感目标，声环境保护目标为以项目所在地为中心50m范围内的声环境，应符合《声环境质量标准》（GB3096-2008）中3类标准。</w:t>
            </w:r>
          </w:p>
          <w:p w14:paraId="375F5F89">
            <w:pPr>
              <w:adjustRightInd w:val="0"/>
              <w:snapToGrid w:val="0"/>
              <w:spacing w:line="360" w:lineRule="auto"/>
              <w:ind w:firstLine="422" w:firstLineChars="200"/>
              <w:jc w:val="both"/>
              <w:rPr>
                <w:rFonts w:hint="default" w:ascii="Times New Roman" w:hAnsi="Times New Roman" w:eastAsia="宋体" w:cs="Times New Roman"/>
                <w:b/>
                <w:bCs/>
                <w:color w:val="auto"/>
                <w:kern w:val="0"/>
                <w:sz w:val="21"/>
                <w:szCs w:val="21"/>
                <w:shd w:val="clear" w:color="auto" w:fill="auto"/>
                <w:lang w:val="en-US" w:eastAsia="zh-CN"/>
              </w:rPr>
            </w:pPr>
            <w:r>
              <w:rPr>
                <w:rFonts w:hint="default" w:ascii="Times New Roman" w:hAnsi="Times New Roman" w:eastAsia="宋体" w:cs="Times New Roman"/>
                <w:b/>
                <w:bCs/>
                <w:color w:val="auto"/>
                <w:kern w:val="0"/>
                <w:sz w:val="21"/>
                <w:szCs w:val="21"/>
                <w:shd w:val="clear" w:color="auto" w:fill="auto"/>
                <w:lang w:val="en-US" w:eastAsia="zh-CN"/>
              </w:rPr>
              <w:t>4、地下水环境、土壤</w:t>
            </w:r>
          </w:p>
          <w:p w14:paraId="64F7CF9B">
            <w:pPr>
              <w:adjustRightInd w:val="0"/>
              <w:snapToGrid w:val="0"/>
              <w:spacing w:line="360" w:lineRule="auto"/>
              <w:ind w:firstLine="420" w:firstLineChars="200"/>
              <w:jc w:val="both"/>
              <w:rPr>
                <w:rFonts w:hint="default"/>
                <w:color w:val="auto"/>
                <w:sz w:val="21"/>
                <w:szCs w:val="21"/>
              </w:rPr>
            </w:pPr>
            <w:r>
              <w:rPr>
                <w:rFonts w:hint="default" w:ascii="Times New Roman" w:hAnsi="Times New Roman" w:eastAsia="宋体" w:cs="Times New Roman"/>
                <w:color w:val="auto"/>
                <w:kern w:val="0"/>
                <w:sz w:val="21"/>
                <w:szCs w:val="21"/>
                <w:shd w:val="clear" w:color="auto" w:fill="auto"/>
                <w:lang w:val="en-US" w:eastAsia="zh-CN"/>
              </w:rPr>
              <w:t>本项目位于产业园区内，周边500</w:t>
            </w:r>
            <w:r>
              <w:rPr>
                <w:rFonts w:hint="eastAsia" w:ascii="Times New Roman" w:hAnsi="Times New Roman" w:eastAsia="宋体" w:cs="Times New Roman"/>
                <w:color w:val="auto"/>
                <w:kern w:val="0"/>
                <w:sz w:val="21"/>
                <w:szCs w:val="21"/>
                <w:shd w:val="clear" w:color="auto" w:fill="auto"/>
                <w:lang w:val="en-US" w:eastAsia="zh-CN"/>
              </w:rPr>
              <w:t>m</w:t>
            </w:r>
            <w:r>
              <w:rPr>
                <w:rFonts w:hint="default" w:ascii="Times New Roman" w:hAnsi="Times New Roman" w:eastAsia="宋体" w:cs="Times New Roman"/>
                <w:color w:val="auto"/>
                <w:kern w:val="0"/>
                <w:sz w:val="21"/>
                <w:szCs w:val="21"/>
                <w:shd w:val="clear" w:color="auto" w:fill="auto"/>
                <w:lang w:val="en-US" w:eastAsia="zh-CN"/>
              </w:rPr>
              <w:t>范围内主要为工业企业</w:t>
            </w:r>
            <w:r>
              <w:rPr>
                <w:rFonts w:hint="eastAsia" w:ascii="Times New Roman" w:hAnsi="Times New Roman" w:eastAsia="宋体" w:cs="Times New Roman"/>
                <w:color w:val="auto"/>
                <w:kern w:val="0"/>
                <w:sz w:val="21"/>
                <w:szCs w:val="21"/>
                <w:shd w:val="clear" w:color="auto" w:fill="auto"/>
                <w:lang w:val="en-US" w:eastAsia="zh-CN"/>
              </w:rPr>
              <w:t>和</w:t>
            </w:r>
            <w:r>
              <w:rPr>
                <w:rFonts w:hint="eastAsia" w:cs="Times New Roman"/>
                <w:color w:val="auto"/>
                <w:kern w:val="0"/>
                <w:sz w:val="21"/>
                <w:szCs w:val="21"/>
                <w:shd w:val="clear" w:color="auto" w:fill="auto"/>
                <w:lang w:val="en-US" w:eastAsia="zh-CN"/>
              </w:rPr>
              <w:t>园区内待建空地</w:t>
            </w:r>
            <w:r>
              <w:rPr>
                <w:rFonts w:hint="default" w:ascii="Times New Roman" w:hAnsi="Times New Roman" w:eastAsia="宋体" w:cs="Times New Roman"/>
                <w:color w:val="auto"/>
                <w:kern w:val="0"/>
                <w:sz w:val="21"/>
                <w:szCs w:val="21"/>
                <w:shd w:val="clear" w:color="auto" w:fill="auto"/>
                <w:lang w:val="en-US" w:eastAsia="zh-CN"/>
              </w:rPr>
              <w:t>，用水均为园区自来水管网供给，无地下水集中式饮用水水源和热水、矿泉水、温泉等特殊地下水资源；同时项目周边用地均为园区规划的工业用地，不存在耕地等土壤环境保护目标。</w:t>
            </w:r>
          </w:p>
          <w:p w14:paraId="74F22CB8">
            <w:pPr>
              <w:pStyle w:val="29"/>
              <w:spacing w:after="0" w:line="360" w:lineRule="auto"/>
              <w:ind w:left="0" w:leftChars="0" w:firstLine="420" w:firstLineChars="200"/>
              <w:rPr>
                <w:rFonts w:hint="default" w:ascii="Times New Roman" w:hAnsi="Times New Roman" w:eastAsia="宋体" w:cs="Times New Roman"/>
                <w:bCs/>
                <w:color w:val="auto"/>
                <w:kern w:val="2"/>
                <w:sz w:val="21"/>
                <w:szCs w:val="21"/>
              </w:rPr>
            </w:pPr>
            <w:r>
              <w:rPr>
                <w:rFonts w:hint="default" w:ascii="Times New Roman" w:hAnsi="Times New Roman" w:eastAsia="宋体" w:cs="Times New Roman"/>
                <w:bCs/>
                <w:color w:val="auto"/>
                <w:kern w:val="2"/>
                <w:sz w:val="21"/>
                <w:szCs w:val="21"/>
              </w:rPr>
              <w:t>根据分析，本次评价环境保护目标见表3-</w:t>
            </w:r>
            <w:r>
              <w:rPr>
                <w:rFonts w:hint="eastAsia" w:cs="Times New Roman"/>
                <w:bCs/>
                <w:color w:val="auto"/>
                <w:kern w:val="2"/>
                <w:sz w:val="21"/>
                <w:szCs w:val="21"/>
                <w:lang w:val="en-US" w:eastAsia="zh-CN"/>
              </w:rPr>
              <w:t>5</w:t>
            </w:r>
            <w:r>
              <w:rPr>
                <w:rFonts w:hint="default" w:ascii="Times New Roman" w:hAnsi="Times New Roman" w:eastAsia="宋体" w:cs="Times New Roman"/>
                <w:bCs/>
                <w:color w:val="auto"/>
                <w:kern w:val="2"/>
                <w:sz w:val="21"/>
                <w:szCs w:val="21"/>
              </w:rPr>
              <w:t>：</w:t>
            </w:r>
          </w:p>
          <w:p w14:paraId="5340377C">
            <w:pPr>
              <w:snapToGrid w:val="0"/>
              <w:spacing w:before="120" w:beforeLines="50"/>
              <w:jc w:val="center"/>
              <w:rPr>
                <w:rFonts w:hint="default"/>
                <w:b/>
                <w:color w:val="auto"/>
                <w:sz w:val="21"/>
                <w:szCs w:val="21"/>
                <w:lang w:eastAsia="zh-CN"/>
              </w:rPr>
            </w:pPr>
            <w:r>
              <w:rPr>
                <w:rFonts w:hint="default"/>
                <w:b/>
                <w:color w:val="auto"/>
                <w:sz w:val="21"/>
                <w:szCs w:val="21"/>
                <w:lang w:eastAsia="zh-CN"/>
              </w:rPr>
              <w:t>表3-</w:t>
            </w:r>
            <w:r>
              <w:rPr>
                <w:rFonts w:hint="eastAsia"/>
                <w:b/>
                <w:color w:val="auto"/>
                <w:sz w:val="21"/>
                <w:szCs w:val="21"/>
                <w:lang w:val="en-US" w:eastAsia="zh-CN"/>
              </w:rPr>
              <w:t>5</w:t>
            </w:r>
            <w:r>
              <w:rPr>
                <w:rFonts w:hint="default"/>
                <w:b/>
                <w:color w:val="auto"/>
                <w:sz w:val="21"/>
                <w:szCs w:val="21"/>
                <w:lang w:eastAsia="zh-CN"/>
              </w:rPr>
              <w:t xml:space="preserve"> 主要环境保护目标一览表</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1427"/>
              <w:gridCol w:w="1614"/>
              <w:gridCol w:w="1154"/>
              <w:gridCol w:w="2315"/>
            </w:tblGrid>
            <w:tr w14:paraId="7DAB7D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49" w:type="pct"/>
                  <w:noWrap w:val="0"/>
                  <w:vAlign w:val="center"/>
                </w:tcPr>
                <w:p w14:paraId="47F90F49">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环境保护要素</w:t>
                  </w:r>
                </w:p>
              </w:tc>
              <w:tc>
                <w:tcPr>
                  <w:tcW w:w="888" w:type="pct"/>
                  <w:noWrap w:val="0"/>
                  <w:vAlign w:val="center"/>
                </w:tcPr>
                <w:p w14:paraId="40BDF8C8">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保护目标</w:t>
                  </w:r>
                </w:p>
              </w:tc>
              <w:tc>
                <w:tcPr>
                  <w:tcW w:w="1004" w:type="pct"/>
                  <w:noWrap w:val="0"/>
                  <w:vAlign w:val="center"/>
                </w:tcPr>
                <w:p w14:paraId="3264C971">
                  <w:pPr>
                    <w:jc w:val="center"/>
                    <w:rPr>
                      <w:rFonts w:hint="default" w:ascii="Times New Roman" w:hAnsi="Times New Roman" w:eastAsia="宋体" w:cs="Times New Roman"/>
                      <w:b/>
                      <w:bCs/>
                      <w:color w:val="auto"/>
                      <w:sz w:val="21"/>
                      <w:szCs w:val="21"/>
                    </w:rPr>
                  </w:pPr>
                  <w:r>
                    <w:rPr>
                      <w:rFonts w:hint="eastAsia"/>
                      <w:b/>
                      <w:color w:val="auto"/>
                      <w:sz w:val="21"/>
                      <w:szCs w:val="21"/>
                      <w:lang w:val="en-US" w:eastAsia="zh-CN"/>
                    </w:rPr>
                    <w:t>与厂界的</w:t>
                  </w:r>
                  <w:r>
                    <w:rPr>
                      <w:b/>
                      <w:color w:val="auto"/>
                      <w:sz w:val="21"/>
                      <w:szCs w:val="21"/>
                    </w:rPr>
                    <w:t>相对位置</w:t>
                  </w:r>
                </w:p>
              </w:tc>
              <w:tc>
                <w:tcPr>
                  <w:tcW w:w="718" w:type="pct"/>
                  <w:noWrap w:val="0"/>
                  <w:vAlign w:val="center"/>
                </w:tcPr>
                <w:p w14:paraId="19A3A026">
                  <w:pPr>
                    <w:jc w:val="center"/>
                    <w:rPr>
                      <w:rFonts w:hint="default" w:ascii="Times New Roman" w:hAnsi="Times New Roman" w:eastAsia="宋体" w:cs="Times New Roman"/>
                      <w:b/>
                      <w:bCs/>
                      <w:color w:val="auto"/>
                      <w:sz w:val="21"/>
                      <w:szCs w:val="21"/>
                    </w:rPr>
                  </w:pPr>
                  <w:r>
                    <w:rPr>
                      <w:b/>
                      <w:color w:val="auto"/>
                      <w:sz w:val="21"/>
                      <w:szCs w:val="21"/>
                    </w:rPr>
                    <w:t>性质及规模</w:t>
                  </w:r>
                </w:p>
              </w:tc>
              <w:tc>
                <w:tcPr>
                  <w:tcW w:w="1440" w:type="pct"/>
                  <w:noWrap w:val="0"/>
                  <w:vAlign w:val="center"/>
                </w:tcPr>
                <w:p w14:paraId="22E3C81E">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环境功能</w:t>
                  </w:r>
                </w:p>
              </w:tc>
            </w:tr>
            <w:tr w14:paraId="436946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949" w:type="pct"/>
                  <w:noWrap w:val="0"/>
                  <w:vAlign w:val="center"/>
                </w:tcPr>
                <w:p w14:paraId="4AA9C4D3">
                  <w:pPr>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大气环境</w:t>
                  </w:r>
                </w:p>
              </w:tc>
              <w:tc>
                <w:tcPr>
                  <w:tcW w:w="2610" w:type="pct"/>
                  <w:gridSpan w:val="3"/>
                  <w:noWrap w:val="0"/>
                  <w:vAlign w:val="center"/>
                </w:tcPr>
                <w:p w14:paraId="70F49008">
                  <w:pPr>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厂界外500m范围内无大气环境保护目标</w:t>
                  </w:r>
                </w:p>
              </w:tc>
              <w:tc>
                <w:tcPr>
                  <w:tcW w:w="1440" w:type="pct"/>
                  <w:noWrap w:val="0"/>
                  <w:vAlign w:val="center"/>
                </w:tcPr>
                <w:p w14:paraId="62C58F3C">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《环境空气质量标准》GB3095-2012中二级标准</w:t>
                  </w:r>
                </w:p>
              </w:tc>
            </w:tr>
            <w:tr w14:paraId="7A5F50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49" w:type="pct"/>
                  <w:noWrap w:val="0"/>
                  <w:vAlign w:val="center"/>
                </w:tcPr>
                <w:p w14:paraId="3E66717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w:t>
                  </w:r>
                </w:p>
              </w:tc>
              <w:tc>
                <w:tcPr>
                  <w:tcW w:w="2610" w:type="pct"/>
                  <w:gridSpan w:val="3"/>
                  <w:noWrap w:val="0"/>
                  <w:vAlign w:val="center"/>
                </w:tcPr>
                <w:p w14:paraId="68AD8316">
                  <w:pPr>
                    <w:jc w:val="center"/>
                    <w:rPr>
                      <w:rFonts w:hint="default" w:ascii="Times New Roman" w:hAnsi="Times New Roman" w:eastAsia="宋体" w:cs="Times New Roman"/>
                      <w:color w:val="auto"/>
                      <w:sz w:val="21"/>
                      <w:szCs w:val="21"/>
                      <w:lang w:eastAsia="zh-CN"/>
                    </w:rPr>
                  </w:pPr>
                  <w:r>
                    <w:rPr>
                      <w:rFonts w:hint="eastAsia"/>
                      <w:color w:val="auto"/>
                      <w:sz w:val="21"/>
                      <w:szCs w:val="21"/>
                      <w:lang w:val="en-US" w:eastAsia="zh-CN"/>
                    </w:rPr>
                    <w:t>厂界外50m范围内无声环境保护目标</w:t>
                  </w:r>
                </w:p>
              </w:tc>
              <w:tc>
                <w:tcPr>
                  <w:tcW w:w="1440" w:type="pct"/>
                  <w:noWrap w:val="0"/>
                  <w:vAlign w:val="center"/>
                </w:tcPr>
                <w:p w14:paraId="6B48709F">
                  <w:pPr>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《声环境质量标准》（GB3096-2008）</w:t>
                  </w: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类</w:t>
                  </w:r>
                  <w:r>
                    <w:rPr>
                      <w:rFonts w:hint="eastAsia" w:ascii="Times New Roman" w:hAnsi="Times New Roman" w:eastAsia="宋体" w:cs="Times New Roman"/>
                      <w:color w:val="auto"/>
                      <w:sz w:val="21"/>
                      <w:szCs w:val="21"/>
                      <w:lang w:val="en-US" w:eastAsia="zh-CN"/>
                    </w:rPr>
                    <w:t>标准</w:t>
                  </w:r>
                </w:p>
              </w:tc>
            </w:tr>
            <w:tr w14:paraId="3DEF78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49" w:type="pct"/>
                  <w:vMerge w:val="restart"/>
                  <w:noWrap w:val="0"/>
                  <w:vAlign w:val="center"/>
                </w:tcPr>
                <w:p w14:paraId="642016AA">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地表水</w:t>
                  </w:r>
                </w:p>
              </w:tc>
              <w:tc>
                <w:tcPr>
                  <w:tcW w:w="888" w:type="pct"/>
                  <w:noWrap w:val="0"/>
                  <w:vAlign w:val="center"/>
                </w:tcPr>
                <w:p w14:paraId="334DCA8A">
                  <w:pPr>
                    <w:jc w:val="center"/>
                    <w:rPr>
                      <w:rFonts w:hint="default" w:ascii="Times New Roman" w:hAnsi="Times New Roman" w:eastAsia="宋体" w:cs="Times New Roman"/>
                      <w:color w:val="auto"/>
                      <w:sz w:val="21"/>
                      <w:szCs w:val="21"/>
                      <w:lang w:eastAsia="zh-CN"/>
                    </w:rPr>
                  </w:pPr>
                  <w:r>
                    <w:rPr>
                      <w:rFonts w:hint="eastAsia"/>
                      <w:color w:val="auto"/>
                      <w:sz w:val="21"/>
                      <w:szCs w:val="21"/>
                      <w:lang w:val="en-US" w:eastAsia="zh-CN"/>
                    </w:rPr>
                    <w:t>玉丰河</w:t>
                  </w:r>
                </w:p>
              </w:tc>
              <w:tc>
                <w:tcPr>
                  <w:tcW w:w="1004" w:type="pct"/>
                  <w:noWrap w:val="0"/>
                  <w:vAlign w:val="center"/>
                </w:tcPr>
                <w:p w14:paraId="4AC7C19B">
                  <w:pPr>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厂界西侧</w:t>
                  </w:r>
                </w:p>
              </w:tc>
              <w:tc>
                <w:tcPr>
                  <w:tcW w:w="718" w:type="pct"/>
                  <w:noWrap w:val="0"/>
                  <w:vAlign w:val="center"/>
                </w:tcPr>
                <w:p w14:paraId="622F5AEA">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r>
                    <w:rPr>
                      <w:rFonts w:hint="eastAsia" w:cs="Times New Roman"/>
                      <w:color w:val="auto"/>
                      <w:sz w:val="21"/>
                      <w:szCs w:val="21"/>
                      <w:lang w:val="en-US" w:eastAsia="zh-CN"/>
                    </w:rPr>
                    <w:t>194</w:t>
                  </w:r>
                  <w:r>
                    <w:rPr>
                      <w:rFonts w:hint="eastAsia" w:ascii="Times New Roman" w:hAnsi="Times New Roman" w:eastAsia="宋体" w:cs="Times New Roman"/>
                      <w:color w:val="auto"/>
                      <w:sz w:val="21"/>
                      <w:szCs w:val="21"/>
                      <w:lang w:val="en-US" w:eastAsia="zh-CN"/>
                    </w:rPr>
                    <w:t>m</w:t>
                  </w:r>
                </w:p>
              </w:tc>
              <w:tc>
                <w:tcPr>
                  <w:tcW w:w="1440" w:type="pct"/>
                  <w:vMerge w:val="restart"/>
                  <w:noWrap w:val="0"/>
                  <w:vAlign w:val="center"/>
                </w:tcPr>
                <w:p w14:paraId="06F3862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满足《地表水环</w:t>
                  </w:r>
                  <w:r>
                    <w:rPr>
                      <w:rFonts w:hint="eastAsia" w:cs="Times New Roman"/>
                      <w:color w:val="auto"/>
                      <w:sz w:val="21"/>
                      <w:szCs w:val="21"/>
                      <w:lang w:eastAsia="zh-CN"/>
                    </w:rPr>
                    <w:t>境质</w:t>
                  </w:r>
                  <w:r>
                    <w:rPr>
                      <w:rFonts w:hint="default" w:ascii="Times New Roman" w:hAnsi="Times New Roman" w:eastAsia="宋体" w:cs="Times New Roman"/>
                      <w:color w:val="auto"/>
                      <w:sz w:val="21"/>
                      <w:szCs w:val="21"/>
                    </w:rPr>
                    <w:t>量标准》（GB3838-2002）中Ⅲ类标准</w:t>
                  </w:r>
                </w:p>
              </w:tc>
            </w:tr>
            <w:tr w14:paraId="24BC44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49" w:type="pct"/>
                  <w:vMerge w:val="continue"/>
                  <w:noWrap w:val="0"/>
                  <w:vAlign w:val="center"/>
                </w:tcPr>
                <w:p w14:paraId="31E647CE">
                  <w:pPr>
                    <w:jc w:val="center"/>
                    <w:rPr>
                      <w:rFonts w:hint="default" w:ascii="Times New Roman" w:hAnsi="Times New Roman" w:eastAsia="宋体" w:cs="Times New Roman"/>
                      <w:color w:val="auto"/>
                      <w:sz w:val="21"/>
                      <w:szCs w:val="21"/>
                      <w:lang w:eastAsia="zh-CN"/>
                    </w:rPr>
                  </w:pPr>
                </w:p>
              </w:tc>
              <w:tc>
                <w:tcPr>
                  <w:tcW w:w="888" w:type="pct"/>
                  <w:noWrap w:val="0"/>
                  <w:vAlign w:val="center"/>
                </w:tcPr>
                <w:p w14:paraId="7C86E90D">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琼江</w:t>
                  </w:r>
                </w:p>
              </w:tc>
              <w:tc>
                <w:tcPr>
                  <w:tcW w:w="1004" w:type="pct"/>
                  <w:noWrap w:val="0"/>
                  <w:vAlign w:val="center"/>
                </w:tcPr>
                <w:p w14:paraId="69713D9A">
                  <w:pPr>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厂界西南侧</w:t>
                  </w:r>
                </w:p>
              </w:tc>
              <w:tc>
                <w:tcPr>
                  <w:tcW w:w="718" w:type="pct"/>
                  <w:noWrap w:val="0"/>
                  <w:vAlign w:val="center"/>
                </w:tcPr>
                <w:p w14:paraId="71320325">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2110</w:t>
                  </w:r>
                  <w:r>
                    <w:rPr>
                      <w:rFonts w:hint="eastAsia" w:ascii="Times New Roman" w:hAnsi="Times New Roman" w:eastAsia="宋体" w:cs="Times New Roman"/>
                      <w:color w:val="auto"/>
                      <w:sz w:val="21"/>
                      <w:szCs w:val="21"/>
                      <w:lang w:val="en-US" w:eastAsia="zh-CN"/>
                    </w:rPr>
                    <w:t>m</w:t>
                  </w:r>
                </w:p>
              </w:tc>
              <w:tc>
                <w:tcPr>
                  <w:tcW w:w="1440" w:type="pct"/>
                  <w:vMerge w:val="continue"/>
                  <w:noWrap w:val="0"/>
                  <w:vAlign w:val="center"/>
                </w:tcPr>
                <w:p w14:paraId="7685867C">
                  <w:pPr>
                    <w:jc w:val="center"/>
                    <w:rPr>
                      <w:rFonts w:hint="default" w:ascii="Times New Roman" w:hAnsi="Times New Roman" w:eastAsia="宋体" w:cs="Times New Roman"/>
                      <w:color w:val="auto"/>
                      <w:sz w:val="21"/>
                      <w:szCs w:val="21"/>
                    </w:rPr>
                  </w:pPr>
                </w:p>
              </w:tc>
            </w:tr>
            <w:tr w14:paraId="38B166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49" w:type="pct"/>
                  <w:noWrap w:val="0"/>
                  <w:vAlign w:val="center"/>
                </w:tcPr>
                <w:p w14:paraId="528A89E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地下水环境</w:t>
                  </w:r>
                </w:p>
              </w:tc>
              <w:tc>
                <w:tcPr>
                  <w:tcW w:w="2610" w:type="pct"/>
                  <w:gridSpan w:val="3"/>
                  <w:noWrap w:val="0"/>
                  <w:vAlign w:val="center"/>
                </w:tcPr>
                <w:p w14:paraId="045E5BB6">
                  <w:pPr>
                    <w:jc w:val="center"/>
                    <w:rPr>
                      <w:rFonts w:hint="default" w:ascii="Times New Roman" w:hAnsi="Times New Roman" w:eastAsia="宋体" w:cs="Times New Roman"/>
                      <w:color w:val="auto"/>
                      <w:sz w:val="21"/>
                      <w:szCs w:val="21"/>
                      <w:lang w:eastAsia="zh-CN"/>
                    </w:rPr>
                  </w:pPr>
                  <w:r>
                    <w:rPr>
                      <w:rFonts w:hint="eastAsia"/>
                      <w:color w:val="auto"/>
                      <w:sz w:val="21"/>
                      <w:szCs w:val="21"/>
                      <w:lang w:val="en-US" w:eastAsia="zh-CN"/>
                    </w:rPr>
                    <w:t>项目厂界外500米范围内无地下水集中式饮用水水源和热水、矿泉水、温泉等特殊地下水资源</w:t>
                  </w:r>
                </w:p>
              </w:tc>
              <w:tc>
                <w:tcPr>
                  <w:tcW w:w="1440" w:type="pct"/>
                  <w:noWrap w:val="0"/>
                  <w:vAlign w:val="center"/>
                </w:tcPr>
                <w:p w14:paraId="7C58E402">
                  <w:pPr>
                    <w:jc w:val="center"/>
                    <w:rPr>
                      <w:rFonts w:hint="default" w:ascii="Times New Roman" w:hAnsi="Times New Roman" w:eastAsia="宋体" w:cs="Times New Roman"/>
                      <w:color w:val="auto"/>
                      <w:sz w:val="21"/>
                      <w:szCs w:val="21"/>
                    </w:rPr>
                  </w:pPr>
                  <w:r>
                    <w:rPr>
                      <w:color w:val="auto"/>
                      <w:spacing w:val="-7"/>
                      <w:sz w:val="21"/>
                      <w:szCs w:val="21"/>
                    </w:rPr>
                    <w:t>《地下水质量标准</w:t>
                  </w:r>
                  <w:r>
                    <w:rPr>
                      <w:color w:val="auto"/>
                      <w:spacing w:val="-180"/>
                      <w:sz w:val="21"/>
                      <w:szCs w:val="21"/>
                    </w:rPr>
                    <w:t>》</w:t>
                  </w:r>
                  <w:r>
                    <w:rPr>
                      <w:color w:val="auto"/>
                      <w:spacing w:val="-4"/>
                      <w:sz w:val="21"/>
                      <w:szCs w:val="21"/>
                    </w:rPr>
                    <w:t>（</w:t>
                  </w:r>
                  <w:r>
                    <w:rPr>
                      <w:rFonts w:ascii="Times New Roman" w:eastAsia="Times New Roman"/>
                      <w:color w:val="auto"/>
                      <w:spacing w:val="-4"/>
                      <w:sz w:val="21"/>
                      <w:szCs w:val="21"/>
                    </w:rPr>
                    <w:t>GB/T14848-2017</w:t>
                  </w:r>
                  <w:r>
                    <w:rPr>
                      <w:color w:val="auto"/>
                      <w:spacing w:val="-4"/>
                      <w:sz w:val="21"/>
                      <w:szCs w:val="21"/>
                    </w:rPr>
                    <w:t>）</w:t>
                  </w:r>
                  <w:r>
                    <w:rPr>
                      <w:rFonts w:hint="eastAsia"/>
                      <w:color w:val="auto"/>
                      <w:spacing w:val="-4"/>
                      <w:sz w:val="21"/>
                      <w:szCs w:val="21"/>
                      <w:lang w:eastAsia="zh-CN"/>
                    </w:rPr>
                    <w:t>Ⅲ</w:t>
                  </w:r>
                  <w:r>
                    <w:rPr>
                      <w:rFonts w:ascii="Times New Roman" w:eastAsia="Times New Roman"/>
                      <w:color w:val="auto"/>
                      <w:spacing w:val="-4"/>
                      <w:sz w:val="21"/>
                      <w:szCs w:val="21"/>
                    </w:rPr>
                    <w:t xml:space="preserve"> </w:t>
                  </w:r>
                  <w:r>
                    <w:rPr>
                      <w:color w:val="auto"/>
                      <w:sz w:val="21"/>
                      <w:szCs w:val="21"/>
                    </w:rPr>
                    <w:t>类水域</w:t>
                  </w:r>
                </w:p>
              </w:tc>
            </w:tr>
          </w:tbl>
          <w:p w14:paraId="38DFAA3C">
            <w:pPr>
              <w:adjustRightInd w:val="0"/>
              <w:snapToGrid w:val="0"/>
              <w:spacing w:line="360" w:lineRule="auto"/>
              <w:jc w:val="left"/>
              <w:rPr>
                <w:rFonts w:hint="default" w:ascii="宋体" w:hAnsi="宋体" w:cs="宋体"/>
                <w:b/>
                <w:bCs/>
                <w:color w:val="auto"/>
                <w:kern w:val="0"/>
                <w:szCs w:val="21"/>
                <w:lang w:val="en-US" w:eastAsia="zh-CN"/>
              </w:rPr>
            </w:pPr>
          </w:p>
          <w:p w14:paraId="51E30725">
            <w:pPr>
              <w:adjustRightInd w:val="0"/>
              <w:snapToGrid w:val="0"/>
              <w:spacing w:line="360" w:lineRule="auto"/>
              <w:jc w:val="left"/>
              <w:rPr>
                <w:rFonts w:hint="default" w:ascii="宋体" w:hAnsi="宋体" w:cs="宋体"/>
                <w:b/>
                <w:bCs/>
                <w:color w:val="auto"/>
                <w:kern w:val="0"/>
                <w:szCs w:val="21"/>
                <w:lang w:val="en-US" w:eastAsia="zh-CN"/>
              </w:rPr>
            </w:pPr>
          </w:p>
          <w:p w14:paraId="33E70B98">
            <w:pPr>
              <w:bidi w:val="0"/>
              <w:rPr>
                <w:rFonts w:hint="default"/>
                <w:color w:val="auto"/>
                <w:lang w:val="en-US" w:eastAsia="zh-CN"/>
              </w:rPr>
            </w:pPr>
          </w:p>
        </w:tc>
      </w:tr>
      <w:tr w14:paraId="5323CD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4" w:hRule="atLeast"/>
          <w:jc w:val="center"/>
        </w:trPr>
        <w:tc>
          <w:tcPr>
            <w:tcW w:w="811" w:type="dxa"/>
            <w:noWrap w:val="0"/>
            <w:tcMar>
              <w:left w:w="28" w:type="dxa"/>
              <w:right w:w="28" w:type="dxa"/>
            </w:tcMar>
            <w:vAlign w:val="center"/>
          </w:tcPr>
          <w:p w14:paraId="7D784734">
            <w:pPr>
              <w:adjustRightInd w:val="0"/>
              <w:snapToGrid w:val="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污染</w:t>
            </w:r>
          </w:p>
          <w:p w14:paraId="7FFA1CF8">
            <w:pPr>
              <w:adjustRightInd w:val="0"/>
              <w:snapToGrid w:val="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物排</w:t>
            </w:r>
          </w:p>
          <w:p w14:paraId="0AD1AF8C">
            <w:pPr>
              <w:adjustRightInd w:val="0"/>
              <w:snapToGrid w:val="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放控</w:t>
            </w:r>
          </w:p>
          <w:p w14:paraId="6C44D8B9">
            <w:pPr>
              <w:adjustRightInd w:val="0"/>
              <w:snapToGrid w:val="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制标</w:t>
            </w:r>
          </w:p>
          <w:p w14:paraId="28E459BA">
            <w:pPr>
              <w:adjustRightInd w:val="0"/>
              <w:snapToGrid w:val="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准</w:t>
            </w:r>
          </w:p>
        </w:tc>
        <w:tc>
          <w:tcPr>
            <w:tcW w:w="8250" w:type="dxa"/>
            <w:noWrap w:val="0"/>
            <w:vAlign w:val="center"/>
          </w:tcPr>
          <w:p w14:paraId="42F5957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rPr>
            </w:pPr>
            <w:r>
              <w:rPr>
                <w:rFonts w:hint="eastAsia" w:ascii="宋体" w:hAnsi="宋体" w:eastAsia="宋体" w:cs="宋体"/>
                <w:b/>
                <w:bCs/>
                <w:color w:val="auto"/>
                <w:lang w:val="en-US" w:eastAsia="zh-CN"/>
              </w:rPr>
              <w:t>1、</w:t>
            </w:r>
            <w:r>
              <w:rPr>
                <w:rFonts w:hint="eastAsia" w:ascii="宋体" w:hAnsi="宋体" w:eastAsia="宋体" w:cs="宋体"/>
                <w:b/>
                <w:bCs/>
                <w:color w:val="auto"/>
              </w:rPr>
              <w:t>大气污染物排放标准</w:t>
            </w:r>
          </w:p>
          <w:p w14:paraId="58245428">
            <w:pPr>
              <w:pStyle w:val="62"/>
              <w:keepNext w:val="0"/>
              <w:keepLines w:val="0"/>
              <w:pageBreakBefore w:val="0"/>
              <w:widowControl w:val="0"/>
              <w:kinsoku/>
              <w:wordWrap/>
              <w:overflowPunct/>
              <w:topLinePunct w:val="0"/>
              <w:autoSpaceDE/>
              <w:autoSpaceDN/>
              <w:bidi w:val="0"/>
              <w:adjustRightInd/>
              <w:snapToGrid/>
              <w:spacing w:before="0" w:after="0" w:afterLines="0" w:line="360" w:lineRule="auto"/>
              <w:ind w:right="0" w:firstLine="420" w:firstLineChars="200"/>
              <w:jc w:val="left"/>
              <w:textAlignment w:val="auto"/>
              <w:outlineLvl w:val="9"/>
              <w:rPr>
                <w:rFonts w:hint="default" w:ascii="宋体" w:hAnsi="宋体" w:eastAsia="宋体" w:cs="宋体"/>
                <w:b w:val="0"/>
                <w:bCs/>
                <w:color w:val="auto"/>
                <w:lang w:val="en-US" w:eastAsia="zh-CN"/>
              </w:rPr>
            </w:pPr>
            <w:r>
              <w:rPr>
                <w:rFonts w:hint="eastAsia" w:ascii="宋体" w:hAnsi="宋体" w:eastAsia="宋体" w:cs="宋体"/>
                <w:b w:val="0"/>
                <w:bCs/>
                <w:color w:val="auto"/>
                <w:lang w:val="en-US" w:eastAsia="zh-CN"/>
              </w:rPr>
              <w:t>施工期废气排放执行《四川省施工期扬尘排放标准》（DB51/ 2682—2020）中表1标准限制要求。营运期项目无废气产生。</w:t>
            </w:r>
            <w:r>
              <w:rPr>
                <w:rFonts w:hint="default" w:ascii="宋体" w:hAnsi="宋体" w:eastAsia="宋体" w:cs="宋体"/>
                <w:b w:val="0"/>
                <w:bCs/>
                <w:color w:val="auto"/>
                <w:lang w:val="en-US" w:eastAsia="zh-CN"/>
              </w:rPr>
              <w:t>标准值见下表。</w:t>
            </w:r>
          </w:p>
          <w:p w14:paraId="02E0427A">
            <w:pPr>
              <w:pStyle w:val="48"/>
              <w:spacing w:line="240" w:lineRule="auto"/>
              <w:jc w:val="center"/>
              <w:rPr>
                <w:rFonts w:ascii="Times New Roman" w:hAnsi="Times New Roman" w:eastAsia="宋体" w:cs="Times New Roman"/>
                <w:b/>
                <w:color w:val="auto"/>
                <w:kern w:val="2"/>
                <w:sz w:val="21"/>
                <w:szCs w:val="21"/>
                <w:lang w:val="en-US" w:eastAsia="zh-CN" w:bidi="ar-SA"/>
              </w:rPr>
            </w:pPr>
            <w:r>
              <w:rPr>
                <w:rFonts w:hint="eastAsia" w:ascii="Times New Roman" w:cs="Times New Roman"/>
                <w:b/>
                <w:color w:val="auto"/>
                <w:kern w:val="2"/>
                <w:sz w:val="21"/>
                <w:szCs w:val="21"/>
                <w:lang w:val="en-US" w:eastAsia="zh-CN"/>
              </w:rPr>
              <w:t xml:space="preserve">   </w:t>
            </w:r>
            <w:r>
              <w:rPr>
                <w:rFonts w:hint="eastAsia" w:ascii="Times New Roman" w:cs="Times New Roman"/>
                <w:b/>
                <w:color w:val="auto"/>
                <w:kern w:val="2"/>
                <w:sz w:val="18"/>
                <w:szCs w:val="18"/>
                <w:lang w:val="en-US" w:eastAsia="zh-CN"/>
              </w:rPr>
              <w:t xml:space="preserve">           </w:t>
            </w:r>
            <w:r>
              <w:rPr>
                <w:rFonts w:hint="eastAsia" w:ascii="Times New Roman" w:hAnsi="Times New Roman" w:eastAsia="宋体" w:cs="Times New Roman"/>
                <w:b/>
                <w:color w:val="auto"/>
                <w:kern w:val="2"/>
                <w:sz w:val="21"/>
                <w:szCs w:val="21"/>
                <w:lang w:val="en-US" w:eastAsia="zh-CN" w:bidi="ar-SA"/>
              </w:rPr>
              <w:t xml:space="preserve"> </w:t>
            </w:r>
            <w:r>
              <w:rPr>
                <w:rFonts w:ascii="Times New Roman" w:hAnsi="Times New Roman" w:eastAsia="宋体" w:cs="Times New Roman"/>
                <w:b/>
                <w:color w:val="auto"/>
                <w:kern w:val="2"/>
                <w:sz w:val="21"/>
                <w:szCs w:val="21"/>
                <w:lang w:val="en-US" w:eastAsia="zh-CN" w:bidi="ar-SA"/>
              </w:rPr>
              <w:t>表</w:t>
            </w:r>
            <w:r>
              <w:rPr>
                <w:rFonts w:hint="eastAsia" w:ascii="Times New Roman" w:hAnsi="Times New Roman" w:eastAsia="宋体" w:cs="Times New Roman"/>
                <w:b/>
                <w:color w:val="auto"/>
                <w:kern w:val="2"/>
                <w:sz w:val="21"/>
                <w:szCs w:val="21"/>
                <w:lang w:val="en-US" w:eastAsia="zh-CN" w:bidi="ar-SA"/>
              </w:rPr>
              <w:t>3</w:t>
            </w:r>
            <w:r>
              <w:rPr>
                <w:rFonts w:ascii="Times New Roman" w:hAnsi="Times New Roman" w:eastAsia="宋体" w:cs="Times New Roman"/>
                <w:b/>
                <w:color w:val="auto"/>
                <w:kern w:val="2"/>
                <w:sz w:val="21"/>
                <w:szCs w:val="21"/>
                <w:lang w:val="en-US" w:eastAsia="zh-CN" w:bidi="ar-SA"/>
              </w:rPr>
              <w:t>-</w:t>
            </w:r>
            <w:r>
              <w:rPr>
                <w:rFonts w:hint="eastAsia" w:ascii="Times New Roman" w:hAnsi="Times New Roman" w:eastAsia="宋体" w:cs="Times New Roman"/>
                <w:b/>
                <w:color w:val="auto"/>
                <w:kern w:val="2"/>
                <w:sz w:val="21"/>
                <w:szCs w:val="21"/>
                <w:lang w:val="en-US" w:eastAsia="zh-CN" w:bidi="ar-SA"/>
              </w:rPr>
              <w:t>6</w:t>
            </w:r>
            <w:r>
              <w:rPr>
                <w:rFonts w:ascii="Times New Roman" w:hAnsi="Times New Roman" w:eastAsia="宋体" w:cs="Times New Roman"/>
                <w:b/>
                <w:color w:val="auto"/>
                <w:kern w:val="2"/>
                <w:sz w:val="21"/>
                <w:szCs w:val="21"/>
                <w:lang w:val="en-US" w:eastAsia="zh-CN" w:bidi="ar-SA"/>
              </w:rPr>
              <w:t xml:space="preserve">  </w:t>
            </w:r>
            <w:r>
              <w:rPr>
                <w:rFonts w:hint="eastAsia" w:ascii="Times New Roman" w:hAnsi="Times New Roman" w:eastAsia="宋体" w:cs="Times New Roman"/>
                <w:b/>
                <w:color w:val="auto"/>
                <w:kern w:val="2"/>
                <w:sz w:val="21"/>
                <w:szCs w:val="21"/>
                <w:lang w:val="en-US" w:eastAsia="zh-CN" w:bidi="ar-SA"/>
              </w:rPr>
              <w:t>施工期扬尘排放浓度     单位：μg</w:t>
            </w:r>
            <w:r>
              <w:rPr>
                <w:rFonts w:ascii="Times New Roman" w:hAnsi="Times New Roman" w:eastAsia="宋体" w:cs="Times New Roman"/>
                <w:b/>
                <w:color w:val="auto"/>
                <w:kern w:val="2"/>
                <w:sz w:val="21"/>
                <w:szCs w:val="21"/>
                <w:lang w:val="en-US" w:eastAsia="zh-CN" w:bidi="ar-SA"/>
              </w:rPr>
              <w:t>/m3</w:t>
            </w:r>
          </w:p>
          <w:tbl>
            <w:tblPr>
              <w:tblStyle w:val="30"/>
              <w:tblW w:w="4997"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1609"/>
              <w:gridCol w:w="810"/>
              <w:gridCol w:w="2686"/>
              <w:gridCol w:w="1602"/>
              <w:gridCol w:w="1326"/>
            </w:tblGrid>
            <w:tr w14:paraId="63F8ED0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001" w:type="pct"/>
                  <w:noWrap w:val="0"/>
                  <w:vAlign w:val="center"/>
                </w:tcPr>
                <w:p w14:paraId="51897698">
                  <w:pPr>
                    <w:snapToGrid w:val="0"/>
                    <w:spacing w:line="320" w:lineRule="exact"/>
                    <w:jc w:val="center"/>
                    <w:rPr>
                      <w:rFonts w:hint="default" w:eastAsia="宋体"/>
                      <w:color w:val="auto"/>
                      <w:spacing w:val="4"/>
                      <w:szCs w:val="21"/>
                      <w:lang w:val="en-US" w:eastAsia="zh-CN"/>
                    </w:rPr>
                  </w:pPr>
                  <w:r>
                    <w:rPr>
                      <w:rFonts w:hint="eastAsia"/>
                      <w:color w:val="auto"/>
                      <w:spacing w:val="4"/>
                      <w:szCs w:val="21"/>
                      <w:lang w:val="en-US" w:eastAsia="zh-CN"/>
                    </w:rPr>
                    <w:t>监测项目</w:t>
                  </w:r>
                </w:p>
              </w:tc>
              <w:tc>
                <w:tcPr>
                  <w:tcW w:w="504" w:type="pct"/>
                  <w:noWrap w:val="0"/>
                  <w:vAlign w:val="center"/>
                </w:tcPr>
                <w:p w14:paraId="4F524D81">
                  <w:pPr>
                    <w:snapToGrid w:val="0"/>
                    <w:spacing w:line="260" w:lineRule="exact"/>
                    <w:jc w:val="center"/>
                    <w:rPr>
                      <w:rFonts w:hint="eastAsia" w:eastAsia="宋体"/>
                      <w:color w:val="auto"/>
                      <w:spacing w:val="4"/>
                      <w:szCs w:val="21"/>
                      <w:lang w:eastAsia="zh-CN"/>
                    </w:rPr>
                  </w:pPr>
                  <w:r>
                    <w:rPr>
                      <w:rFonts w:hint="eastAsia"/>
                      <w:color w:val="auto"/>
                      <w:spacing w:val="4"/>
                      <w:szCs w:val="21"/>
                      <w:lang w:val="en-US" w:eastAsia="zh-CN"/>
                    </w:rPr>
                    <w:t>区域</w:t>
                  </w:r>
                </w:p>
              </w:tc>
              <w:tc>
                <w:tcPr>
                  <w:tcW w:w="1671" w:type="pct"/>
                  <w:noWrap w:val="0"/>
                  <w:vAlign w:val="center"/>
                </w:tcPr>
                <w:p w14:paraId="6ACFFDDB">
                  <w:pPr>
                    <w:snapToGrid w:val="0"/>
                    <w:spacing w:line="260" w:lineRule="exact"/>
                    <w:jc w:val="center"/>
                    <w:rPr>
                      <w:rFonts w:hint="default" w:eastAsia="宋体"/>
                      <w:color w:val="auto"/>
                      <w:spacing w:val="4"/>
                      <w:szCs w:val="21"/>
                      <w:lang w:val="en-US" w:eastAsia="zh-CN"/>
                    </w:rPr>
                  </w:pPr>
                  <w:r>
                    <w:rPr>
                      <w:rFonts w:hint="eastAsia"/>
                      <w:color w:val="auto"/>
                      <w:spacing w:val="4"/>
                      <w:szCs w:val="21"/>
                      <w:lang w:val="en-US" w:eastAsia="zh-CN"/>
                    </w:rPr>
                    <w:t>施工阶段</w:t>
                  </w:r>
                </w:p>
              </w:tc>
              <w:tc>
                <w:tcPr>
                  <w:tcW w:w="997" w:type="pct"/>
                  <w:noWrap w:val="0"/>
                  <w:vAlign w:val="center"/>
                </w:tcPr>
                <w:p w14:paraId="2C4CFACA">
                  <w:pPr>
                    <w:snapToGrid w:val="0"/>
                    <w:spacing w:line="260" w:lineRule="exact"/>
                    <w:jc w:val="center"/>
                    <w:rPr>
                      <w:rFonts w:hint="default" w:eastAsia="宋体"/>
                      <w:color w:val="auto"/>
                      <w:spacing w:val="4"/>
                      <w:szCs w:val="21"/>
                      <w:lang w:val="en-US" w:eastAsia="zh-CN"/>
                    </w:rPr>
                  </w:pPr>
                  <w:r>
                    <w:rPr>
                      <w:rFonts w:hint="eastAsia"/>
                      <w:color w:val="auto"/>
                      <w:spacing w:val="4"/>
                      <w:szCs w:val="21"/>
                      <w:lang w:val="en-US" w:eastAsia="zh-CN"/>
                    </w:rPr>
                    <w:t>监测点排放限值</w:t>
                  </w:r>
                </w:p>
              </w:tc>
              <w:tc>
                <w:tcPr>
                  <w:tcW w:w="825" w:type="pct"/>
                  <w:noWrap w:val="0"/>
                  <w:vAlign w:val="center"/>
                </w:tcPr>
                <w:p w14:paraId="54E4CC28">
                  <w:pPr>
                    <w:snapToGrid w:val="0"/>
                    <w:spacing w:line="260" w:lineRule="exact"/>
                    <w:jc w:val="center"/>
                    <w:rPr>
                      <w:rFonts w:hint="default" w:eastAsia="宋体"/>
                      <w:color w:val="auto"/>
                      <w:spacing w:val="4"/>
                      <w:szCs w:val="21"/>
                      <w:lang w:val="en-US" w:eastAsia="zh-CN"/>
                    </w:rPr>
                  </w:pPr>
                  <w:r>
                    <w:rPr>
                      <w:rFonts w:hint="eastAsia"/>
                      <w:color w:val="auto"/>
                      <w:spacing w:val="4"/>
                      <w:szCs w:val="21"/>
                      <w:lang w:val="en-US" w:eastAsia="zh-CN"/>
                    </w:rPr>
                    <w:t>监测时间</w:t>
                  </w:r>
                </w:p>
              </w:tc>
            </w:tr>
            <w:tr w14:paraId="55E73F5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21" w:hRule="atLeast"/>
                <w:jc w:val="center"/>
              </w:trPr>
              <w:tc>
                <w:tcPr>
                  <w:tcW w:w="1001" w:type="pct"/>
                  <w:vMerge w:val="restart"/>
                  <w:noWrap w:val="0"/>
                  <w:vAlign w:val="center"/>
                </w:tcPr>
                <w:p w14:paraId="5515A82B">
                  <w:pPr>
                    <w:snapToGrid w:val="0"/>
                    <w:spacing w:line="320" w:lineRule="exact"/>
                    <w:jc w:val="center"/>
                    <w:rPr>
                      <w:rFonts w:hint="default" w:eastAsia="宋体"/>
                      <w:color w:val="auto"/>
                      <w:spacing w:val="4"/>
                      <w:szCs w:val="21"/>
                      <w:lang w:val="en-US" w:eastAsia="zh-CN"/>
                    </w:rPr>
                  </w:pPr>
                  <w:r>
                    <w:rPr>
                      <w:rFonts w:hint="eastAsia"/>
                      <w:color w:val="auto"/>
                      <w:spacing w:val="4"/>
                      <w:szCs w:val="21"/>
                      <w:lang w:val="en-US" w:eastAsia="zh-CN"/>
                    </w:rPr>
                    <w:t>总悬浮颗粒物（TSP）</w:t>
                  </w:r>
                </w:p>
              </w:tc>
              <w:tc>
                <w:tcPr>
                  <w:tcW w:w="504" w:type="pct"/>
                  <w:vMerge w:val="restart"/>
                  <w:noWrap w:val="0"/>
                  <w:vAlign w:val="center"/>
                </w:tcPr>
                <w:p w14:paraId="15331D49">
                  <w:pPr>
                    <w:snapToGrid w:val="0"/>
                    <w:spacing w:line="320" w:lineRule="exact"/>
                    <w:jc w:val="center"/>
                    <w:rPr>
                      <w:rFonts w:hint="default" w:eastAsia="宋体"/>
                      <w:color w:val="auto"/>
                      <w:spacing w:val="4"/>
                      <w:szCs w:val="21"/>
                      <w:lang w:val="en-US" w:eastAsia="zh-CN"/>
                    </w:rPr>
                  </w:pPr>
                  <w:r>
                    <w:rPr>
                      <w:rFonts w:hint="eastAsia"/>
                      <w:color w:val="auto"/>
                      <w:spacing w:val="4"/>
                      <w:szCs w:val="21"/>
                      <w:lang w:val="en-US" w:eastAsia="zh-CN"/>
                    </w:rPr>
                    <w:t>遂宁市</w:t>
                  </w:r>
                </w:p>
              </w:tc>
              <w:tc>
                <w:tcPr>
                  <w:tcW w:w="1671" w:type="pct"/>
                  <w:noWrap w:val="0"/>
                  <w:vAlign w:val="center"/>
                </w:tcPr>
                <w:p w14:paraId="3256E383">
                  <w:pPr>
                    <w:keepNext w:val="0"/>
                    <w:keepLines w:val="0"/>
                    <w:widowControl/>
                    <w:suppressLineNumbers w:val="0"/>
                    <w:jc w:val="center"/>
                    <w:rPr>
                      <w:color w:val="auto"/>
                      <w:spacing w:val="4"/>
                      <w:szCs w:val="21"/>
                    </w:rPr>
                  </w:pPr>
                  <w:r>
                    <w:rPr>
                      <w:rFonts w:hint="eastAsia" w:ascii="宋体" w:hAnsi="宋体" w:eastAsia="宋体" w:cs="宋体"/>
                      <w:color w:val="auto"/>
                      <w:kern w:val="0"/>
                      <w:sz w:val="18"/>
                      <w:szCs w:val="18"/>
                      <w:lang w:val="en-US" w:eastAsia="zh-CN" w:bidi="ar"/>
                    </w:rPr>
                    <w:t>拆除工程/土方开挖/土方回填阶段</w:t>
                  </w:r>
                </w:p>
              </w:tc>
              <w:tc>
                <w:tcPr>
                  <w:tcW w:w="997" w:type="pct"/>
                  <w:noWrap w:val="0"/>
                  <w:vAlign w:val="center"/>
                </w:tcPr>
                <w:p w14:paraId="0D8C0FAA">
                  <w:pPr>
                    <w:snapToGrid w:val="0"/>
                    <w:spacing w:line="320" w:lineRule="exact"/>
                    <w:jc w:val="center"/>
                    <w:rPr>
                      <w:rFonts w:hint="default" w:eastAsia="宋体"/>
                      <w:color w:val="auto"/>
                      <w:spacing w:val="4"/>
                      <w:szCs w:val="21"/>
                      <w:lang w:val="en-US" w:eastAsia="zh-CN"/>
                    </w:rPr>
                  </w:pPr>
                  <w:r>
                    <w:rPr>
                      <w:rFonts w:hint="eastAsia"/>
                      <w:color w:val="auto"/>
                      <w:spacing w:val="4"/>
                      <w:szCs w:val="21"/>
                      <w:lang w:val="en-US" w:eastAsia="zh-CN"/>
                    </w:rPr>
                    <w:t>600</w:t>
                  </w:r>
                </w:p>
              </w:tc>
              <w:tc>
                <w:tcPr>
                  <w:tcW w:w="825" w:type="pct"/>
                  <w:vMerge w:val="restart"/>
                  <w:noWrap w:val="0"/>
                  <w:vAlign w:val="center"/>
                </w:tcPr>
                <w:p w14:paraId="7CAD2950">
                  <w:pPr>
                    <w:keepNext w:val="0"/>
                    <w:keepLines w:val="0"/>
                    <w:widowControl/>
                    <w:suppressLineNumbers w:val="0"/>
                    <w:jc w:val="center"/>
                    <w:rPr>
                      <w:color w:val="auto"/>
                    </w:rPr>
                  </w:pPr>
                  <w:r>
                    <w:rPr>
                      <w:rFonts w:hint="eastAsia" w:ascii="宋体" w:hAnsi="宋体" w:eastAsia="宋体" w:cs="宋体"/>
                      <w:color w:val="auto"/>
                      <w:kern w:val="0"/>
                      <w:sz w:val="18"/>
                      <w:szCs w:val="18"/>
                      <w:lang w:val="en-US" w:eastAsia="zh-CN" w:bidi="ar"/>
                    </w:rPr>
                    <w:t>自</w:t>
                  </w:r>
                  <w:r>
                    <w:rPr>
                      <w:rFonts w:hint="eastAsia" w:ascii="宋体" w:hAnsi="宋体" w:eastAsia="宋体" w:cs="宋体"/>
                      <w:color w:val="auto"/>
                      <w:kern w:val="0"/>
                      <w:sz w:val="18"/>
                      <w:szCs w:val="18"/>
                      <w:highlight w:val="none"/>
                      <w:lang w:val="en-US" w:eastAsia="zh-CN" w:bidi="ar"/>
                    </w:rPr>
                    <w:t>监测起</w:t>
                  </w:r>
                  <w:r>
                    <w:rPr>
                      <w:rFonts w:hint="eastAsia" w:ascii="宋体" w:hAnsi="宋体" w:eastAsia="宋体" w:cs="宋体"/>
                      <w:color w:val="auto"/>
                      <w:kern w:val="0"/>
                      <w:sz w:val="18"/>
                      <w:szCs w:val="18"/>
                      <w:lang w:val="en-US" w:eastAsia="zh-CN" w:bidi="ar"/>
                    </w:rPr>
                    <w:t>持续</w:t>
                  </w:r>
                </w:p>
                <w:p w14:paraId="3B644D82">
                  <w:pPr>
                    <w:keepNext w:val="0"/>
                    <w:keepLines w:val="0"/>
                    <w:widowControl/>
                    <w:suppressLineNumbers w:val="0"/>
                    <w:jc w:val="center"/>
                    <w:rPr>
                      <w:rFonts w:hint="eastAsia"/>
                      <w:color w:val="auto"/>
                      <w:spacing w:val="4"/>
                      <w:szCs w:val="21"/>
                    </w:rPr>
                  </w:pPr>
                  <w:r>
                    <w:rPr>
                      <w:rFonts w:hint="eastAsia" w:ascii="宋体" w:hAnsi="宋体" w:eastAsia="宋体" w:cs="宋体"/>
                      <w:color w:val="auto"/>
                      <w:kern w:val="0"/>
                      <w:sz w:val="18"/>
                      <w:szCs w:val="18"/>
                      <w:lang w:val="en-US" w:eastAsia="zh-CN" w:bidi="ar"/>
                    </w:rPr>
                    <w:t>15 分钟</w:t>
                  </w:r>
                </w:p>
              </w:tc>
            </w:tr>
            <w:tr w14:paraId="490A3B1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21" w:hRule="atLeast"/>
                <w:jc w:val="center"/>
              </w:trPr>
              <w:tc>
                <w:tcPr>
                  <w:tcW w:w="1001" w:type="pct"/>
                  <w:vMerge w:val="continue"/>
                  <w:noWrap w:val="0"/>
                  <w:vAlign w:val="center"/>
                </w:tcPr>
                <w:p w14:paraId="3187DE8A">
                  <w:pPr>
                    <w:snapToGrid w:val="0"/>
                    <w:spacing w:line="320" w:lineRule="exact"/>
                    <w:jc w:val="center"/>
                    <w:rPr>
                      <w:rFonts w:hint="eastAsia"/>
                      <w:color w:val="auto"/>
                      <w:spacing w:val="4"/>
                      <w:szCs w:val="21"/>
                    </w:rPr>
                  </w:pPr>
                </w:p>
              </w:tc>
              <w:tc>
                <w:tcPr>
                  <w:tcW w:w="504" w:type="pct"/>
                  <w:vMerge w:val="continue"/>
                  <w:noWrap w:val="0"/>
                  <w:vAlign w:val="center"/>
                </w:tcPr>
                <w:p w14:paraId="40AD30C4">
                  <w:pPr>
                    <w:snapToGrid w:val="0"/>
                    <w:spacing w:line="320" w:lineRule="exact"/>
                    <w:jc w:val="center"/>
                    <w:rPr>
                      <w:rFonts w:hint="eastAsia"/>
                      <w:color w:val="auto"/>
                      <w:spacing w:val="4"/>
                      <w:szCs w:val="21"/>
                    </w:rPr>
                  </w:pPr>
                </w:p>
              </w:tc>
              <w:tc>
                <w:tcPr>
                  <w:tcW w:w="1671" w:type="pct"/>
                  <w:noWrap w:val="0"/>
                  <w:vAlign w:val="center"/>
                </w:tcPr>
                <w:p w14:paraId="36446C8A">
                  <w:pPr>
                    <w:keepNext w:val="0"/>
                    <w:keepLines w:val="0"/>
                    <w:widowControl/>
                    <w:suppressLineNumbers w:val="0"/>
                    <w:jc w:val="center"/>
                    <w:rPr>
                      <w:color w:val="auto"/>
                      <w:spacing w:val="4"/>
                      <w:szCs w:val="21"/>
                    </w:rPr>
                  </w:pPr>
                  <w:r>
                    <w:rPr>
                      <w:rFonts w:hint="eastAsia" w:ascii="宋体" w:hAnsi="宋体" w:eastAsia="宋体" w:cs="宋体"/>
                      <w:color w:val="auto"/>
                      <w:kern w:val="0"/>
                      <w:sz w:val="18"/>
                      <w:szCs w:val="18"/>
                      <w:lang w:val="en-US" w:eastAsia="zh-CN" w:bidi="ar"/>
                    </w:rPr>
                    <w:t>其他工程阶段</w:t>
                  </w:r>
                </w:p>
              </w:tc>
              <w:tc>
                <w:tcPr>
                  <w:tcW w:w="997" w:type="pct"/>
                  <w:noWrap w:val="0"/>
                  <w:vAlign w:val="center"/>
                </w:tcPr>
                <w:p w14:paraId="7B0E691B">
                  <w:pPr>
                    <w:snapToGrid w:val="0"/>
                    <w:spacing w:line="320" w:lineRule="exact"/>
                    <w:jc w:val="center"/>
                    <w:rPr>
                      <w:rFonts w:hint="default" w:eastAsia="宋体"/>
                      <w:color w:val="auto"/>
                      <w:spacing w:val="4"/>
                      <w:szCs w:val="21"/>
                      <w:lang w:val="en-US" w:eastAsia="zh-CN"/>
                    </w:rPr>
                  </w:pPr>
                  <w:r>
                    <w:rPr>
                      <w:rFonts w:hint="eastAsia"/>
                      <w:color w:val="auto"/>
                      <w:spacing w:val="4"/>
                      <w:szCs w:val="21"/>
                      <w:lang w:val="en-US" w:eastAsia="zh-CN"/>
                    </w:rPr>
                    <w:t>250</w:t>
                  </w:r>
                </w:p>
              </w:tc>
              <w:tc>
                <w:tcPr>
                  <w:tcW w:w="825" w:type="pct"/>
                  <w:vMerge w:val="continue"/>
                  <w:noWrap w:val="0"/>
                  <w:vAlign w:val="center"/>
                </w:tcPr>
                <w:p w14:paraId="5B9C57FB">
                  <w:pPr>
                    <w:snapToGrid w:val="0"/>
                    <w:spacing w:line="320" w:lineRule="exact"/>
                    <w:jc w:val="center"/>
                    <w:rPr>
                      <w:rFonts w:hint="eastAsia"/>
                      <w:color w:val="auto"/>
                      <w:spacing w:val="4"/>
                      <w:szCs w:val="21"/>
                    </w:rPr>
                  </w:pPr>
                </w:p>
              </w:tc>
            </w:tr>
          </w:tbl>
          <w:p w14:paraId="2CF82283">
            <w:pPr>
              <w:snapToGrid w:val="0"/>
              <w:spacing w:line="360" w:lineRule="auto"/>
              <w:jc w:val="center"/>
              <w:rPr>
                <w:rFonts w:hint="default" w:ascii="Times New Roman" w:hAnsi="Times New Roman" w:eastAsia="宋体" w:cs="Times New Roman"/>
                <w:b/>
                <w:bCs/>
                <w:color w:val="auto"/>
                <w:szCs w:val="21"/>
              </w:rPr>
            </w:pPr>
          </w:p>
          <w:p w14:paraId="7515DDB3">
            <w:pPr>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eastAsia" w:ascii="宋体" w:hAnsi="宋体" w:eastAsia="宋体" w:cs="宋体"/>
                <w:b/>
                <w:bCs/>
                <w:color w:val="auto"/>
              </w:rPr>
            </w:pPr>
            <w:r>
              <w:rPr>
                <w:rFonts w:hint="eastAsia" w:ascii="宋体" w:hAnsi="宋体" w:eastAsia="宋体" w:cs="宋体"/>
                <w:b/>
                <w:bCs/>
                <w:color w:val="auto"/>
                <w:lang w:val="en-US" w:eastAsia="zh-CN"/>
              </w:rPr>
              <w:t>2、</w:t>
            </w:r>
            <w:r>
              <w:rPr>
                <w:rFonts w:hint="eastAsia" w:ascii="宋体" w:hAnsi="宋体" w:eastAsia="宋体" w:cs="宋体"/>
                <w:b/>
                <w:bCs/>
                <w:color w:val="auto"/>
              </w:rPr>
              <w:t>水污染物排放标准</w:t>
            </w:r>
          </w:p>
          <w:p w14:paraId="6108ED26">
            <w:pPr>
              <w:pStyle w:val="67"/>
              <w:keepNext w:val="0"/>
              <w:keepLines w:val="0"/>
              <w:pageBreakBefore w:val="0"/>
              <w:widowControl w:val="0"/>
              <w:numPr>
                <w:ilvl w:val="0"/>
                <w:numId w:val="0"/>
              </w:numPr>
              <w:kinsoku/>
              <w:wordWrap/>
              <w:overflowPunct/>
              <w:topLinePunct w:val="0"/>
              <w:autoSpaceDE/>
              <w:autoSpaceDN/>
              <w:bidi w:val="0"/>
              <w:adjustRightInd/>
              <w:snapToGrid/>
              <w:spacing w:before="0" w:after="0" w:afterLines="0" w:line="360" w:lineRule="auto"/>
              <w:ind w:right="0" w:firstLine="420" w:firstLineChars="200"/>
              <w:jc w:val="left"/>
              <w:textAlignment w:val="auto"/>
              <w:outlineLvl w:val="9"/>
              <w:rPr>
                <w:rFonts w:hint="eastAsia" w:ascii="宋体" w:hAnsi="宋体" w:eastAsia="宋体" w:cs="宋体"/>
                <w:b w:val="0"/>
                <w:bCs/>
                <w:color w:val="auto"/>
                <w:sz w:val="21"/>
                <w:szCs w:val="21"/>
                <w:lang w:val="en-US" w:eastAsia="zh-CN"/>
              </w:rPr>
            </w:pPr>
            <w:r>
              <w:rPr>
                <w:rFonts w:hint="eastAsia" w:ascii="宋体" w:hAnsi="宋体" w:cs="宋体"/>
                <w:b w:val="0"/>
                <w:bCs/>
                <w:color w:val="auto"/>
                <w:sz w:val="21"/>
                <w:szCs w:val="21"/>
                <w:lang w:val="en-US" w:eastAsia="zh-CN"/>
              </w:rPr>
              <w:t>废水执行</w:t>
            </w:r>
            <w:r>
              <w:rPr>
                <w:rFonts w:hint="eastAsia" w:ascii="宋体" w:hAnsi="宋体" w:eastAsia="宋体" w:cs="宋体"/>
                <w:b w:val="0"/>
                <w:bCs/>
                <w:color w:val="auto"/>
                <w:sz w:val="21"/>
                <w:szCs w:val="21"/>
              </w:rPr>
              <w:t>《污水综合排放标准》（GB8978-1996）中三级排放标准</w:t>
            </w:r>
            <w:r>
              <w:rPr>
                <w:rFonts w:hint="eastAsia" w:ascii="宋体" w:hAnsi="宋体" w:eastAsia="宋体" w:cs="宋体"/>
                <w:b w:val="0"/>
                <w:bCs/>
                <w:color w:val="auto"/>
                <w:sz w:val="21"/>
                <w:szCs w:val="21"/>
                <w:lang w:eastAsia="zh-CN"/>
              </w:rPr>
              <w:t>和</w:t>
            </w:r>
            <w:r>
              <w:rPr>
                <w:rFonts w:hint="eastAsia" w:ascii="宋体" w:hAnsi="宋体" w:eastAsia="宋体" w:cs="宋体"/>
                <w:b w:val="0"/>
                <w:bCs/>
                <w:color w:val="auto"/>
                <w:sz w:val="21"/>
                <w:szCs w:val="21"/>
              </w:rPr>
              <w:t>《污水排入城镇下水道水质标准》（GB/T 31962-2015）</w:t>
            </w:r>
            <w:r>
              <w:rPr>
                <w:rFonts w:hint="eastAsia" w:ascii="宋体" w:hAnsi="宋体" w:cs="宋体"/>
                <w:b w:val="0"/>
                <w:bCs/>
                <w:color w:val="auto"/>
                <w:sz w:val="21"/>
                <w:szCs w:val="21"/>
                <w:lang w:eastAsia="zh-CN"/>
              </w:rPr>
              <w:t>。</w:t>
            </w:r>
          </w:p>
          <w:p w14:paraId="69554E7B">
            <w:pPr>
              <w:snapToGrid w:val="0"/>
              <w:spacing w:before="120" w:beforeLines="50"/>
              <w:jc w:val="center"/>
              <w:rPr>
                <w:rFonts w:hint="eastAsia"/>
                <w:b/>
                <w:color w:val="auto"/>
                <w:sz w:val="21"/>
                <w:szCs w:val="21"/>
                <w:lang w:val="en-US" w:eastAsia="zh-CN"/>
              </w:rPr>
            </w:pPr>
            <w:r>
              <w:rPr>
                <w:rFonts w:hint="eastAsia"/>
                <w:b/>
                <w:color w:val="auto"/>
                <w:sz w:val="21"/>
                <w:szCs w:val="21"/>
                <w:lang w:val="en-US" w:eastAsia="zh-CN"/>
              </w:rPr>
              <w:t>表3-7  污水排放标准</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51"/>
              <w:gridCol w:w="1038"/>
              <w:gridCol w:w="1061"/>
              <w:gridCol w:w="1181"/>
              <w:gridCol w:w="1210"/>
              <w:gridCol w:w="1194"/>
            </w:tblGrid>
            <w:tr w14:paraId="641962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 w:hRule="atLeast"/>
                <w:jc w:val="center"/>
              </w:trPr>
              <w:tc>
                <w:tcPr>
                  <w:tcW w:w="1463" w:type="pct"/>
                  <w:noWrap w:val="0"/>
                  <w:vAlign w:val="center"/>
                </w:tcPr>
                <w:p w14:paraId="3C8D9E3B">
                  <w:pPr>
                    <w:pStyle w:val="54"/>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left="0" w:leftChars="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项目</w:t>
                  </w:r>
                </w:p>
              </w:tc>
              <w:tc>
                <w:tcPr>
                  <w:tcW w:w="646" w:type="pct"/>
                  <w:noWrap w:val="0"/>
                  <w:vAlign w:val="center"/>
                </w:tcPr>
                <w:p w14:paraId="32462850">
                  <w:pPr>
                    <w:pStyle w:val="54"/>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left="0" w:leftChars="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pH</w:t>
                  </w:r>
                </w:p>
              </w:tc>
              <w:tc>
                <w:tcPr>
                  <w:tcW w:w="660" w:type="pct"/>
                  <w:noWrap w:val="0"/>
                  <w:vAlign w:val="center"/>
                </w:tcPr>
                <w:p w14:paraId="58503F02">
                  <w:pPr>
                    <w:pStyle w:val="54"/>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left="0" w:leftChars="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CODcr</w:t>
                  </w:r>
                </w:p>
              </w:tc>
              <w:tc>
                <w:tcPr>
                  <w:tcW w:w="735" w:type="pct"/>
                  <w:noWrap w:val="0"/>
                  <w:vAlign w:val="center"/>
                </w:tcPr>
                <w:p w14:paraId="4F021357">
                  <w:pPr>
                    <w:pStyle w:val="54"/>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left="0" w:leftChars="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BOD</w:t>
                  </w:r>
                  <w:r>
                    <w:rPr>
                      <w:rFonts w:hint="eastAsia" w:ascii="宋体" w:hAnsi="宋体" w:eastAsia="宋体" w:cs="宋体"/>
                      <w:color w:val="auto"/>
                      <w:sz w:val="21"/>
                      <w:szCs w:val="21"/>
                      <w:vertAlign w:val="subscript"/>
                    </w:rPr>
                    <w:t>5</w:t>
                  </w:r>
                </w:p>
              </w:tc>
              <w:tc>
                <w:tcPr>
                  <w:tcW w:w="753" w:type="pct"/>
                  <w:noWrap w:val="0"/>
                  <w:vAlign w:val="center"/>
                </w:tcPr>
                <w:p w14:paraId="42A3D533">
                  <w:pPr>
                    <w:pStyle w:val="54"/>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left="0" w:leftChars="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NH</w:t>
                  </w:r>
                  <w:r>
                    <w:rPr>
                      <w:rFonts w:hint="eastAsia" w:ascii="宋体" w:hAnsi="宋体" w:eastAsia="宋体" w:cs="宋体"/>
                      <w:color w:val="auto"/>
                      <w:sz w:val="21"/>
                      <w:szCs w:val="21"/>
                      <w:vertAlign w:val="subscript"/>
                    </w:rPr>
                    <w:t>3</w:t>
                  </w:r>
                  <w:r>
                    <w:rPr>
                      <w:rFonts w:hint="eastAsia" w:ascii="宋体" w:hAnsi="宋体" w:eastAsia="宋体" w:cs="宋体"/>
                      <w:color w:val="auto"/>
                      <w:sz w:val="21"/>
                      <w:szCs w:val="21"/>
                    </w:rPr>
                    <w:t>-N</w:t>
                  </w:r>
                </w:p>
              </w:tc>
              <w:tc>
                <w:tcPr>
                  <w:tcW w:w="739" w:type="pct"/>
                  <w:noWrap w:val="0"/>
                  <w:vAlign w:val="center"/>
                </w:tcPr>
                <w:p w14:paraId="6EE4EB70">
                  <w:pPr>
                    <w:pStyle w:val="54"/>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left="0" w:leftChars="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SS</w:t>
                  </w:r>
                </w:p>
              </w:tc>
            </w:tr>
            <w:tr w14:paraId="69EEB9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 w:hRule="atLeast"/>
                <w:jc w:val="center"/>
              </w:trPr>
              <w:tc>
                <w:tcPr>
                  <w:tcW w:w="1463" w:type="pct"/>
                  <w:noWrap w:val="0"/>
                  <w:vAlign w:val="center"/>
                </w:tcPr>
                <w:p w14:paraId="3608620C">
                  <w:pPr>
                    <w:pStyle w:val="54"/>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left="0" w:leftChars="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最高允许排放浓度</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mg/L)</w:t>
                  </w:r>
                </w:p>
              </w:tc>
              <w:tc>
                <w:tcPr>
                  <w:tcW w:w="646" w:type="pct"/>
                  <w:noWrap w:val="0"/>
                  <w:vAlign w:val="center"/>
                </w:tcPr>
                <w:p w14:paraId="34C45B3F">
                  <w:pPr>
                    <w:pStyle w:val="54"/>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left="0" w:leftChars="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6～9</w:t>
                  </w:r>
                </w:p>
              </w:tc>
              <w:tc>
                <w:tcPr>
                  <w:tcW w:w="660" w:type="pct"/>
                  <w:noWrap w:val="0"/>
                  <w:vAlign w:val="center"/>
                </w:tcPr>
                <w:p w14:paraId="1C4464BA">
                  <w:pPr>
                    <w:pStyle w:val="54"/>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left="0" w:leftChars="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500</w:t>
                  </w:r>
                </w:p>
              </w:tc>
              <w:tc>
                <w:tcPr>
                  <w:tcW w:w="735" w:type="pct"/>
                  <w:noWrap w:val="0"/>
                  <w:vAlign w:val="center"/>
                </w:tcPr>
                <w:p w14:paraId="7B7AD9DD">
                  <w:pPr>
                    <w:pStyle w:val="54"/>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left="0" w:leftChars="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300</w:t>
                  </w:r>
                </w:p>
              </w:tc>
              <w:tc>
                <w:tcPr>
                  <w:tcW w:w="753" w:type="pct"/>
                  <w:noWrap w:val="0"/>
                  <w:vAlign w:val="center"/>
                </w:tcPr>
                <w:p w14:paraId="720B2962">
                  <w:pPr>
                    <w:pStyle w:val="54"/>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left="0" w:leftChars="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45*</w:t>
                  </w:r>
                </w:p>
              </w:tc>
              <w:tc>
                <w:tcPr>
                  <w:tcW w:w="739" w:type="pct"/>
                  <w:noWrap w:val="0"/>
                  <w:vAlign w:val="center"/>
                </w:tcPr>
                <w:p w14:paraId="7BCD8F60">
                  <w:pPr>
                    <w:pStyle w:val="54"/>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left="0" w:leftChars="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400</w:t>
                  </w:r>
                </w:p>
              </w:tc>
            </w:tr>
            <w:tr w14:paraId="75A8D9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 w:hRule="atLeast"/>
                <w:jc w:val="center"/>
              </w:trPr>
              <w:tc>
                <w:tcPr>
                  <w:tcW w:w="5000" w:type="pct"/>
                  <w:gridSpan w:val="6"/>
                  <w:noWrap w:val="0"/>
                  <w:vAlign w:val="center"/>
                </w:tcPr>
                <w:p w14:paraId="04E19BDC">
                  <w:pPr>
                    <w:pStyle w:val="54"/>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left="0" w:leftChars="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*NH</w:t>
                  </w:r>
                  <w:r>
                    <w:rPr>
                      <w:rFonts w:hint="eastAsia" w:ascii="宋体" w:hAnsi="宋体" w:eastAsia="宋体" w:cs="宋体"/>
                      <w:color w:val="auto"/>
                      <w:sz w:val="21"/>
                      <w:szCs w:val="21"/>
                      <w:vertAlign w:val="subscript"/>
                      <w:lang w:val="en-US" w:eastAsia="zh-CN"/>
                    </w:rPr>
                    <w:t>3</w:t>
                  </w:r>
                  <w:r>
                    <w:rPr>
                      <w:rFonts w:hint="eastAsia" w:ascii="宋体" w:hAnsi="宋体" w:eastAsia="宋体" w:cs="宋体"/>
                      <w:color w:val="auto"/>
                      <w:sz w:val="21"/>
                      <w:szCs w:val="21"/>
                      <w:lang w:val="en-US" w:eastAsia="zh-CN"/>
                    </w:rPr>
                    <w:t>-N在《污水综合排放标准》（GB8978-1996）表4三级排放标准中未作规定，参照执行《污水排入城镇下水道水质标准》（GB/T 31962-2015）。</w:t>
                  </w:r>
                </w:p>
              </w:tc>
            </w:tr>
          </w:tbl>
          <w:p w14:paraId="0A327ED5">
            <w:pPr>
              <w:pStyle w:val="67"/>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right="0"/>
              <w:jc w:val="center"/>
              <w:textAlignment w:val="auto"/>
              <w:outlineLvl w:val="9"/>
              <w:rPr>
                <w:rFonts w:hint="eastAsia" w:ascii="宋体" w:hAnsi="宋体" w:eastAsia="宋体" w:cs="宋体"/>
                <w:b/>
                <w:bCs/>
                <w:color w:val="auto"/>
                <w:lang w:val="en-US" w:eastAsia="zh-CN"/>
              </w:rPr>
            </w:pPr>
          </w:p>
          <w:p w14:paraId="625BD929">
            <w:pPr>
              <w:pStyle w:val="67"/>
              <w:keepNext w:val="0"/>
              <w:keepLines w:val="0"/>
              <w:pageBreakBefore w:val="0"/>
              <w:widowControl w:val="0"/>
              <w:numPr>
                <w:ilvl w:val="0"/>
                <w:numId w:val="0"/>
              </w:numPr>
              <w:kinsoku/>
              <w:wordWrap/>
              <w:overflowPunct/>
              <w:topLinePunct w:val="0"/>
              <w:autoSpaceDE/>
              <w:autoSpaceDN/>
              <w:bidi w:val="0"/>
              <w:adjustRightInd/>
              <w:snapToGrid/>
              <w:spacing w:before="0" w:line="360" w:lineRule="auto"/>
              <w:ind w:right="0"/>
              <w:jc w:val="both"/>
              <w:textAlignment w:val="auto"/>
              <w:outlineLvl w:val="9"/>
              <w:rPr>
                <w:rFonts w:hint="eastAsia" w:ascii="宋体" w:hAnsi="宋体" w:eastAsia="宋体" w:cs="宋体"/>
                <w:b/>
                <w:bCs/>
                <w:color w:val="auto"/>
              </w:rPr>
            </w:pPr>
            <w:r>
              <w:rPr>
                <w:rFonts w:hint="eastAsia" w:ascii="宋体" w:hAnsi="宋体" w:eastAsia="宋体" w:cs="宋体"/>
                <w:b/>
                <w:bCs/>
                <w:color w:val="auto"/>
                <w:lang w:val="en-US" w:eastAsia="zh-CN"/>
              </w:rPr>
              <w:t>3、</w:t>
            </w:r>
            <w:r>
              <w:rPr>
                <w:rFonts w:hint="eastAsia" w:ascii="宋体" w:hAnsi="宋体" w:eastAsia="宋体" w:cs="宋体"/>
                <w:b/>
                <w:bCs/>
                <w:color w:val="auto"/>
              </w:rPr>
              <w:t>噪声排放标准</w:t>
            </w:r>
          </w:p>
          <w:p w14:paraId="4CCAC189">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color w:val="auto"/>
              </w:rPr>
            </w:pPr>
            <w:r>
              <w:rPr>
                <w:color w:val="auto"/>
              </w:rPr>
              <w:t>施工期噪声执行《建筑施工场界环境噪声排放标准》（GB12523-2011），营运期噪声执行《工业企业厂界环境噪声排放标准》（GB12348-2008）中的</w:t>
            </w:r>
            <w:r>
              <w:rPr>
                <w:rFonts w:hint="eastAsia" w:eastAsia="宋体"/>
                <w:color w:val="auto"/>
                <w:lang w:val="en-US" w:eastAsia="zh-CN"/>
              </w:rPr>
              <w:t>3</w:t>
            </w:r>
            <w:r>
              <w:rPr>
                <w:color w:val="auto"/>
              </w:rPr>
              <w:t>类标准，标准限值见表</w:t>
            </w:r>
            <w:r>
              <w:rPr>
                <w:rFonts w:hint="eastAsia" w:eastAsia="宋体"/>
                <w:color w:val="auto"/>
                <w:lang w:val="en-US" w:eastAsia="zh-CN"/>
              </w:rPr>
              <w:t>3</w:t>
            </w:r>
            <w:r>
              <w:rPr>
                <w:color w:val="auto"/>
              </w:rPr>
              <w:t>-</w:t>
            </w:r>
            <w:r>
              <w:rPr>
                <w:rFonts w:hint="eastAsia"/>
                <w:color w:val="auto"/>
                <w:lang w:val="en-US" w:eastAsia="zh-CN"/>
              </w:rPr>
              <w:t>8</w:t>
            </w:r>
            <w:r>
              <w:rPr>
                <w:color w:val="auto"/>
              </w:rPr>
              <w:t>。</w:t>
            </w:r>
          </w:p>
          <w:p w14:paraId="4AC52DA6">
            <w:pPr>
              <w:snapToGrid w:val="0"/>
              <w:spacing w:before="120" w:beforeLines="50"/>
              <w:jc w:val="center"/>
              <w:rPr>
                <w:b/>
                <w:color w:val="auto"/>
                <w:sz w:val="21"/>
                <w:szCs w:val="21"/>
              </w:rPr>
            </w:pPr>
            <w:r>
              <w:rPr>
                <w:rFonts w:hint="eastAsia"/>
                <w:b/>
                <w:color w:val="auto"/>
                <w:sz w:val="21"/>
                <w:szCs w:val="21"/>
              </w:rPr>
              <w:t>表</w:t>
            </w:r>
            <w:r>
              <w:rPr>
                <w:rFonts w:hint="eastAsia"/>
                <w:b/>
                <w:color w:val="auto"/>
                <w:sz w:val="21"/>
                <w:szCs w:val="21"/>
                <w:lang w:val="en-US" w:eastAsia="zh-CN"/>
              </w:rPr>
              <w:t>3</w:t>
            </w:r>
            <w:r>
              <w:rPr>
                <w:rFonts w:hint="eastAsia"/>
                <w:b/>
                <w:color w:val="auto"/>
                <w:sz w:val="21"/>
                <w:szCs w:val="21"/>
              </w:rPr>
              <w:t>-</w:t>
            </w:r>
            <w:r>
              <w:rPr>
                <w:rFonts w:hint="eastAsia"/>
                <w:b/>
                <w:color w:val="auto"/>
                <w:sz w:val="21"/>
                <w:szCs w:val="21"/>
                <w:lang w:val="en-US" w:eastAsia="zh-CN"/>
              </w:rPr>
              <w:t>8</w:t>
            </w:r>
            <w:r>
              <w:rPr>
                <w:rFonts w:hint="eastAsia"/>
                <w:b/>
                <w:color w:val="auto"/>
                <w:sz w:val="21"/>
                <w:szCs w:val="21"/>
              </w:rPr>
              <w:t xml:space="preserve"> 噪声排放标准   单位：dB（A）</w:t>
            </w:r>
          </w:p>
          <w:tbl>
            <w:tblPr>
              <w:tblStyle w:val="3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57"/>
              <w:gridCol w:w="1232"/>
              <w:gridCol w:w="1233"/>
              <w:gridCol w:w="4516"/>
            </w:tblGrid>
            <w:tr w14:paraId="0119F06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4" w:hRule="atLeast"/>
              </w:trPr>
              <w:tc>
                <w:tcPr>
                  <w:tcW w:w="957" w:type="dxa"/>
                  <w:tcBorders>
                    <w:tl2br w:val="nil"/>
                    <w:tr2bl w:val="nil"/>
                  </w:tcBorders>
                  <w:noWrap w:val="0"/>
                  <w:vAlign w:val="center"/>
                </w:tcPr>
                <w:p w14:paraId="5430E54A">
                  <w:pPr>
                    <w:pStyle w:val="54"/>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left="0" w:leftChars="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时段</w:t>
                  </w:r>
                </w:p>
              </w:tc>
              <w:tc>
                <w:tcPr>
                  <w:tcW w:w="1232" w:type="dxa"/>
                  <w:tcBorders>
                    <w:tl2br w:val="nil"/>
                    <w:tr2bl w:val="nil"/>
                  </w:tcBorders>
                  <w:noWrap w:val="0"/>
                  <w:vAlign w:val="center"/>
                </w:tcPr>
                <w:p w14:paraId="518CB2EE">
                  <w:pPr>
                    <w:pStyle w:val="54"/>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left="0" w:leftChars="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昼间</w:t>
                  </w:r>
                </w:p>
              </w:tc>
              <w:tc>
                <w:tcPr>
                  <w:tcW w:w="1233" w:type="dxa"/>
                  <w:tcBorders>
                    <w:tl2br w:val="nil"/>
                    <w:tr2bl w:val="nil"/>
                  </w:tcBorders>
                  <w:noWrap w:val="0"/>
                  <w:vAlign w:val="center"/>
                </w:tcPr>
                <w:p w14:paraId="194523CE">
                  <w:pPr>
                    <w:pStyle w:val="54"/>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left="0" w:leftChars="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夜间</w:t>
                  </w:r>
                </w:p>
              </w:tc>
              <w:tc>
                <w:tcPr>
                  <w:tcW w:w="4516" w:type="dxa"/>
                  <w:tcBorders>
                    <w:tl2br w:val="nil"/>
                    <w:tr2bl w:val="nil"/>
                  </w:tcBorders>
                  <w:noWrap w:val="0"/>
                  <w:vAlign w:val="center"/>
                </w:tcPr>
                <w:p w14:paraId="4E48B93A">
                  <w:pPr>
                    <w:pStyle w:val="54"/>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left="0" w:leftChars="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标准依据</w:t>
                  </w:r>
                </w:p>
              </w:tc>
            </w:tr>
            <w:tr w14:paraId="06C9388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4" w:hRule="atLeast"/>
              </w:trPr>
              <w:tc>
                <w:tcPr>
                  <w:tcW w:w="957" w:type="dxa"/>
                  <w:tcBorders>
                    <w:tl2br w:val="nil"/>
                    <w:tr2bl w:val="nil"/>
                  </w:tcBorders>
                  <w:noWrap w:val="0"/>
                  <w:vAlign w:val="center"/>
                </w:tcPr>
                <w:p w14:paraId="6834EB5D">
                  <w:pPr>
                    <w:pStyle w:val="54"/>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left="0" w:leftChars="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施工期</w:t>
                  </w:r>
                </w:p>
              </w:tc>
              <w:tc>
                <w:tcPr>
                  <w:tcW w:w="1232" w:type="dxa"/>
                  <w:tcBorders>
                    <w:tl2br w:val="nil"/>
                    <w:tr2bl w:val="nil"/>
                  </w:tcBorders>
                  <w:noWrap w:val="0"/>
                  <w:vAlign w:val="center"/>
                </w:tcPr>
                <w:p w14:paraId="30A8BE0E">
                  <w:pPr>
                    <w:pStyle w:val="54"/>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left="0" w:leftChars="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70</w:t>
                  </w:r>
                </w:p>
              </w:tc>
              <w:tc>
                <w:tcPr>
                  <w:tcW w:w="1233" w:type="dxa"/>
                  <w:tcBorders>
                    <w:tl2br w:val="nil"/>
                    <w:tr2bl w:val="nil"/>
                  </w:tcBorders>
                  <w:noWrap w:val="0"/>
                  <w:vAlign w:val="center"/>
                </w:tcPr>
                <w:p w14:paraId="54A468FC">
                  <w:pPr>
                    <w:pStyle w:val="54"/>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left="0" w:leftChars="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55</w:t>
                  </w:r>
                </w:p>
              </w:tc>
              <w:tc>
                <w:tcPr>
                  <w:tcW w:w="4516" w:type="dxa"/>
                  <w:tcBorders>
                    <w:tl2br w:val="nil"/>
                    <w:tr2bl w:val="nil"/>
                  </w:tcBorders>
                  <w:noWrap w:val="0"/>
                  <w:vAlign w:val="center"/>
                </w:tcPr>
                <w:p w14:paraId="076EBC7C">
                  <w:pPr>
                    <w:pStyle w:val="54"/>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left="0" w:leftChars="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《建筑施工场界环境噪声排放标准》（GB12523-2011）</w:t>
                  </w:r>
                </w:p>
              </w:tc>
            </w:tr>
            <w:tr w14:paraId="609F1E8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7" w:hRule="atLeast"/>
              </w:trPr>
              <w:tc>
                <w:tcPr>
                  <w:tcW w:w="957" w:type="dxa"/>
                  <w:tcBorders>
                    <w:tl2br w:val="nil"/>
                    <w:tr2bl w:val="nil"/>
                  </w:tcBorders>
                  <w:noWrap w:val="0"/>
                  <w:vAlign w:val="center"/>
                </w:tcPr>
                <w:p w14:paraId="3E517E7F">
                  <w:pPr>
                    <w:pStyle w:val="54"/>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left="0" w:leftChars="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营运期</w:t>
                  </w:r>
                </w:p>
              </w:tc>
              <w:tc>
                <w:tcPr>
                  <w:tcW w:w="1232" w:type="dxa"/>
                  <w:tcBorders>
                    <w:tl2br w:val="nil"/>
                    <w:tr2bl w:val="nil"/>
                  </w:tcBorders>
                  <w:noWrap w:val="0"/>
                  <w:vAlign w:val="center"/>
                </w:tcPr>
                <w:p w14:paraId="26CBCF9A">
                  <w:pPr>
                    <w:pStyle w:val="54"/>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left="0" w:leftChars="0" w:right="0"/>
                    <w:jc w:val="center"/>
                    <w:textAlignment w:val="auto"/>
                    <w:rPr>
                      <w:rFonts w:hint="default" w:ascii="宋体" w:hAnsi="宋体" w:eastAsia="宋体" w:cs="宋体"/>
                      <w:color w:val="auto"/>
                      <w:sz w:val="21"/>
                      <w:szCs w:val="21"/>
                      <w:lang w:val="en-US" w:eastAsia="zh-CN"/>
                    </w:rPr>
                  </w:pPr>
                  <w:r>
                    <w:rPr>
                      <w:rFonts w:hint="eastAsia" w:hAnsi="宋体" w:eastAsia="宋体" w:cs="宋体"/>
                      <w:color w:val="auto"/>
                      <w:sz w:val="21"/>
                      <w:szCs w:val="21"/>
                      <w:lang w:val="en-US" w:eastAsia="zh-CN"/>
                    </w:rPr>
                    <w:t>65</w:t>
                  </w:r>
                </w:p>
              </w:tc>
              <w:tc>
                <w:tcPr>
                  <w:tcW w:w="1233" w:type="dxa"/>
                  <w:tcBorders>
                    <w:tl2br w:val="nil"/>
                    <w:tr2bl w:val="nil"/>
                  </w:tcBorders>
                  <w:noWrap w:val="0"/>
                  <w:vAlign w:val="center"/>
                </w:tcPr>
                <w:p w14:paraId="21CAEBEE">
                  <w:pPr>
                    <w:pStyle w:val="54"/>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left="0" w:leftChars="0" w:right="0"/>
                    <w:jc w:val="center"/>
                    <w:textAlignment w:val="auto"/>
                    <w:rPr>
                      <w:rFonts w:hint="default" w:ascii="宋体" w:hAnsi="宋体" w:eastAsia="宋体" w:cs="宋体"/>
                      <w:color w:val="auto"/>
                      <w:sz w:val="21"/>
                      <w:szCs w:val="21"/>
                      <w:lang w:val="en-US" w:eastAsia="zh-CN"/>
                    </w:rPr>
                  </w:pPr>
                  <w:r>
                    <w:rPr>
                      <w:rFonts w:hint="eastAsia" w:hAnsi="宋体" w:eastAsia="宋体" w:cs="宋体"/>
                      <w:color w:val="auto"/>
                      <w:sz w:val="21"/>
                      <w:szCs w:val="21"/>
                      <w:lang w:val="en-US" w:eastAsia="zh-CN"/>
                    </w:rPr>
                    <w:t>55</w:t>
                  </w:r>
                </w:p>
              </w:tc>
              <w:tc>
                <w:tcPr>
                  <w:tcW w:w="4516" w:type="dxa"/>
                  <w:tcBorders>
                    <w:tl2br w:val="nil"/>
                    <w:tr2bl w:val="nil"/>
                  </w:tcBorders>
                  <w:noWrap w:val="0"/>
                  <w:vAlign w:val="center"/>
                </w:tcPr>
                <w:p w14:paraId="3EACC9DE">
                  <w:pPr>
                    <w:pStyle w:val="54"/>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left="0" w:leftChars="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《工业企业厂界环境噪声排放标准》（GB12348-2008）</w:t>
                  </w:r>
                </w:p>
              </w:tc>
            </w:tr>
          </w:tbl>
          <w:p w14:paraId="164CEC54">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b/>
                <w:bCs/>
                <w:color w:val="auto"/>
              </w:rPr>
            </w:pPr>
            <w:r>
              <w:rPr>
                <w:rFonts w:hint="eastAsia" w:ascii="宋体" w:hAnsi="宋体" w:eastAsia="宋体" w:cs="宋体"/>
                <w:b/>
                <w:bCs/>
                <w:color w:val="auto"/>
                <w:lang w:val="en-US" w:eastAsia="zh-CN"/>
              </w:rPr>
              <w:t>4、</w:t>
            </w:r>
            <w:r>
              <w:rPr>
                <w:rFonts w:hint="eastAsia" w:ascii="宋体" w:hAnsi="宋体" w:eastAsia="宋体" w:cs="宋体"/>
                <w:b/>
                <w:bCs/>
                <w:color w:val="auto"/>
              </w:rPr>
              <w:t>固体废物控制标准</w:t>
            </w:r>
          </w:p>
          <w:p w14:paraId="69722477">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jc w:val="left"/>
              <w:textAlignment w:val="auto"/>
              <w:outlineLvl w:val="9"/>
              <w:rPr>
                <w:rFonts w:hint="eastAsia" w:ascii="宋体" w:hAnsi="宋体" w:eastAsia="宋体" w:cs="宋体"/>
                <w:color w:val="auto"/>
                <w:spacing w:val="7"/>
                <w:sz w:val="21"/>
                <w:szCs w:val="21"/>
                <w:lang w:eastAsia="zh-CN"/>
              </w:rPr>
            </w:pPr>
            <w:r>
              <w:rPr>
                <w:rFonts w:hint="default" w:ascii="Times New Roman" w:hAnsi="Times New Roman" w:eastAsia="宋体" w:cs="Times New Roman"/>
                <w:bCs/>
                <w:color w:val="auto"/>
                <w:kern w:val="2"/>
                <w:sz w:val="21"/>
                <w:szCs w:val="21"/>
                <w:lang w:val="en-US" w:eastAsia="zh-CN" w:bidi="ar-SA"/>
              </w:rPr>
              <w:t>一般固体废物做好“防风、防雨、防渗”等措施</w:t>
            </w:r>
            <w:r>
              <w:rPr>
                <w:rFonts w:hint="eastAsia" w:ascii="Times New Roman" w:hAnsi="Times New Roman" w:eastAsia="宋体" w:cs="Times New Roman"/>
                <w:bCs/>
                <w:color w:val="auto"/>
                <w:kern w:val="2"/>
                <w:sz w:val="21"/>
                <w:szCs w:val="21"/>
                <w:lang w:val="en-US" w:eastAsia="zh-CN" w:bidi="ar-SA"/>
              </w:rPr>
              <w:t>；危险废物执行《危险废物贮存污染控制标准》（GB18597-2023）；生活垃圾按照《四川省生活垃圾分类和处置工作方案》（川办函〔2019〕69号）中相关要求执行。</w:t>
            </w:r>
          </w:p>
          <w:p w14:paraId="0F72C8F1">
            <w:pPr>
              <w:adjustRightInd w:val="0"/>
              <w:snapToGrid w:val="0"/>
              <w:jc w:val="center"/>
              <w:rPr>
                <w:rFonts w:hint="eastAsia" w:ascii="宋体" w:hAnsi="宋体" w:eastAsia="宋体" w:cs="宋体"/>
                <w:color w:val="auto"/>
                <w:kern w:val="0"/>
                <w:sz w:val="21"/>
                <w:szCs w:val="21"/>
              </w:rPr>
            </w:pPr>
          </w:p>
        </w:tc>
      </w:tr>
      <w:tr w14:paraId="461F7F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72" w:hRule="atLeast"/>
          <w:jc w:val="center"/>
        </w:trPr>
        <w:tc>
          <w:tcPr>
            <w:tcW w:w="811" w:type="dxa"/>
            <w:noWrap w:val="0"/>
            <w:vAlign w:val="center"/>
          </w:tcPr>
          <w:p w14:paraId="4F8A053C">
            <w:pPr>
              <w:adjustRightInd w:val="0"/>
              <w:snapToGrid w:val="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总量</w:t>
            </w:r>
          </w:p>
          <w:p w14:paraId="3D4711DE">
            <w:pPr>
              <w:adjustRightInd w:val="0"/>
              <w:snapToGrid w:val="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控制</w:t>
            </w:r>
          </w:p>
          <w:p w14:paraId="41E4FBAF">
            <w:pPr>
              <w:adjustRightInd w:val="0"/>
              <w:snapToGrid w:val="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指标</w:t>
            </w:r>
          </w:p>
        </w:tc>
        <w:tc>
          <w:tcPr>
            <w:tcW w:w="8250" w:type="dxa"/>
            <w:noWrap w:val="0"/>
            <w:vAlign w:val="center"/>
          </w:tcPr>
          <w:p w14:paraId="00C8E385">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jc w:val="left"/>
              <w:textAlignment w:val="auto"/>
              <w:outlineLvl w:val="9"/>
              <w:rPr>
                <w:rFonts w:hint="eastAsia" w:ascii="宋体" w:hAnsi="宋体" w:eastAsia="宋体" w:cs="宋体"/>
                <w:color w:val="auto"/>
                <w:spacing w:val="0"/>
                <w:sz w:val="21"/>
                <w:szCs w:val="21"/>
              </w:rPr>
            </w:pPr>
            <w:r>
              <w:rPr>
                <w:rFonts w:hint="eastAsia" w:ascii="Times New Roman" w:hAnsi="Times New Roman" w:eastAsia="宋体" w:cs="Times New Roman"/>
                <w:bCs/>
                <w:color w:val="auto"/>
                <w:kern w:val="2"/>
                <w:sz w:val="21"/>
                <w:szCs w:val="21"/>
                <w:lang w:val="en-US" w:eastAsia="zh-CN" w:bidi="ar-SA"/>
              </w:rPr>
              <w:t>本项目无废气产生，无需设置总量指标；项目仅有生活污水产生，项目不单独设置水总量控制指标，纳入龙眼井污水处理厂总量控制指标。</w:t>
            </w:r>
          </w:p>
          <w:p w14:paraId="2A773005">
            <w:pPr>
              <w:adjustRightInd w:val="0"/>
              <w:snapToGrid w:val="0"/>
              <w:jc w:val="center"/>
              <w:rPr>
                <w:rFonts w:hint="eastAsia" w:ascii="宋体" w:hAnsi="宋体" w:eastAsia="宋体" w:cs="宋体"/>
                <w:color w:val="auto"/>
                <w:kern w:val="0"/>
                <w:sz w:val="21"/>
                <w:szCs w:val="21"/>
              </w:rPr>
            </w:pPr>
          </w:p>
        </w:tc>
      </w:tr>
    </w:tbl>
    <w:p w14:paraId="57E9E8A4">
      <w:pPr>
        <w:pStyle w:val="25"/>
        <w:jc w:val="center"/>
        <w:outlineLvl w:val="0"/>
        <w:rPr>
          <w:rFonts w:ascii="黑体" w:hAnsi="黑体" w:eastAsia="黑体"/>
          <w:snapToGrid w:val="0"/>
          <w:color w:val="auto"/>
          <w:sz w:val="30"/>
          <w:szCs w:val="30"/>
        </w:rPr>
      </w:pPr>
      <w:r>
        <w:rPr>
          <w:rFonts w:ascii="黑体" w:hAnsi="黑体" w:eastAsia="黑体"/>
          <w:snapToGrid w:val="0"/>
          <w:color w:val="auto"/>
          <w:sz w:val="36"/>
          <w:szCs w:val="36"/>
        </w:rPr>
        <w:br w:type="page"/>
      </w:r>
      <w:r>
        <w:rPr>
          <w:rFonts w:hint="eastAsia" w:ascii="黑体" w:hAnsi="黑体" w:eastAsia="黑体"/>
          <w:snapToGrid w:val="0"/>
          <w:color w:val="auto"/>
          <w:sz w:val="30"/>
          <w:szCs w:val="30"/>
        </w:rPr>
        <w:t>四、主要环境影响和保护措施</w:t>
      </w:r>
    </w:p>
    <w:tbl>
      <w:tblPr>
        <w:tblStyle w:val="30"/>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43"/>
        <w:gridCol w:w="8338"/>
      </w:tblGrid>
      <w:tr w14:paraId="056B46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6" w:hRule="atLeast"/>
          <w:jc w:val="center"/>
        </w:trPr>
        <w:tc>
          <w:tcPr>
            <w:tcW w:w="643" w:type="dxa"/>
            <w:noWrap w:val="0"/>
            <w:tcMar>
              <w:left w:w="28" w:type="dxa"/>
              <w:right w:w="28" w:type="dxa"/>
            </w:tcMar>
            <w:vAlign w:val="center"/>
          </w:tcPr>
          <w:p w14:paraId="2E543334">
            <w:pPr>
              <w:pStyle w:val="25"/>
              <w:adjustRightInd w:val="0"/>
              <w:snapToGrid w:val="0"/>
              <w:spacing w:before="0" w:beforeAutospacing="0" w:after="0" w:afterAutospacing="0"/>
              <w:jc w:val="center"/>
              <w:rPr>
                <w:rFonts w:hint="eastAsia" w:cs="宋体"/>
                <w:color w:val="auto"/>
                <w:kern w:val="2"/>
                <w:sz w:val="21"/>
                <w:szCs w:val="21"/>
              </w:rPr>
            </w:pPr>
            <w:r>
              <w:rPr>
                <w:rFonts w:hint="eastAsia" w:cs="宋体"/>
                <w:color w:val="auto"/>
                <w:kern w:val="2"/>
                <w:sz w:val="21"/>
                <w:szCs w:val="21"/>
              </w:rPr>
              <w:t>施工</w:t>
            </w:r>
          </w:p>
          <w:p w14:paraId="6954C0F5">
            <w:pPr>
              <w:pStyle w:val="25"/>
              <w:adjustRightInd w:val="0"/>
              <w:snapToGrid w:val="0"/>
              <w:spacing w:before="0" w:beforeAutospacing="0" w:after="0" w:afterAutospacing="0"/>
              <w:jc w:val="center"/>
              <w:rPr>
                <w:rFonts w:hint="eastAsia" w:cs="宋体"/>
                <w:color w:val="auto"/>
                <w:kern w:val="2"/>
                <w:sz w:val="21"/>
                <w:szCs w:val="21"/>
              </w:rPr>
            </w:pPr>
            <w:r>
              <w:rPr>
                <w:rFonts w:hint="eastAsia" w:cs="宋体"/>
                <w:color w:val="auto"/>
                <w:kern w:val="2"/>
                <w:sz w:val="21"/>
                <w:szCs w:val="21"/>
              </w:rPr>
              <w:t>期环</w:t>
            </w:r>
          </w:p>
          <w:p w14:paraId="71830F62">
            <w:pPr>
              <w:pStyle w:val="25"/>
              <w:adjustRightInd w:val="0"/>
              <w:snapToGrid w:val="0"/>
              <w:spacing w:before="0" w:beforeAutospacing="0" w:after="0" w:afterAutospacing="0"/>
              <w:jc w:val="center"/>
              <w:rPr>
                <w:rFonts w:hint="eastAsia" w:cs="宋体"/>
                <w:color w:val="auto"/>
                <w:kern w:val="2"/>
                <w:sz w:val="21"/>
                <w:szCs w:val="21"/>
              </w:rPr>
            </w:pPr>
            <w:r>
              <w:rPr>
                <w:rFonts w:hint="eastAsia" w:cs="宋体"/>
                <w:color w:val="auto"/>
                <w:kern w:val="2"/>
                <w:sz w:val="21"/>
                <w:szCs w:val="21"/>
              </w:rPr>
              <w:t>境保</w:t>
            </w:r>
          </w:p>
          <w:p w14:paraId="111650B1">
            <w:pPr>
              <w:pStyle w:val="25"/>
              <w:adjustRightInd w:val="0"/>
              <w:snapToGrid w:val="0"/>
              <w:spacing w:before="0" w:beforeAutospacing="0" w:after="0" w:afterAutospacing="0"/>
              <w:jc w:val="center"/>
              <w:rPr>
                <w:rFonts w:hint="eastAsia" w:cs="宋体"/>
                <w:color w:val="auto"/>
                <w:kern w:val="2"/>
                <w:sz w:val="21"/>
                <w:szCs w:val="21"/>
              </w:rPr>
            </w:pPr>
            <w:r>
              <w:rPr>
                <w:rFonts w:hint="eastAsia" w:cs="宋体"/>
                <w:color w:val="auto"/>
                <w:kern w:val="2"/>
                <w:sz w:val="21"/>
                <w:szCs w:val="21"/>
              </w:rPr>
              <w:t>护措</w:t>
            </w:r>
          </w:p>
          <w:p w14:paraId="585C1254">
            <w:pPr>
              <w:pStyle w:val="25"/>
              <w:adjustRightInd w:val="0"/>
              <w:snapToGrid w:val="0"/>
              <w:spacing w:before="0" w:beforeAutospacing="0" w:after="0" w:afterAutospacing="0"/>
              <w:jc w:val="center"/>
              <w:rPr>
                <w:rFonts w:hint="eastAsia" w:cs="宋体"/>
                <w:bCs/>
                <w:color w:val="auto"/>
                <w:kern w:val="2"/>
                <w:sz w:val="21"/>
                <w:szCs w:val="21"/>
              </w:rPr>
            </w:pPr>
            <w:r>
              <w:rPr>
                <w:rFonts w:hint="eastAsia" w:cs="宋体"/>
                <w:color w:val="auto"/>
                <w:kern w:val="2"/>
                <w:sz w:val="21"/>
                <w:szCs w:val="21"/>
              </w:rPr>
              <w:t>施</w:t>
            </w:r>
          </w:p>
        </w:tc>
        <w:tc>
          <w:tcPr>
            <w:tcW w:w="8338" w:type="dxa"/>
            <w:noWrap w:val="0"/>
            <w:vAlign w:val="center"/>
          </w:tcPr>
          <w:p w14:paraId="69F9F617">
            <w:pPr>
              <w:pStyle w:val="29"/>
              <w:spacing w:after="0" w:line="360" w:lineRule="auto"/>
              <w:ind w:left="0" w:leftChars="0" w:firstLine="0" w:firstLineChars="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1、施工期废水产生、治理及排放</w:t>
            </w:r>
          </w:p>
          <w:p w14:paraId="7C37A89E">
            <w:pPr>
              <w:pStyle w:val="29"/>
              <w:spacing w:after="0" w:line="360" w:lineRule="auto"/>
              <w:ind w:left="0" w:leftChars="0" w:firstLine="482"/>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由于本项目的施工人员均不在工地食宿，因此本项目</w:t>
            </w:r>
            <w:r>
              <w:rPr>
                <w:rFonts w:hint="eastAsia" w:cs="Times New Roman"/>
                <w:b w:val="0"/>
                <w:bCs w:val="0"/>
                <w:color w:val="auto"/>
                <w:sz w:val="21"/>
                <w:szCs w:val="21"/>
                <w:lang w:eastAsia="zh-CN"/>
              </w:rPr>
              <w:t>施工</w:t>
            </w:r>
            <w:r>
              <w:rPr>
                <w:rFonts w:hint="default" w:ascii="Times New Roman" w:hAnsi="Times New Roman" w:eastAsia="宋体" w:cs="Times New Roman"/>
                <w:b w:val="0"/>
                <w:bCs w:val="0"/>
                <w:color w:val="auto"/>
                <w:sz w:val="21"/>
                <w:szCs w:val="21"/>
              </w:rPr>
              <w:t>废水主要为施工人员</w:t>
            </w:r>
            <w:r>
              <w:rPr>
                <w:rFonts w:hint="eastAsia" w:ascii="Times New Roman" w:hAnsi="Times New Roman" w:eastAsia="宋体" w:cs="Times New Roman"/>
                <w:b w:val="0"/>
                <w:bCs w:val="0"/>
                <w:color w:val="auto"/>
                <w:sz w:val="21"/>
                <w:szCs w:val="21"/>
                <w:lang w:eastAsia="zh-CN"/>
              </w:rPr>
              <w:t>如厕</w:t>
            </w:r>
            <w:r>
              <w:rPr>
                <w:rFonts w:hint="default" w:ascii="Times New Roman" w:hAnsi="Times New Roman" w:eastAsia="宋体" w:cs="Times New Roman"/>
                <w:b w:val="0"/>
                <w:bCs w:val="0"/>
                <w:color w:val="auto"/>
                <w:sz w:val="21"/>
                <w:szCs w:val="21"/>
              </w:rPr>
              <w:t>产生的生活污水和施工生产废水。</w:t>
            </w:r>
          </w:p>
          <w:p w14:paraId="155E7978">
            <w:pPr>
              <w:pStyle w:val="29"/>
              <w:spacing w:after="0" w:line="360" w:lineRule="auto"/>
              <w:ind w:left="0" w:leftChars="0" w:firstLine="482"/>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（1）生活污水</w:t>
            </w:r>
          </w:p>
          <w:p w14:paraId="2FEC0E26">
            <w:pPr>
              <w:pStyle w:val="29"/>
              <w:spacing w:after="0" w:line="360" w:lineRule="auto"/>
              <w:ind w:left="0" w:leftChars="0" w:firstLine="482"/>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本项目施工高峰期施工人员人数可达</w:t>
            </w:r>
            <w:r>
              <w:rPr>
                <w:rFonts w:hint="eastAsia" w:hAnsi="Times New Roman" w:eastAsia="宋体" w:cs="Times New Roman"/>
                <w:b w:val="0"/>
                <w:bCs w:val="0"/>
                <w:color w:val="auto"/>
                <w:sz w:val="21"/>
                <w:szCs w:val="21"/>
                <w:lang w:val="en-US" w:eastAsia="zh-CN"/>
              </w:rPr>
              <w:t>30</w:t>
            </w:r>
            <w:r>
              <w:rPr>
                <w:rFonts w:hint="default" w:ascii="Times New Roman" w:hAnsi="Times New Roman" w:eastAsia="宋体" w:cs="Times New Roman"/>
                <w:b w:val="0"/>
                <w:bCs w:val="0"/>
                <w:color w:val="auto"/>
                <w:sz w:val="21"/>
                <w:szCs w:val="21"/>
              </w:rPr>
              <w:t>人，施工人员生活污水排放按每人0.05m</w:t>
            </w:r>
            <w:r>
              <w:rPr>
                <w:rFonts w:hint="default" w:ascii="Times New Roman" w:hAnsi="Times New Roman" w:eastAsia="宋体" w:cs="Times New Roman"/>
                <w:b w:val="0"/>
                <w:bCs w:val="0"/>
                <w:color w:val="auto"/>
                <w:sz w:val="21"/>
                <w:szCs w:val="21"/>
                <w:vertAlign w:val="superscript"/>
              </w:rPr>
              <w:t>3</w:t>
            </w:r>
            <w:r>
              <w:rPr>
                <w:rFonts w:hint="default" w:ascii="Times New Roman" w:hAnsi="Times New Roman" w:eastAsia="宋体" w:cs="Times New Roman"/>
                <w:b w:val="0"/>
                <w:bCs w:val="0"/>
                <w:color w:val="auto"/>
                <w:sz w:val="21"/>
                <w:szCs w:val="21"/>
              </w:rPr>
              <w:t>/d计算，日产生活污水约</w:t>
            </w:r>
            <w:r>
              <w:rPr>
                <w:rFonts w:hint="default" w:ascii="Times New Roman" w:hAnsi="Times New Roman" w:eastAsia="宋体" w:cs="Times New Roman"/>
                <w:b w:val="0"/>
                <w:bCs w:val="0"/>
                <w:color w:val="auto"/>
                <w:sz w:val="21"/>
                <w:szCs w:val="21"/>
                <w:lang w:val="en-US" w:eastAsia="zh-CN"/>
              </w:rPr>
              <w:t>1.</w:t>
            </w:r>
            <w:r>
              <w:rPr>
                <w:rFonts w:hint="eastAsia" w:hAnsi="Times New Roman" w:eastAsia="宋体" w:cs="Times New Roman"/>
                <w:b w:val="0"/>
                <w:bCs w:val="0"/>
                <w:color w:val="auto"/>
                <w:sz w:val="21"/>
                <w:szCs w:val="21"/>
                <w:lang w:val="en-US" w:eastAsia="zh-CN"/>
              </w:rPr>
              <w:t>5</w:t>
            </w:r>
            <w:r>
              <w:rPr>
                <w:rFonts w:hint="default" w:ascii="Times New Roman" w:hAnsi="Times New Roman" w:eastAsia="宋体" w:cs="Times New Roman"/>
                <w:b w:val="0"/>
                <w:bCs w:val="0"/>
                <w:color w:val="auto"/>
                <w:sz w:val="21"/>
                <w:szCs w:val="21"/>
              </w:rPr>
              <w:t>m</w:t>
            </w:r>
            <w:r>
              <w:rPr>
                <w:rFonts w:hint="default" w:ascii="Times New Roman" w:hAnsi="Times New Roman" w:eastAsia="宋体" w:cs="Times New Roman"/>
                <w:b w:val="0"/>
                <w:bCs w:val="0"/>
                <w:color w:val="auto"/>
                <w:sz w:val="21"/>
                <w:szCs w:val="21"/>
                <w:vertAlign w:val="superscript"/>
              </w:rPr>
              <w:t>3</w:t>
            </w:r>
            <w:r>
              <w:rPr>
                <w:rFonts w:hint="default" w:ascii="Times New Roman" w:hAnsi="Times New Roman" w:eastAsia="宋体" w:cs="Times New Roman"/>
                <w:b w:val="0"/>
                <w:bCs w:val="0"/>
                <w:color w:val="auto"/>
                <w:sz w:val="21"/>
                <w:szCs w:val="21"/>
              </w:rPr>
              <w:t>/d，</w:t>
            </w:r>
            <w:r>
              <w:rPr>
                <w:rFonts w:hint="default" w:ascii="Times New Roman" w:hAnsi="Times New Roman" w:eastAsia="宋体" w:cs="Times New Roman"/>
                <w:b w:val="0"/>
                <w:bCs w:val="0"/>
                <w:color w:val="auto"/>
                <w:sz w:val="21"/>
                <w:szCs w:val="21"/>
                <w:lang w:val="en-US" w:eastAsia="zh-CN"/>
              </w:rPr>
              <w:t>依托周边已有设施</w:t>
            </w:r>
            <w:r>
              <w:rPr>
                <w:rFonts w:hint="default" w:ascii="Times New Roman" w:hAnsi="Times New Roman" w:eastAsia="宋体" w:cs="Times New Roman"/>
                <w:b w:val="0"/>
                <w:bCs w:val="0"/>
                <w:color w:val="auto"/>
                <w:sz w:val="21"/>
                <w:szCs w:val="21"/>
              </w:rPr>
              <w:t>。</w:t>
            </w:r>
          </w:p>
          <w:p w14:paraId="4CDE8FE0">
            <w:pPr>
              <w:pStyle w:val="29"/>
              <w:spacing w:after="0" w:line="360" w:lineRule="auto"/>
              <w:ind w:left="0" w:leftChars="0" w:firstLine="482"/>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（2）生产废水</w:t>
            </w:r>
          </w:p>
          <w:p w14:paraId="098B46DC">
            <w:pPr>
              <w:pStyle w:val="29"/>
              <w:spacing w:after="0" w:line="360" w:lineRule="auto"/>
              <w:ind w:left="0" w:leftChars="0" w:firstLine="482"/>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本项目施工期施工生产废水主要来自备料生产废水、施工机械冲洗废水等，该类废水含大量</w:t>
            </w:r>
            <w:r>
              <w:rPr>
                <w:rFonts w:hint="eastAsia" w:ascii="Times New Roman" w:hAnsi="Times New Roman" w:eastAsia="宋体" w:cs="Times New Roman"/>
                <w:b w:val="0"/>
                <w:bCs w:val="0"/>
                <w:color w:val="auto"/>
                <w:sz w:val="21"/>
                <w:szCs w:val="21"/>
                <w:lang w:eastAsia="zh-CN"/>
              </w:rPr>
              <w:t>泥沙</w:t>
            </w:r>
            <w:r>
              <w:rPr>
                <w:rFonts w:hint="default" w:ascii="Times New Roman" w:hAnsi="Times New Roman" w:eastAsia="宋体" w:cs="Times New Roman"/>
                <w:b w:val="0"/>
                <w:bCs w:val="0"/>
                <w:color w:val="auto"/>
                <w:sz w:val="21"/>
                <w:szCs w:val="21"/>
              </w:rPr>
              <w:t>，悬浮物浓度较高，pH值呈弱碱性，并带有少量的油污。施工生产废水中BOD</w:t>
            </w:r>
            <w:r>
              <w:rPr>
                <w:rFonts w:hint="default" w:ascii="Times New Roman" w:hAnsi="Times New Roman" w:eastAsia="宋体" w:cs="Times New Roman"/>
                <w:b w:val="0"/>
                <w:bCs w:val="0"/>
                <w:color w:val="auto"/>
                <w:sz w:val="21"/>
                <w:szCs w:val="21"/>
                <w:vertAlign w:val="subscript"/>
              </w:rPr>
              <w:t>5</w:t>
            </w:r>
            <w:r>
              <w:rPr>
                <w:rFonts w:hint="default" w:ascii="Times New Roman" w:hAnsi="Times New Roman" w:eastAsia="宋体" w:cs="Times New Roman"/>
                <w:b w:val="0"/>
                <w:bCs w:val="0"/>
                <w:color w:val="auto"/>
                <w:sz w:val="21"/>
                <w:szCs w:val="21"/>
              </w:rPr>
              <w:t>浓度值最高约400mg/L、COD浓度值最高约600mg/L、SS浓度值最高约1000mg/L。根据续建工程的特点，预计施工生产废水产生量约为5.0m</w:t>
            </w:r>
            <w:r>
              <w:rPr>
                <w:rFonts w:hint="default" w:ascii="Times New Roman" w:hAnsi="Times New Roman" w:eastAsia="宋体" w:cs="Times New Roman"/>
                <w:b w:val="0"/>
                <w:bCs w:val="0"/>
                <w:color w:val="auto"/>
                <w:sz w:val="21"/>
                <w:szCs w:val="21"/>
                <w:vertAlign w:val="superscript"/>
              </w:rPr>
              <w:t>3</w:t>
            </w:r>
            <w:r>
              <w:rPr>
                <w:rFonts w:hint="default" w:ascii="Times New Roman" w:hAnsi="Times New Roman" w:eastAsia="宋体" w:cs="Times New Roman"/>
                <w:b w:val="0"/>
                <w:bCs w:val="0"/>
                <w:color w:val="auto"/>
                <w:sz w:val="21"/>
                <w:szCs w:val="21"/>
              </w:rPr>
              <w:t>/d。针对本项目施工生产废水特点，本环评要求施工单位在现场修建临时隔油沉淀池对施工废水进行隔油、沉淀处理后，用于水泥</w:t>
            </w:r>
            <w:r>
              <w:rPr>
                <w:rFonts w:hint="eastAsia" w:ascii="Times New Roman" w:hAnsi="Times New Roman" w:eastAsia="宋体" w:cs="Times New Roman"/>
                <w:b w:val="0"/>
                <w:bCs w:val="0"/>
                <w:color w:val="auto"/>
                <w:sz w:val="21"/>
                <w:szCs w:val="21"/>
                <w:lang w:eastAsia="zh-CN"/>
              </w:rPr>
              <w:t>砂浆</w:t>
            </w:r>
            <w:r>
              <w:rPr>
                <w:rFonts w:hint="default" w:ascii="Times New Roman" w:hAnsi="Times New Roman" w:eastAsia="宋体" w:cs="Times New Roman"/>
                <w:b w:val="0"/>
                <w:bCs w:val="0"/>
                <w:color w:val="auto"/>
                <w:sz w:val="21"/>
                <w:szCs w:val="21"/>
              </w:rPr>
              <w:t>拌料回用，严禁外排。同时沉淀池</w:t>
            </w:r>
            <w:r>
              <w:rPr>
                <w:rFonts w:hint="eastAsia" w:ascii="Times New Roman" w:hAnsi="Times New Roman" w:eastAsia="宋体" w:cs="Times New Roman"/>
                <w:b w:val="0"/>
                <w:bCs w:val="0"/>
                <w:color w:val="auto"/>
                <w:sz w:val="21"/>
                <w:szCs w:val="21"/>
                <w:lang w:eastAsia="zh-CN"/>
              </w:rPr>
              <w:t>泥沙</w:t>
            </w:r>
            <w:r>
              <w:rPr>
                <w:rFonts w:hint="default" w:ascii="Times New Roman" w:hAnsi="Times New Roman" w:eastAsia="宋体" w:cs="Times New Roman"/>
                <w:b w:val="0"/>
                <w:bCs w:val="0"/>
                <w:color w:val="auto"/>
                <w:sz w:val="21"/>
                <w:szCs w:val="21"/>
              </w:rPr>
              <w:t>也可用作建筑砂浆回用。</w:t>
            </w:r>
          </w:p>
          <w:p w14:paraId="5AA4C3C8">
            <w:pPr>
              <w:snapToGrid w:val="0"/>
              <w:spacing w:before="120" w:beforeLines="50"/>
              <w:jc w:val="center"/>
              <w:rPr>
                <w:rFonts w:hint="default"/>
                <w:b/>
                <w:color w:val="auto"/>
                <w:sz w:val="21"/>
                <w:szCs w:val="21"/>
              </w:rPr>
            </w:pPr>
            <w:r>
              <w:rPr>
                <w:rFonts w:hint="default"/>
                <w:b/>
                <w:color w:val="auto"/>
                <w:sz w:val="21"/>
                <w:szCs w:val="21"/>
              </w:rPr>
              <w:t>表</w:t>
            </w:r>
            <w:r>
              <w:rPr>
                <w:rFonts w:hint="eastAsia"/>
                <w:b/>
                <w:color w:val="auto"/>
                <w:sz w:val="21"/>
                <w:szCs w:val="21"/>
                <w:lang w:val="en-US" w:eastAsia="zh-CN"/>
              </w:rPr>
              <w:t>4</w:t>
            </w:r>
            <w:r>
              <w:rPr>
                <w:rFonts w:hint="default"/>
                <w:b/>
                <w:color w:val="auto"/>
                <w:sz w:val="21"/>
                <w:szCs w:val="21"/>
              </w:rPr>
              <w:t>-1 施工期废水产生、治理及排放情况</w:t>
            </w:r>
          </w:p>
          <w:tbl>
            <w:tblPr>
              <w:tblStyle w:val="30"/>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38"/>
              <w:gridCol w:w="1136"/>
              <w:gridCol w:w="2268"/>
              <w:gridCol w:w="1386"/>
              <w:gridCol w:w="1791"/>
            </w:tblGrid>
            <w:tr w14:paraId="1F5D51E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947" w:type="pct"/>
                  <w:tcBorders>
                    <w:top w:val="single" w:color="auto" w:sz="12" w:space="0"/>
                    <w:bottom w:val="single" w:color="auto" w:sz="12" w:space="0"/>
                  </w:tcBorders>
                  <w:noWrap w:val="0"/>
                  <w:vAlign w:val="center"/>
                </w:tcPr>
                <w:p w14:paraId="64B64942">
                  <w:pPr>
                    <w:pStyle w:val="82"/>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污染源</w:t>
                  </w:r>
                </w:p>
              </w:tc>
              <w:tc>
                <w:tcPr>
                  <w:tcW w:w="699" w:type="pct"/>
                  <w:tcBorders>
                    <w:top w:val="single" w:color="auto" w:sz="12" w:space="0"/>
                    <w:bottom w:val="single" w:color="auto" w:sz="12" w:space="0"/>
                  </w:tcBorders>
                  <w:noWrap w:val="0"/>
                  <w:vAlign w:val="center"/>
                </w:tcPr>
                <w:p w14:paraId="11CBF0B5">
                  <w:pPr>
                    <w:pStyle w:val="82"/>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产生地点</w:t>
                  </w:r>
                </w:p>
              </w:tc>
              <w:tc>
                <w:tcPr>
                  <w:tcW w:w="1396" w:type="pct"/>
                  <w:tcBorders>
                    <w:top w:val="single" w:color="auto" w:sz="12" w:space="0"/>
                    <w:bottom w:val="single" w:color="auto" w:sz="12" w:space="0"/>
                  </w:tcBorders>
                  <w:noWrap w:val="0"/>
                  <w:vAlign w:val="center"/>
                </w:tcPr>
                <w:p w14:paraId="424E532B">
                  <w:pPr>
                    <w:pStyle w:val="82"/>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产生情况</w:t>
                  </w:r>
                </w:p>
              </w:tc>
              <w:tc>
                <w:tcPr>
                  <w:tcW w:w="853" w:type="pct"/>
                  <w:tcBorders>
                    <w:top w:val="single" w:color="auto" w:sz="12" w:space="0"/>
                    <w:bottom w:val="single" w:color="auto" w:sz="12" w:space="0"/>
                  </w:tcBorders>
                  <w:noWrap w:val="0"/>
                  <w:vAlign w:val="center"/>
                </w:tcPr>
                <w:p w14:paraId="3AA73DE3">
                  <w:pPr>
                    <w:pStyle w:val="82"/>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治理措施</w:t>
                  </w:r>
                </w:p>
              </w:tc>
              <w:tc>
                <w:tcPr>
                  <w:tcW w:w="1102" w:type="pct"/>
                  <w:tcBorders>
                    <w:top w:val="single" w:color="auto" w:sz="12" w:space="0"/>
                    <w:bottom w:val="single" w:color="auto" w:sz="12" w:space="0"/>
                  </w:tcBorders>
                  <w:noWrap w:val="0"/>
                  <w:vAlign w:val="center"/>
                </w:tcPr>
                <w:p w14:paraId="54E9CD1D">
                  <w:pPr>
                    <w:pStyle w:val="82"/>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排放情况</w:t>
                  </w:r>
                </w:p>
              </w:tc>
            </w:tr>
            <w:tr w14:paraId="3822305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947" w:type="pct"/>
                  <w:tcBorders>
                    <w:top w:val="single" w:color="auto" w:sz="12" w:space="0"/>
                  </w:tcBorders>
                  <w:noWrap w:val="0"/>
                  <w:vAlign w:val="center"/>
                </w:tcPr>
                <w:p w14:paraId="2B244456">
                  <w:pPr>
                    <w:pStyle w:val="82"/>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施工机械、运输车辆冲洗；砂浆拌和等施工环节</w:t>
                  </w:r>
                </w:p>
              </w:tc>
              <w:tc>
                <w:tcPr>
                  <w:tcW w:w="699" w:type="pct"/>
                  <w:tcBorders>
                    <w:top w:val="single" w:color="auto" w:sz="12" w:space="0"/>
                  </w:tcBorders>
                  <w:noWrap w:val="0"/>
                  <w:vAlign w:val="center"/>
                </w:tcPr>
                <w:p w14:paraId="31CE17E3">
                  <w:pPr>
                    <w:pStyle w:val="82"/>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施工场地</w:t>
                  </w:r>
                </w:p>
              </w:tc>
              <w:tc>
                <w:tcPr>
                  <w:tcW w:w="1396" w:type="pct"/>
                  <w:tcBorders>
                    <w:top w:val="single" w:color="auto" w:sz="12" w:space="0"/>
                  </w:tcBorders>
                  <w:noWrap w:val="0"/>
                  <w:vAlign w:val="center"/>
                </w:tcPr>
                <w:p w14:paraId="084F35D8">
                  <w:pPr>
                    <w:pStyle w:val="82"/>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废水量：1825m</w:t>
                  </w:r>
                  <w:r>
                    <w:rPr>
                      <w:rFonts w:hint="default" w:ascii="Times New Roman" w:hAnsi="Times New Roman" w:eastAsia="宋体" w:cs="Times New Roman"/>
                      <w:bCs/>
                      <w:color w:val="auto"/>
                      <w:sz w:val="18"/>
                      <w:szCs w:val="18"/>
                      <w:vertAlign w:val="superscript"/>
                      <w:lang w:val="en-US" w:eastAsia="zh-CN"/>
                    </w:rPr>
                    <w:t>3</w:t>
                  </w:r>
                </w:p>
                <w:p w14:paraId="0AE7B71A">
                  <w:pPr>
                    <w:pStyle w:val="82"/>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CODCr：600mg/L，1.1t</w:t>
                  </w:r>
                </w:p>
                <w:p w14:paraId="74B6D87A">
                  <w:pPr>
                    <w:pStyle w:val="82"/>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BOD5：400mg/L，0.73t</w:t>
                  </w:r>
                </w:p>
                <w:p w14:paraId="77E62427">
                  <w:pPr>
                    <w:pStyle w:val="82"/>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SS：1000mg/L，1.83t</w:t>
                  </w:r>
                </w:p>
              </w:tc>
              <w:tc>
                <w:tcPr>
                  <w:tcW w:w="853" w:type="pct"/>
                  <w:tcBorders>
                    <w:top w:val="single" w:color="auto" w:sz="12" w:space="0"/>
                  </w:tcBorders>
                  <w:noWrap w:val="0"/>
                  <w:vAlign w:val="center"/>
                </w:tcPr>
                <w:p w14:paraId="339A6C7A">
                  <w:pPr>
                    <w:pStyle w:val="82"/>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隔油沉淀池处理</w:t>
                  </w:r>
                </w:p>
              </w:tc>
              <w:tc>
                <w:tcPr>
                  <w:tcW w:w="1102" w:type="pct"/>
                  <w:tcBorders>
                    <w:top w:val="single" w:color="auto" w:sz="12" w:space="0"/>
                  </w:tcBorders>
                  <w:noWrap w:val="0"/>
                  <w:vAlign w:val="center"/>
                </w:tcPr>
                <w:p w14:paraId="4AA570C8">
                  <w:pPr>
                    <w:pStyle w:val="82"/>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工程回用，不外排</w:t>
                  </w:r>
                </w:p>
              </w:tc>
            </w:tr>
            <w:tr w14:paraId="5D813B3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947" w:type="pct"/>
                  <w:tcBorders>
                    <w:bottom w:val="single" w:color="auto" w:sz="12" w:space="0"/>
                  </w:tcBorders>
                  <w:noWrap w:val="0"/>
                  <w:vAlign w:val="center"/>
                </w:tcPr>
                <w:p w14:paraId="28B92128">
                  <w:pPr>
                    <w:pStyle w:val="82"/>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施工人员</w:t>
                  </w:r>
                </w:p>
              </w:tc>
              <w:tc>
                <w:tcPr>
                  <w:tcW w:w="699" w:type="pct"/>
                  <w:tcBorders>
                    <w:bottom w:val="single" w:color="auto" w:sz="12" w:space="0"/>
                  </w:tcBorders>
                  <w:noWrap w:val="0"/>
                  <w:vAlign w:val="center"/>
                </w:tcPr>
                <w:p w14:paraId="369A06ED">
                  <w:pPr>
                    <w:pStyle w:val="82"/>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施工场地</w:t>
                  </w:r>
                </w:p>
              </w:tc>
              <w:tc>
                <w:tcPr>
                  <w:tcW w:w="1396" w:type="pct"/>
                  <w:tcBorders>
                    <w:bottom w:val="single" w:color="auto" w:sz="12" w:space="0"/>
                  </w:tcBorders>
                  <w:noWrap w:val="0"/>
                  <w:vAlign w:val="center"/>
                </w:tcPr>
                <w:p w14:paraId="3E318C72">
                  <w:pPr>
                    <w:pStyle w:val="82"/>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废水量：</w:t>
                  </w:r>
                  <w:r>
                    <w:rPr>
                      <w:rFonts w:hint="eastAsia" w:ascii="Times New Roman" w:hAnsi="Times New Roman" w:eastAsia="宋体" w:cs="Times New Roman"/>
                      <w:bCs/>
                      <w:color w:val="auto"/>
                      <w:sz w:val="18"/>
                      <w:szCs w:val="18"/>
                      <w:lang w:val="en-US" w:eastAsia="zh-CN"/>
                    </w:rPr>
                    <w:t>547.5</w:t>
                  </w:r>
                  <w:r>
                    <w:rPr>
                      <w:rFonts w:hint="default" w:ascii="Times New Roman" w:hAnsi="Times New Roman" w:eastAsia="宋体" w:cs="Times New Roman"/>
                      <w:bCs/>
                      <w:color w:val="auto"/>
                      <w:sz w:val="18"/>
                      <w:szCs w:val="18"/>
                      <w:lang w:val="en-US" w:eastAsia="zh-CN"/>
                    </w:rPr>
                    <w:t>m</w:t>
                  </w:r>
                  <w:r>
                    <w:rPr>
                      <w:rFonts w:hint="default" w:ascii="Times New Roman" w:hAnsi="Times New Roman" w:eastAsia="宋体" w:cs="Times New Roman"/>
                      <w:bCs/>
                      <w:color w:val="auto"/>
                      <w:sz w:val="18"/>
                      <w:szCs w:val="18"/>
                      <w:vertAlign w:val="superscript"/>
                      <w:lang w:val="en-US" w:eastAsia="zh-CN"/>
                    </w:rPr>
                    <w:t>3</w:t>
                  </w:r>
                </w:p>
                <w:p w14:paraId="15557ABB">
                  <w:pPr>
                    <w:pStyle w:val="82"/>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CODCr：280mg/L，0.</w:t>
                  </w:r>
                  <w:r>
                    <w:rPr>
                      <w:rFonts w:hint="eastAsia" w:ascii="Times New Roman" w:hAnsi="Times New Roman" w:eastAsia="宋体" w:cs="Times New Roman"/>
                      <w:bCs/>
                      <w:color w:val="auto"/>
                      <w:sz w:val="18"/>
                      <w:szCs w:val="18"/>
                      <w:lang w:val="en-US" w:eastAsia="zh-CN"/>
                    </w:rPr>
                    <w:t>15</w:t>
                  </w:r>
                  <w:r>
                    <w:rPr>
                      <w:rFonts w:hint="default" w:ascii="Times New Roman" w:hAnsi="Times New Roman" w:eastAsia="宋体" w:cs="Times New Roman"/>
                      <w:bCs/>
                      <w:color w:val="auto"/>
                      <w:sz w:val="18"/>
                      <w:szCs w:val="18"/>
                      <w:lang w:val="en-US" w:eastAsia="zh-CN"/>
                    </w:rPr>
                    <w:t>t</w:t>
                  </w:r>
                </w:p>
                <w:p w14:paraId="66F79C92">
                  <w:pPr>
                    <w:pStyle w:val="82"/>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BOD5：150mg/L，0.0</w:t>
                  </w:r>
                  <w:r>
                    <w:rPr>
                      <w:rFonts w:hint="eastAsia" w:ascii="Times New Roman" w:hAnsi="Times New Roman" w:eastAsia="宋体" w:cs="Times New Roman"/>
                      <w:bCs/>
                      <w:color w:val="auto"/>
                      <w:sz w:val="18"/>
                      <w:szCs w:val="18"/>
                      <w:lang w:val="en-US" w:eastAsia="zh-CN"/>
                    </w:rPr>
                    <w:t>8</w:t>
                  </w:r>
                  <w:r>
                    <w:rPr>
                      <w:rFonts w:hint="default" w:ascii="Times New Roman" w:hAnsi="Times New Roman" w:eastAsia="宋体" w:cs="Times New Roman"/>
                      <w:bCs/>
                      <w:color w:val="auto"/>
                      <w:sz w:val="18"/>
                      <w:szCs w:val="18"/>
                      <w:lang w:val="en-US" w:eastAsia="zh-CN"/>
                    </w:rPr>
                    <w:t>t</w:t>
                  </w:r>
                </w:p>
                <w:p w14:paraId="4C7EFE54">
                  <w:pPr>
                    <w:pStyle w:val="82"/>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de-DE" w:eastAsia="zh-CN"/>
                    </w:rPr>
                    <w:t>SS：180mg/L，0.</w:t>
                  </w:r>
                  <w:r>
                    <w:rPr>
                      <w:rFonts w:hint="eastAsia" w:ascii="Times New Roman" w:hAnsi="Times New Roman" w:eastAsia="宋体" w:cs="Times New Roman"/>
                      <w:bCs/>
                      <w:color w:val="auto"/>
                      <w:sz w:val="18"/>
                      <w:szCs w:val="18"/>
                      <w:lang w:val="en-US" w:eastAsia="zh-CN"/>
                    </w:rPr>
                    <w:t>1</w:t>
                  </w:r>
                  <w:r>
                    <w:rPr>
                      <w:rFonts w:hint="default" w:ascii="Times New Roman" w:hAnsi="Times New Roman" w:eastAsia="宋体" w:cs="Times New Roman"/>
                      <w:bCs/>
                      <w:color w:val="auto"/>
                      <w:sz w:val="18"/>
                      <w:szCs w:val="18"/>
                      <w:lang w:val="de-DE" w:eastAsia="zh-CN"/>
                    </w:rPr>
                    <w:t>t</w:t>
                  </w:r>
                </w:p>
                <w:p w14:paraId="0DB074C6">
                  <w:pPr>
                    <w:pStyle w:val="82"/>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de-DE" w:eastAsia="zh-CN"/>
                    </w:rPr>
                    <w:t>NH3-N：30mg/L，0.0</w:t>
                  </w:r>
                  <w:r>
                    <w:rPr>
                      <w:rFonts w:hint="default" w:ascii="Times New Roman" w:hAnsi="Times New Roman" w:eastAsia="宋体" w:cs="Times New Roman"/>
                      <w:bCs/>
                      <w:color w:val="auto"/>
                      <w:sz w:val="18"/>
                      <w:szCs w:val="18"/>
                      <w:lang w:val="en-US" w:eastAsia="zh-CN"/>
                    </w:rPr>
                    <w:t>1</w:t>
                  </w:r>
                  <w:r>
                    <w:rPr>
                      <w:rFonts w:hint="eastAsia" w:ascii="Times New Roman" w:hAnsi="Times New Roman" w:eastAsia="宋体" w:cs="Times New Roman"/>
                      <w:bCs/>
                      <w:color w:val="auto"/>
                      <w:sz w:val="18"/>
                      <w:szCs w:val="18"/>
                      <w:lang w:val="en-US" w:eastAsia="zh-CN"/>
                    </w:rPr>
                    <w:t>6</w:t>
                  </w:r>
                  <w:r>
                    <w:rPr>
                      <w:rFonts w:hint="default" w:ascii="Times New Roman" w:hAnsi="Times New Roman" w:eastAsia="宋体" w:cs="Times New Roman"/>
                      <w:bCs/>
                      <w:color w:val="auto"/>
                      <w:sz w:val="18"/>
                      <w:szCs w:val="18"/>
                      <w:lang w:val="de-DE" w:eastAsia="zh-CN"/>
                    </w:rPr>
                    <w:t>t</w:t>
                  </w:r>
                </w:p>
              </w:tc>
              <w:tc>
                <w:tcPr>
                  <w:tcW w:w="853" w:type="pct"/>
                  <w:tcBorders>
                    <w:bottom w:val="single" w:color="auto" w:sz="12" w:space="0"/>
                  </w:tcBorders>
                  <w:noWrap w:val="0"/>
                  <w:vAlign w:val="center"/>
                </w:tcPr>
                <w:p w14:paraId="5D281B10">
                  <w:pPr>
                    <w:pStyle w:val="82"/>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依托周边已有设施</w:t>
                  </w:r>
                </w:p>
              </w:tc>
              <w:tc>
                <w:tcPr>
                  <w:tcW w:w="1102" w:type="pct"/>
                  <w:tcBorders>
                    <w:bottom w:val="single" w:color="auto" w:sz="12" w:space="0"/>
                  </w:tcBorders>
                  <w:noWrap w:val="0"/>
                  <w:vAlign w:val="center"/>
                </w:tcPr>
                <w:p w14:paraId="78FE0591">
                  <w:pPr>
                    <w:pStyle w:val="82"/>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w:t>
                  </w:r>
                </w:p>
              </w:tc>
            </w:tr>
          </w:tbl>
          <w:p w14:paraId="4702B663">
            <w:pPr>
              <w:pStyle w:val="29"/>
              <w:spacing w:after="0" w:line="360" w:lineRule="auto"/>
              <w:ind w:left="0" w:leftChars="0" w:firstLine="0" w:firstLineChars="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2、施工期废气产生、治理及排放</w:t>
            </w:r>
          </w:p>
          <w:p w14:paraId="06EB87F0">
            <w:pPr>
              <w:pStyle w:val="29"/>
              <w:spacing w:after="0" w:line="360" w:lineRule="auto"/>
              <w:ind w:left="0" w:leftChars="0" w:firstLine="482"/>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本项目施工期产生的大气污染物主要为施工扬尘、施工机械和运输车辆尾气。</w:t>
            </w:r>
          </w:p>
          <w:p w14:paraId="6E64E223">
            <w:pPr>
              <w:pStyle w:val="29"/>
              <w:spacing w:after="0" w:line="360" w:lineRule="auto"/>
              <w:ind w:left="0" w:leftChars="0" w:firstLine="482"/>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（1）扬尘</w:t>
            </w:r>
          </w:p>
          <w:p w14:paraId="646CBCC2">
            <w:pPr>
              <w:pStyle w:val="29"/>
              <w:spacing w:after="0" w:line="360" w:lineRule="auto"/>
              <w:ind w:left="0" w:leftChars="0" w:firstLine="482"/>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本项目产生扬尘主要来自</w:t>
            </w:r>
            <w:r>
              <w:rPr>
                <w:rFonts w:hint="default" w:ascii="Times New Roman" w:hAnsi="Times New Roman" w:eastAsia="宋体" w:cs="Times New Roman"/>
                <w:b w:val="0"/>
                <w:bCs w:val="0"/>
                <w:color w:val="auto"/>
                <w:sz w:val="21"/>
                <w:szCs w:val="21"/>
                <w:lang w:val="en-US" w:eastAsia="zh-CN"/>
              </w:rPr>
              <w:t>厂区</w:t>
            </w:r>
            <w:r>
              <w:rPr>
                <w:rFonts w:hint="default" w:ascii="Times New Roman" w:hAnsi="Times New Roman" w:eastAsia="宋体" w:cs="Times New Roman"/>
                <w:b w:val="0"/>
                <w:bCs w:val="0"/>
                <w:color w:val="auto"/>
                <w:sz w:val="21"/>
                <w:szCs w:val="21"/>
              </w:rPr>
              <w:t>施工土石方开挖、渣土堆放及车辆行驶。经类比分析，施工场地扬尘浓度平均值约为3.5mg/m</w:t>
            </w:r>
            <w:r>
              <w:rPr>
                <w:rFonts w:hint="default" w:ascii="Times New Roman" w:hAnsi="Times New Roman" w:eastAsia="宋体" w:cs="Times New Roman"/>
                <w:b w:val="0"/>
                <w:bCs w:val="0"/>
                <w:color w:val="auto"/>
                <w:sz w:val="21"/>
                <w:szCs w:val="21"/>
                <w:vertAlign w:val="superscript"/>
              </w:rPr>
              <w:t>3</w:t>
            </w:r>
            <w:r>
              <w:rPr>
                <w:rFonts w:hint="default" w:ascii="Times New Roman" w:hAnsi="Times New Roman" w:eastAsia="宋体" w:cs="Times New Roman"/>
                <w:b w:val="0"/>
                <w:bCs w:val="0"/>
                <w:color w:val="auto"/>
                <w:sz w:val="21"/>
                <w:szCs w:val="21"/>
              </w:rPr>
              <w:t>。因此，在施工过程中，施工单位必须严格依照相关的扬尘治理规定进行施工，减少扬尘对环境的影响。根据《关于有效控制城市扬尘污染的通知》（国家环保总局、建设部环发</w:t>
            </w:r>
            <w:r>
              <w:rPr>
                <w:rFonts w:hint="eastAsia"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2001</w:t>
            </w:r>
            <w:r>
              <w:rPr>
                <w:rFonts w:hint="eastAsia"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56号）、《四川省</w:t>
            </w:r>
            <w:r>
              <w:rPr>
                <w:rFonts w:hint="eastAsia"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中华人民共和国大气污染防治法</w:t>
            </w:r>
            <w:r>
              <w:rPr>
                <w:rFonts w:hint="eastAsia"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实施办法》等文件要求，环评要求施工单位采取以下措施防治扬尘：</w:t>
            </w:r>
          </w:p>
          <w:p w14:paraId="7B431FB1">
            <w:pPr>
              <w:pStyle w:val="29"/>
              <w:spacing w:after="0" w:line="360" w:lineRule="auto"/>
              <w:ind w:left="0" w:leftChars="0" w:firstLine="482"/>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①要求施工单位文明施工，定期对地面洒水（在干燥天气适当加大洒水的频率和洒水量），并对</w:t>
            </w:r>
            <w:r>
              <w:rPr>
                <w:rFonts w:hint="eastAsia" w:ascii="Times New Roman" w:hAnsi="Times New Roman" w:eastAsia="宋体" w:cs="Times New Roman"/>
                <w:b w:val="0"/>
                <w:bCs w:val="0"/>
                <w:color w:val="auto"/>
                <w:sz w:val="21"/>
                <w:szCs w:val="21"/>
                <w:lang w:eastAsia="zh-CN"/>
              </w:rPr>
              <w:t>散落</w:t>
            </w:r>
            <w:r>
              <w:rPr>
                <w:rFonts w:hint="default" w:ascii="Times New Roman" w:hAnsi="Times New Roman" w:eastAsia="宋体" w:cs="Times New Roman"/>
                <w:b w:val="0"/>
                <w:bCs w:val="0"/>
                <w:color w:val="auto"/>
                <w:sz w:val="21"/>
                <w:szCs w:val="21"/>
              </w:rPr>
              <w:t>在路面的渣土及时清除，清理时做到先洒水后清扫，避免产生扬尘对环境造成影响。</w:t>
            </w:r>
          </w:p>
          <w:p w14:paraId="0C926413">
            <w:pPr>
              <w:pStyle w:val="29"/>
              <w:spacing w:after="0" w:line="360" w:lineRule="auto"/>
              <w:ind w:left="0" w:leftChars="0" w:firstLine="482"/>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②由于道路产生的扬尘量与车辆的行驶速度有关，速度越快，扬尘量越大。因此，在施工场地对施工车辆必须实施限速行驶，同时施工现场主要运输道路尽量采用硬化路面并进行洒水抑尘；在施工场地出口放置防尘垫，对运输车辆现场设置洗车场，用水清洗车体和轮胎；自卸车、垃圾运输车等运输车辆不允许超载，并选择对周围环境影响较小的运输路线，定时对运输路线进行清扫，运输车辆</w:t>
            </w:r>
            <w:r>
              <w:rPr>
                <w:rFonts w:hint="eastAsia" w:ascii="Times New Roman" w:hAnsi="Times New Roman" w:eastAsia="宋体" w:cs="Times New Roman"/>
                <w:b w:val="0"/>
                <w:bCs w:val="0"/>
                <w:color w:val="auto"/>
                <w:sz w:val="21"/>
                <w:szCs w:val="21"/>
                <w:lang w:eastAsia="zh-CN"/>
              </w:rPr>
              <w:t>出厂</w:t>
            </w:r>
            <w:r>
              <w:rPr>
                <w:rFonts w:hint="default" w:ascii="Times New Roman" w:hAnsi="Times New Roman" w:eastAsia="宋体" w:cs="Times New Roman"/>
                <w:b w:val="0"/>
                <w:bCs w:val="0"/>
                <w:color w:val="auto"/>
                <w:sz w:val="21"/>
                <w:szCs w:val="21"/>
              </w:rPr>
              <w:t>时必须封闭，避免在运输过程中的抛洒现象。</w:t>
            </w:r>
          </w:p>
          <w:p w14:paraId="27894B97">
            <w:pPr>
              <w:pStyle w:val="29"/>
              <w:spacing w:after="0" w:line="360" w:lineRule="auto"/>
              <w:ind w:left="0" w:leftChars="0" w:firstLine="482"/>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③禁止在风天进行渣土堆放作业，建材堆放地点要相对集中，临时废弃土石堆场及时清运，并对堆场以毡布覆盖，裸露地面进行硬化和绿化，减少建材的露天堆放时间；开挖出的土石方应加强围栏，表面用毡布覆盖，并及时将多余弃土外运。</w:t>
            </w:r>
          </w:p>
          <w:p w14:paraId="502314A2">
            <w:pPr>
              <w:pStyle w:val="29"/>
              <w:spacing w:after="0" w:line="360" w:lineRule="auto"/>
              <w:ind w:left="0" w:leftChars="0" w:firstLine="482"/>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④严格控制建设施工扬尘，组织制定、完善和严格执行建设施工管理制度，全面推行现场标准化管理，施工场地做到“六必须”（必须</w:t>
            </w:r>
            <w:r>
              <w:rPr>
                <w:rFonts w:hint="eastAsia" w:ascii="Times New Roman" w:hAnsi="Times New Roman" w:eastAsia="宋体" w:cs="Times New Roman"/>
                <w:b w:val="0"/>
                <w:bCs w:val="0"/>
                <w:color w:val="auto"/>
                <w:sz w:val="21"/>
                <w:szCs w:val="21"/>
                <w:lang w:eastAsia="zh-CN"/>
              </w:rPr>
              <w:t>围挡</w:t>
            </w:r>
            <w:r>
              <w:rPr>
                <w:rFonts w:hint="default" w:ascii="Times New Roman" w:hAnsi="Times New Roman" w:eastAsia="宋体" w:cs="Times New Roman"/>
                <w:b w:val="0"/>
                <w:bCs w:val="0"/>
                <w:color w:val="auto"/>
                <w:sz w:val="21"/>
                <w:szCs w:val="21"/>
              </w:rPr>
              <w:t>作业、必须硬化道路、必须设置冲洗设施、必须及时洒水作业、必须落实保洁人员、必须定时清扫施工现场）、“六不准”（不准车辆带泥出门、不准运渣车辆冒顶装载、不准高空</w:t>
            </w:r>
            <w:r>
              <w:rPr>
                <w:rFonts w:hint="eastAsia" w:ascii="Times New Roman" w:hAnsi="Times New Roman" w:eastAsia="宋体" w:cs="Times New Roman"/>
                <w:b w:val="0"/>
                <w:bCs w:val="0"/>
                <w:color w:val="auto"/>
                <w:sz w:val="21"/>
                <w:szCs w:val="21"/>
                <w:lang w:eastAsia="zh-CN"/>
              </w:rPr>
              <w:t>抛洒</w:t>
            </w:r>
            <w:r>
              <w:rPr>
                <w:rFonts w:hint="default" w:ascii="Times New Roman" w:hAnsi="Times New Roman" w:eastAsia="宋体" w:cs="Times New Roman"/>
                <w:b w:val="0"/>
                <w:bCs w:val="0"/>
                <w:color w:val="auto"/>
                <w:sz w:val="21"/>
                <w:szCs w:val="21"/>
              </w:rPr>
              <w:t>建筑垃圾、不准现场搅拌混凝土、不准场地积水、不准现场焚烧废弃物）。</w:t>
            </w:r>
          </w:p>
          <w:p w14:paraId="3B0EB4CB">
            <w:pPr>
              <w:pStyle w:val="29"/>
              <w:spacing w:after="0" w:line="360" w:lineRule="auto"/>
              <w:ind w:left="0" w:leftChars="0" w:firstLine="482"/>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（2）施工机械及运输车辆汽车尾气</w:t>
            </w:r>
          </w:p>
          <w:p w14:paraId="533F9F70">
            <w:pPr>
              <w:pStyle w:val="29"/>
              <w:spacing w:after="0" w:line="360" w:lineRule="auto"/>
              <w:ind w:left="0" w:leftChars="0" w:firstLine="482"/>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施工期间，使用机动车运送原材料、设备和建筑机械设备的运转，均会排放一定量的CO、NOx以及未完全燃烧的THC等，其特点是排放量小，且属间断性无组织排放。加之施工场地开阔，扩散条件良好，施工期机械废气及运输车辆汽车尾气可实现达标排放。环评要求施工单位选择尾气排放达标的施工机械和运输车辆，安排专人注意加强施工机械维护，确保机械设备正常运行。</w:t>
            </w:r>
          </w:p>
          <w:p w14:paraId="5400BE44">
            <w:pPr>
              <w:pStyle w:val="29"/>
              <w:spacing w:after="0" w:line="360" w:lineRule="auto"/>
              <w:ind w:left="0" w:leftChars="0" w:firstLine="0" w:firstLineChars="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3、施工期噪声产生、治理及排放</w:t>
            </w:r>
          </w:p>
          <w:p w14:paraId="56EEAA9D">
            <w:pPr>
              <w:pStyle w:val="29"/>
              <w:spacing w:after="0" w:line="360" w:lineRule="auto"/>
              <w:ind w:left="0" w:leftChars="0" w:firstLine="482"/>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本项目施工期噪声源主要有挖掘机、冲击机、振捣器、电锯及运输车</w:t>
            </w:r>
            <w:r>
              <w:rPr>
                <w:rFonts w:hint="eastAsia" w:cs="Times New Roman"/>
                <w:b w:val="0"/>
                <w:bCs w:val="0"/>
                <w:color w:val="auto"/>
                <w:sz w:val="21"/>
                <w:szCs w:val="21"/>
                <w:lang w:eastAsia="zh-CN"/>
              </w:rPr>
              <w:t>辆</w:t>
            </w:r>
            <w:r>
              <w:rPr>
                <w:rFonts w:hint="default" w:ascii="Times New Roman" w:hAnsi="Times New Roman" w:eastAsia="宋体" w:cs="Times New Roman"/>
                <w:b w:val="0"/>
                <w:bCs w:val="0"/>
                <w:color w:val="auto"/>
                <w:sz w:val="21"/>
                <w:szCs w:val="21"/>
              </w:rPr>
              <w:t>等，其运行噪声值一般在75-105dB(A)。由于各施工阶段均有大量施工设备交互间歇性作用，因此产生的设备噪声也是间歇性和短暂性的。经类比分析，各施工阶段主要噪声源及声压级见表</w:t>
            </w:r>
            <w:r>
              <w:rPr>
                <w:rFonts w:hint="eastAsia" w:cs="Times New Roman"/>
                <w:b w:val="0"/>
                <w:bCs w:val="0"/>
                <w:color w:val="auto"/>
                <w:sz w:val="21"/>
                <w:szCs w:val="21"/>
                <w:lang w:val="en-US" w:eastAsia="zh-CN"/>
              </w:rPr>
              <w:t>4-2</w:t>
            </w:r>
            <w:r>
              <w:rPr>
                <w:rFonts w:hint="default" w:ascii="Times New Roman" w:hAnsi="Times New Roman" w:eastAsia="宋体" w:cs="Times New Roman"/>
                <w:b w:val="0"/>
                <w:bCs w:val="0"/>
                <w:color w:val="auto"/>
                <w:sz w:val="21"/>
                <w:szCs w:val="21"/>
              </w:rPr>
              <w:t>；各阶段车辆类型及声压级见表</w:t>
            </w:r>
            <w:r>
              <w:rPr>
                <w:rFonts w:hint="eastAsia" w:ascii="Times New Roman" w:hAnsi="Times New Roman" w:eastAsia="宋体" w:cs="Times New Roman"/>
                <w:b w:val="0"/>
                <w:bCs w:val="0"/>
                <w:color w:val="auto"/>
                <w:sz w:val="21"/>
                <w:szCs w:val="21"/>
                <w:lang w:val="en-US" w:eastAsia="zh-CN"/>
              </w:rPr>
              <w:t>4</w:t>
            </w:r>
            <w:r>
              <w:rPr>
                <w:rFonts w:hint="default" w:ascii="Times New Roman" w:hAnsi="Times New Roman" w:eastAsia="宋体" w:cs="Times New Roman"/>
                <w:b w:val="0"/>
                <w:bCs w:val="0"/>
                <w:color w:val="auto"/>
                <w:sz w:val="21"/>
                <w:szCs w:val="21"/>
              </w:rPr>
              <w:t>-</w:t>
            </w:r>
            <w:r>
              <w:rPr>
                <w:rFonts w:hint="eastAsia" w:cs="Times New Roman"/>
                <w:b w:val="0"/>
                <w:bCs w:val="0"/>
                <w:color w:val="auto"/>
                <w:sz w:val="21"/>
                <w:szCs w:val="21"/>
                <w:lang w:val="en-US" w:eastAsia="zh-CN"/>
              </w:rPr>
              <w:t>3</w:t>
            </w:r>
            <w:r>
              <w:rPr>
                <w:rFonts w:hint="default" w:ascii="Times New Roman" w:hAnsi="Times New Roman" w:eastAsia="宋体" w:cs="Times New Roman"/>
                <w:b w:val="0"/>
                <w:bCs w:val="0"/>
                <w:color w:val="auto"/>
                <w:sz w:val="21"/>
                <w:szCs w:val="21"/>
              </w:rPr>
              <w:t>。</w:t>
            </w:r>
            <w:bookmarkStart w:id="2" w:name="_Ref283395497"/>
          </w:p>
          <w:p w14:paraId="06DE8A4F">
            <w:pPr>
              <w:snapToGrid w:val="0"/>
              <w:spacing w:before="120" w:beforeLines="50"/>
              <w:jc w:val="center"/>
              <w:rPr>
                <w:rFonts w:hint="default"/>
                <w:b/>
                <w:color w:val="auto"/>
                <w:sz w:val="21"/>
                <w:szCs w:val="21"/>
              </w:rPr>
            </w:pPr>
            <w:r>
              <w:rPr>
                <w:rFonts w:hint="default"/>
                <w:b/>
                <w:color w:val="auto"/>
                <w:sz w:val="21"/>
                <w:szCs w:val="21"/>
              </w:rPr>
              <w:t>表</w:t>
            </w:r>
            <w:r>
              <w:rPr>
                <w:rFonts w:hint="eastAsia"/>
                <w:b/>
                <w:color w:val="auto"/>
                <w:sz w:val="21"/>
                <w:szCs w:val="21"/>
                <w:lang w:val="en-US" w:eastAsia="zh-CN"/>
              </w:rPr>
              <w:t>4</w:t>
            </w:r>
            <w:r>
              <w:rPr>
                <w:rFonts w:hint="default"/>
                <w:b/>
                <w:color w:val="auto"/>
                <w:sz w:val="21"/>
                <w:szCs w:val="21"/>
              </w:rPr>
              <w:t>-2 各施工阶段主要噪声源及声压级</w:t>
            </w:r>
            <w:r>
              <w:rPr>
                <w:rFonts w:hint="default"/>
                <w:b/>
                <w:color w:val="auto"/>
                <w:sz w:val="21"/>
                <w:szCs w:val="21"/>
                <w:lang w:val="en-US" w:eastAsia="zh-CN"/>
              </w:rPr>
              <w:t xml:space="preserve">   </w:t>
            </w:r>
            <w:r>
              <w:rPr>
                <w:rFonts w:hint="default"/>
                <w:b/>
                <w:color w:val="auto"/>
                <w:sz w:val="21"/>
                <w:szCs w:val="21"/>
              </w:rPr>
              <w:t xml:space="preserve">   单位：dB(A)</w:t>
            </w:r>
            <w:bookmarkEnd w:id="2"/>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1432"/>
              <w:gridCol w:w="2091"/>
              <w:gridCol w:w="1536"/>
              <w:gridCol w:w="1534"/>
              <w:gridCol w:w="1529"/>
            </w:tblGrid>
            <w:tr w14:paraId="6A348A3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 w:hRule="atLeast"/>
                <w:jc w:val="center"/>
              </w:trPr>
              <w:tc>
                <w:tcPr>
                  <w:tcW w:w="881" w:type="pct"/>
                  <w:tcBorders>
                    <w:top w:val="single" w:color="auto" w:sz="12" w:space="0"/>
                    <w:bottom w:val="single" w:color="auto" w:sz="12" w:space="0"/>
                  </w:tcBorders>
                  <w:noWrap w:val="0"/>
                  <w:vAlign w:val="center"/>
                </w:tcPr>
                <w:p w14:paraId="3FE067D2">
                  <w:pPr>
                    <w:pStyle w:val="82"/>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施工阶段</w:t>
                  </w:r>
                </w:p>
              </w:tc>
              <w:tc>
                <w:tcPr>
                  <w:tcW w:w="1287" w:type="pct"/>
                  <w:tcBorders>
                    <w:top w:val="single" w:color="auto" w:sz="12" w:space="0"/>
                    <w:bottom w:val="single" w:color="auto" w:sz="12" w:space="0"/>
                  </w:tcBorders>
                  <w:noWrap w:val="0"/>
                  <w:vAlign w:val="center"/>
                </w:tcPr>
                <w:p w14:paraId="33C287CD">
                  <w:pPr>
                    <w:pStyle w:val="82"/>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声源</w:t>
                  </w:r>
                </w:p>
              </w:tc>
              <w:tc>
                <w:tcPr>
                  <w:tcW w:w="945" w:type="pct"/>
                  <w:tcBorders>
                    <w:top w:val="single" w:color="auto" w:sz="12" w:space="0"/>
                    <w:bottom w:val="single" w:color="auto" w:sz="12" w:space="0"/>
                  </w:tcBorders>
                  <w:noWrap w:val="0"/>
                  <w:vAlign w:val="center"/>
                </w:tcPr>
                <w:p w14:paraId="0291C83A">
                  <w:pPr>
                    <w:pStyle w:val="82"/>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声源值</w:t>
                  </w:r>
                </w:p>
              </w:tc>
              <w:tc>
                <w:tcPr>
                  <w:tcW w:w="944" w:type="pct"/>
                  <w:tcBorders>
                    <w:top w:val="single" w:color="auto" w:sz="12" w:space="0"/>
                    <w:bottom w:val="single" w:color="auto" w:sz="12" w:space="0"/>
                  </w:tcBorders>
                  <w:noWrap w:val="0"/>
                  <w:vAlign w:val="top"/>
                </w:tcPr>
                <w:p w14:paraId="3A0681F6">
                  <w:pPr>
                    <w:pStyle w:val="82"/>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平均源强值</w:t>
                  </w:r>
                </w:p>
              </w:tc>
              <w:tc>
                <w:tcPr>
                  <w:tcW w:w="941" w:type="pct"/>
                  <w:tcBorders>
                    <w:top w:val="single" w:color="auto" w:sz="12" w:space="0"/>
                    <w:bottom w:val="single" w:color="auto" w:sz="12" w:space="0"/>
                  </w:tcBorders>
                  <w:noWrap w:val="0"/>
                  <w:vAlign w:val="center"/>
                </w:tcPr>
                <w:p w14:paraId="0ED61627">
                  <w:pPr>
                    <w:pStyle w:val="82"/>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备注</w:t>
                  </w:r>
                </w:p>
              </w:tc>
            </w:tr>
            <w:tr w14:paraId="4BB61C3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72" w:hRule="atLeast"/>
                <w:jc w:val="center"/>
              </w:trPr>
              <w:tc>
                <w:tcPr>
                  <w:tcW w:w="881" w:type="pct"/>
                  <w:vMerge w:val="restart"/>
                  <w:tcBorders>
                    <w:top w:val="single" w:color="auto" w:sz="12" w:space="0"/>
                  </w:tcBorders>
                  <w:noWrap w:val="0"/>
                  <w:vAlign w:val="center"/>
                </w:tcPr>
                <w:p w14:paraId="509B2739">
                  <w:pPr>
                    <w:pStyle w:val="82"/>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基础工程阶段</w:t>
                  </w:r>
                </w:p>
              </w:tc>
              <w:tc>
                <w:tcPr>
                  <w:tcW w:w="1287" w:type="pct"/>
                  <w:tcBorders>
                    <w:top w:val="single" w:color="auto" w:sz="12" w:space="0"/>
                    <w:bottom w:val="single" w:color="auto" w:sz="8" w:space="0"/>
                  </w:tcBorders>
                  <w:noWrap w:val="0"/>
                  <w:vAlign w:val="center"/>
                </w:tcPr>
                <w:p w14:paraId="4E0E2FF2">
                  <w:pPr>
                    <w:pStyle w:val="82"/>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挖掘机</w:t>
                  </w:r>
                </w:p>
              </w:tc>
              <w:tc>
                <w:tcPr>
                  <w:tcW w:w="945" w:type="pct"/>
                  <w:tcBorders>
                    <w:top w:val="single" w:color="auto" w:sz="12" w:space="0"/>
                    <w:bottom w:val="single" w:color="auto" w:sz="8" w:space="0"/>
                  </w:tcBorders>
                  <w:noWrap w:val="0"/>
                  <w:vAlign w:val="center"/>
                </w:tcPr>
                <w:p w14:paraId="7B38E8E5">
                  <w:pPr>
                    <w:pStyle w:val="82"/>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78~96</w:t>
                  </w:r>
                </w:p>
              </w:tc>
              <w:tc>
                <w:tcPr>
                  <w:tcW w:w="944" w:type="pct"/>
                  <w:tcBorders>
                    <w:top w:val="single" w:color="auto" w:sz="12" w:space="0"/>
                  </w:tcBorders>
                  <w:noWrap w:val="0"/>
                  <w:vAlign w:val="center"/>
                </w:tcPr>
                <w:p w14:paraId="56AA71CB">
                  <w:pPr>
                    <w:pStyle w:val="82"/>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87</w:t>
                  </w:r>
                </w:p>
              </w:tc>
              <w:tc>
                <w:tcPr>
                  <w:tcW w:w="941" w:type="pct"/>
                  <w:vMerge w:val="restart"/>
                  <w:tcBorders>
                    <w:top w:val="single" w:color="auto" w:sz="12" w:space="0"/>
                  </w:tcBorders>
                  <w:noWrap w:val="0"/>
                  <w:vAlign w:val="center"/>
                </w:tcPr>
                <w:p w14:paraId="758C253A">
                  <w:pPr>
                    <w:pStyle w:val="82"/>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设备1m处</w:t>
                  </w:r>
                </w:p>
              </w:tc>
            </w:tr>
            <w:tr w14:paraId="36C11A4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9" w:hRule="atLeast"/>
                <w:jc w:val="center"/>
              </w:trPr>
              <w:tc>
                <w:tcPr>
                  <w:tcW w:w="881" w:type="pct"/>
                  <w:vMerge w:val="continue"/>
                  <w:noWrap w:val="0"/>
                  <w:vAlign w:val="center"/>
                </w:tcPr>
                <w:p w14:paraId="76C327CF">
                  <w:pPr>
                    <w:pStyle w:val="82"/>
                    <w:rPr>
                      <w:rFonts w:hint="default" w:ascii="Times New Roman" w:hAnsi="Times New Roman" w:eastAsia="宋体" w:cs="Times New Roman"/>
                      <w:bCs/>
                      <w:color w:val="auto"/>
                      <w:sz w:val="18"/>
                      <w:szCs w:val="18"/>
                      <w:lang w:val="en-US" w:eastAsia="zh-CN"/>
                    </w:rPr>
                  </w:pPr>
                </w:p>
              </w:tc>
              <w:tc>
                <w:tcPr>
                  <w:tcW w:w="1287" w:type="pct"/>
                  <w:tcBorders>
                    <w:top w:val="single" w:color="auto" w:sz="8" w:space="0"/>
                    <w:bottom w:val="single" w:color="auto" w:sz="8" w:space="0"/>
                  </w:tcBorders>
                  <w:noWrap w:val="0"/>
                  <w:vAlign w:val="center"/>
                </w:tcPr>
                <w:p w14:paraId="14A7DE94">
                  <w:pPr>
                    <w:pStyle w:val="82"/>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冲击机</w:t>
                  </w:r>
                </w:p>
              </w:tc>
              <w:tc>
                <w:tcPr>
                  <w:tcW w:w="945" w:type="pct"/>
                  <w:tcBorders>
                    <w:top w:val="single" w:color="auto" w:sz="8" w:space="0"/>
                    <w:bottom w:val="single" w:color="auto" w:sz="8" w:space="0"/>
                  </w:tcBorders>
                  <w:noWrap w:val="0"/>
                  <w:vAlign w:val="center"/>
                </w:tcPr>
                <w:p w14:paraId="6953F8A0">
                  <w:pPr>
                    <w:pStyle w:val="82"/>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95</w:t>
                  </w:r>
                </w:p>
              </w:tc>
              <w:tc>
                <w:tcPr>
                  <w:tcW w:w="944" w:type="pct"/>
                  <w:noWrap w:val="0"/>
                  <w:vAlign w:val="center"/>
                </w:tcPr>
                <w:p w14:paraId="28098400">
                  <w:pPr>
                    <w:pStyle w:val="82"/>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95</w:t>
                  </w:r>
                </w:p>
              </w:tc>
              <w:tc>
                <w:tcPr>
                  <w:tcW w:w="941" w:type="pct"/>
                  <w:vMerge w:val="continue"/>
                  <w:noWrap w:val="0"/>
                  <w:vAlign w:val="center"/>
                </w:tcPr>
                <w:p w14:paraId="0F9E4A63">
                  <w:pPr>
                    <w:pStyle w:val="82"/>
                    <w:rPr>
                      <w:rFonts w:hint="default" w:ascii="Times New Roman" w:hAnsi="Times New Roman" w:eastAsia="宋体" w:cs="Times New Roman"/>
                      <w:bCs/>
                      <w:color w:val="auto"/>
                      <w:sz w:val="18"/>
                      <w:szCs w:val="18"/>
                      <w:lang w:val="en-US" w:eastAsia="zh-CN"/>
                    </w:rPr>
                  </w:pPr>
                </w:p>
              </w:tc>
            </w:tr>
            <w:tr w14:paraId="1139DD2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60" w:hRule="atLeast"/>
                <w:jc w:val="center"/>
              </w:trPr>
              <w:tc>
                <w:tcPr>
                  <w:tcW w:w="881" w:type="pct"/>
                  <w:vMerge w:val="restart"/>
                  <w:noWrap w:val="0"/>
                  <w:vAlign w:val="center"/>
                </w:tcPr>
                <w:p w14:paraId="78F38BFA">
                  <w:pPr>
                    <w:pStyle w:val="82"/>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主体结构阶段</w:t>
                  </w:r>
                </w:p>
              </w:tc>
              <w:tc>
                <w:tcPr>
                  <w:tcW w:w="1287" w:type="pct"/>
                  <w:noWrap w:val="0"/>
                  <w:vAlign w:val="center"/>
                </w:tcPr>
                <w:p w14:paraId="72F73474">
                  <w:pPr>
                    <w:pStyle w:val="82"/>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振捣器</w:t>
                  </w:r>
                </w:p>
              </w:tc>
              <w:tc>
                <w:tcPr>
                  <w:tcW w:w="945" w:type="pct"/>
                  <w:noWrap w:val="0"/>
                  <w:vAlign w:val="center"/>
                </w:tcPr>
                <w:p w14:paraId="33E6CA94">
                  <w:pPr>
                    <w:pStyle w:val="82"/>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100~105</w:t>
                  </w:r>
                </w:p>
              </w:tc>
              <w:tc>
                <w:tcPr>
                  <w:tcW w:w="944" w:type="pct"/>
                  <w:noWrap w:val="0"/>
                  <w:vAlign w:val="center"/>
                </w:tcPr>
                <w:p w14:paraId="6DFF9CA7">
                  <w:pPr>
                    <w:pStyle w:val="82"/>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103</w:t>
                  </w:r>
                </w:p>
              </w:tc>
              <w:tc>
                <w:tcPr>
                  <w:tcW w:w="941" w:type="pct"/>
                  <w:vMerge w:val="continue"/>
                  <w:noWrap w:val="0"/>
                  <w:vAlign w:val="center"/>
                </w:tcPr>
                <w:p w14:paraId="174DE08B">
                  <w:pPr>
                    <w:pStyle w:val="82"/>
                    <w:rPr>
                      <w:rFonts w:hint="default" w:ascii="Times New Roman" w:hAnsi="Times New Roman" w:eastAsia="宋体" w:cs="Times New Roman"/>
                      <w:bCs/>
                      <w:color w:val="auto"/>
                      <w:sz w:val="18"/>
                      <w:szCs w:val="18"/>
                      <w:lang w:val="en-US" w:eastAsia="zh-CN"/>
                    </w:rPr>
                  </w:pPr>
                </w:p>
              </w:tc>
            </w:tr>
            <w:tr w14:paraId="37A523F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60" w:hRule="atLeast"/>
                <w:jc w:val="center"/>
              </w:trPr>
              <w:tc>
                <w:tcPr>
                  <w:tcW w:w="881" w:type="pct"/>
                  <w:vMerge w:val="continue"/>
                  <w:noWrap w:val="0"/>
                  <w:vAlign w:val="center"/>
                </w:tcPr>
                <w:p w14:paraId="6EB6D86D">
                  <w:pPr>
                    <w:pStyle w:val="82"/>
                    <w:rPr>
                      <w:rFonts w:hint="default" w:ascii="Times New Roman" w:hAnsi="Times New Roman" w:eastAsia="宋体" w:cs="Times New Roman"/>
                      <w:bCs/>
                      <w:color w:val="auto"/>
                      <w:sz w:val="18"/>
                      <w:szCs w:val="18"/>
                      <w:lang w:val="en-US" w:eastAsia="zh-CN"/>
                    </w:rPr>
                  </w:pPr>
                </w:p>
              </w:tc>
              <w:tc>
                <w:tcPr>
                  <w:tcW w:w="1287" w:type="pct"/>
                  <w:noWrap w:val="0"/>
                  <w:vAlign w:val="center"/>
                </w:tcPr>
                <w:p w14:paraId="17B8C823">
                  <w:pPr>
                    <w:pStyle w:val="82"/>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混凝土输送泵</w:t>
                  </w:r>
                </w:p>
              </w:tc>
              <w:tc>
                <w:tcPr>
                  <w:tcW w:w="945" w:type="pct"/>
                  <w:noWrap w:val="0"/>
                  <w:vAlign w:val="center"/>
                </w:tcPr>
                <w:p w14:paraId="480DD85F">
                  <w:pPr>
                    <w:pStyle w:val="82"/>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90~100</w:t>
                  </w:r>
                </w:p>
              </w:tc>
              <w:tc>
                <w:tcPr>
                  <w:tcW w:w="944" w:type="pct"/>
                  <w:noWrap w:val="0"/>
                  <w:vAlign w:val="center"/>
                </w:tcPr>
                <w:p w14:paraId="7C8586D8">
                  <w:pPr>
                    <w:pStyle w:val="82"/>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95</w:t>
                  </w:r>
                </w:p>
              </w:tc>
              <w:tc>
                <w:tcPr>
                  <w:tcW w:w="941" w:type="pct"/>
                  <w:vMerge w:val="continue"/>
                  <w:noWrap w:val="0"/>
                  <w:vAlign w:val="center"/>
                </w:tcPr>
                <w:p w14:paraId="3F52FE78">
                  <w:pPr>
                    <w:pStyle w:val="82"/>
                    <w:rPr>
                      <w:rFonts w:hint="default" w:ascii="Times New Roman" w:hAnsi="Times New Roman" w:eastAsia="宋体" w:cs="Times New Roman"/>
                      <w:bCs/>
                      <w:color w:val="auto"/>
                      <w:sz w:val="18"/>
                      <w:szCs w:val="18"/>
                      <w:lang w:val="en-US" w:eastAsia="zh-CN"/>
                    </w:rPr>
                  </w:pPr>
                </w:p>
              </w:tc>
            </w:tr>
            <w:tr w14:paraId="0189501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60" w:hRule="atLeast"/>
                <w:jc w:val="center"/>
              </w:trPr>
              <w:tc>
                <w:tcPr>
                  <w:tcW w:w="881" w:type="pct"/>
                  <w:vMerge w:val="continue"/>
                  <w:noWrap w:val="0"/>
                  <w:vAlign w:val="center"/>
                </w:tcPr>
                <w:p w14:paraId="3E7DA482">
                  <w:pPr>
                    <w:pStyle w:val="82"/>
                    <w:rPr>
                      <w:rFonts w:hint="default" w:ascii="Times New Roman" w:hAnsi="Times New Roman" w:eastAsia="宋体" w:cs="Times New Roman"/>
                      <w:bCs/>
                      <w:color w:val="auto"/>
                      <w:sz w:val="18"/>
                      <w:szCs w:val="18"/>
                      <w:lang w:val="en-US" w:eastAsia="zh-CN"/>
                    </w:rPr>
                  </w:pPr>
                </w:p>
              </w:tc>
              <w:tc>
                <w:tcPr>
                  <w:tcW w:w="1287" w:type="pct"/>
                  <w:noWrap w:val="0"/>
                  <w:vAlign w:val="center"/>
                </w:tcPr>
                <w:p w14:paraId="601C169B">
                  <w:pPr>
                    <w:pStyle w:val="82"/>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空压机</w:t>
                  </w:r>
                </w:p>
              </w:tc>
              <w:tc>
                <w:tcPr>
                  <w:tcW w:w="945" w:type="pct"/>
                  <w:noWrap w:val="0"/>
                  <w:vAlign w:val="center"/>
                </w:tcPr>
                <w:p w14:paraId="2765FF2D">
                  <w:pPr>
                    <w:pStyle w:val="82"/>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75~85</w:t>
                  </w:r>
                </w:p>
              </w:tc>
              <w:tc>
                <w:tcPr>
                  <w:tcW w:w="944" w:type="pct"/>
                  <w:noWrap w:val="0"/>
                  <w:vAlign w:val="center"/>
                </w:tcPr>
                <w:p w14:paraId="71C945FF">
                  <w:pPr>
                    <w:pStyle w:val="82"/>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80</w:t>
                  </w:r>
                </w:p>
              </w:tc>
              <w:tc>
                <w:tcPr>
                  <w:tcW w:w="941" w:type="pct"/>
                  <w:vMerge w:val="continue"/>
                  <w:noWrap w:val="0"/>
                  <w:vAlign w:val="center"/>
                </w:tcPr>
                <w:p w14:paraId="06905F61">
                  <w:pPr>
                    <w:pStyle w:val="82"/>
                    <w:rPr>
                      <w:rFonts w:hint="default" w:ascii="Times New Roman" w:hAnsi="Times New Roman" w:eastAsia="宋体" w:cs="Times New Roman"/>
                      <w:bCs/>
                      <w:color w:val="auto"/>
                      <w:sz w:val="18"/>
                      <w:szCs w:val="18"/>
                      <w:lang w:val="en-US" w:eastAsia="zh-CN"/>
                    </w:rPr>
                  </w:pPr>
                </w:p>
              </w:tc>
            </w:tr>
            <w:tr w14:paraId="00CFFAB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60" w:hRule="atLeast"/>
                <w:jc w:val="center"/>
              </w:trPr>
              <w:tc>
                <w:tcPr>
                  <w:tcW w:w="881" w:type="pct"/>
                  <w:vMerge w:val="continue"/>
                  <w:noWrap w:val="0"/>
                  <w:vAlign w:val="center"/>
                </w:tcPr>
                <w:p w14:paraId="50616DE3">
                  <w:pPr>
                    <w:pStyle w:val="82"/>
                    <w:rPr>
                      <w:rFonts w:hint="default" w:ascii="Times New Roman" w:hAnsi="Times New Roman" w:eastAsia="宋体" w:cs="Times New Roman"/>
                      <w:bCs/>
                      <w:color w:val="auto"/>
                      <w:sz w:val="18"/>
                      <w:szCs w:val="18"/>
                      <w:lang w:val="en-US" w:eastAsia="zh-CN"/>
                    </w:rPr>
                  </w:pPr>
                </w:p>
              </w:tc>
              <w:tc>
                <w:tcPr>
                  <w:tcW w:w="1287" w:type="pct"/>
                  <w:noWrap w:val="0"/>
                  <w:vAlign w:val="center"/>
                </w:tcPr>
                <w:p w14:paraId="2CA5FD9E">
                  <w:pPr>
                    <w:pStyle w:val="82"/>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电焊机</w:t>
                  </w:r>
                </w:p>
              </w:tc>
              <w:tc>
                <w:tcPr>
                  <w:tcW w:w="945" w:type="pct"/>
                  <w:noWrap w:val="0"/>
                  <w:vAlign w:val="center"/>
                </w:tcPr>
                <w:p w14:paraId="7CCDBA53">
                  <w:pPr>
                    <w:pStyle w:val="82"/>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90~95</w:t>
                  </w:r>
                </w:p>
              </w:tc>
              <w:tc>
                <w:tcPr>
                  <w:tcW w:w="944" w:type="pct"/>
                  <w:noWrap w:val="0"/>
                  <w:vAlign w:val="center"/>
                </w:tcPr>
                <w:p w14:paraId="38A63B7B">
                  <w:pPr>
                    <w:pStyle w:val="82"/>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93</w:t>
                  </w:r>
                </w:p>
              </w:tc>
              <w:tc>
                <w:tcPr>
                  <w:tcW w:w="941" w:type="pct"/>
                  <w:vMerge w:val="continue"/>
                  <w:noWrap w:val="0"/>
                  <w:vAlign w:val="center"/>
                </w:tcPr>
                <w:p w14:paraId="636DC9A8">
                  <w:pPr>
                    <w:pStyle w:val="82"/>
                    <w:rPr>
                      <w:rFonts w:hint="default" w:ascii="Times New Roman" w:hAnsi="Times New Roman" w:eastAsia="宋体" w:cs="Times New Roman"/>
                      <w:bCs/>
                      <w:color w:val="auto"/>
                      <w:sz w:val="18"/>
                      <w:szCs w:val="18"/>
                      <w:lang w:val="en-US" w:eastAsia="zh-CN"/>
                    </w:rPr>
                  </w:pPr>
                </w:p>
              </w:tc>
            </w:tr>
            <w:tr w14:paraId="63AA3BF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60" w:hRule="atLeast"/>
                <w:jc w:val="center"/>
              </w:trPr>
              <w:tc>
                <w:tcPr>
                  <w:tcW w:w="881" w:type="pct"/>
                  <w:vMerge w:val="continue"/>
                  <w:noWrap w:val="0"/>
                  <w:vAlign w:val="center"/>
                </w:tcPr>
                <w:p w14:paraId="46D050C3">
                  <w:pPr>
                    <w:pStyle w:val="82"/>
                    <w:rPr>
                      <w:rFonts w:hint="default" w:ascii="Times New Roman" w:hAnsi="Times New Roman" w:eastAsia="宋体" w:cs="Times New Roman"/>
                      <w:bCs/>
                      <w:color w:val="auto"/>
                      <w:sz w:val="18"/>
                      <w:szCs w:val="18"/>
                      <w:lang w:val="en-US" w:eastAsia="zh-CN"/>
                    </w:rPr>
                  </w:pPr>
                </w:p>
              </w:tc>
              <w:tc>
                <w:tcPr>
                  <w:tcW w:w="1287" w:type="pct"/>
                  <w:noWrap w:val="0"/>
                  <w:vAlign w:val="center"/>
                </w:tcPr>
                <w:p w14:paraId="327A622D">
                  <w:pPr>
                    <w:pStyle w:val="82"/>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电锯</w:t>
                  </w:r>
                </w:p>
              </w:tc>
              <w:tc>
                <w:tcPr>
                  <w:tcW w:w="945" w:type="pct"/>
                  <w:noWrap w:val="0"/>
                  <w:vAlign w:val="center"/>
                </w:tcPr>
                <w:p w14:paraId="366F4FD4">
                  <w:pPr>
                    <w:pStyle w:val="82"/>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100~110</w:t>
                  </w:r>
                </w:p>
              </w:tc>
              <w:tc>
                <w:tcPr>
                  <w:tcW w:w="944" w:type="pct"/>
                  <w:noWrap w:val="0"/>
                  <w:vAlign w:val="center"/>
                </w:tcPr>
                <w:p w14:paraId="4D744A4E">
                  <w:pPr>
                    <w:pStyle w:val="82"/>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105</w:t>
                  </w:r>
                </w:p>
              </w:tc>
              <w:tc>
                <w:tcPr>
                  <w:tcW w:w="941" w:type="pct"/>
                  <w:vMerge w:val="continue"/>
                  <w:noWrap w:val="0"/>
                  <w:vAlign w:val="center"/>
                </w:tcPr>
                <w:p w14:paraId="6F783BA6">
                  <w:pPr>
                    <w:pStyle w:val="82"/>
                    <w:rPr>
                      <w:rFonts w:hint="default" w:ascii="Times New Roman" w:hAnsi="Times New Roman" w:eastAsia="宋体" w:cs="Times New Roman"/>
                      <w:bCs/>
                      <w:color w:val="auto"/>
                      <w:sz w:val="18"/>
                      <w:szCs w:val="18"/>
                      <w:lang w:val="en-US" w:eastAsia="zh-CN"/>
                    </w:rPr>
                  </w:pPr>
                </w:p>
              </w:tc>
            </w:tr>
            <w:tr w14:paraId="01417F8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8" w:hRule="atLeast"/>
                <w:jc w:val="center"/>
              </w:trPr>
              <w:tc>
                <w:tcPr>
                  <w:tcW w:w="881" w:type="pct"/>
                  <w:vMerge w:val="continue"/>
                  <w:noWrap w:val="0"/>
                  <w:vAlign w:val="center"/>
                </w:tcPr>
                <w:p w14:paraId="254980BD">
                  <w:pPr>
                    <w:pStyle w:val="82"/>
                    <w:rPr>
                      <w:rFonts w:hint="default" w:ascii="Times New Roman" w:hAnsi="Times New Roman" w:eastAsia="宋体" w:cs="Times New Roman"/>
                      <w:bCs/>
                      <w:color w:val="auto"/>
                      <w:sz w:val="18"/>
                      <w:szCs w:val="18"/>
                      <w:lang w:val="en-US" w:eastAsia="zh-CN"/>
                    </w:rPr>
                  </w:pPr>
                </w:p>
              </w:tc>
              <w:tc>
                <w:tcPr>
                  <w:tcW w:w="1287" w:type="pct"/>
                  <w:noWrap w:val="0"/>
                  <w:vAlign w:val="center"/>
                </w:tcPr>
                <w:p w14:paraId="0834AD14">
                  <w:pPr>
                    <w:pStyle w:val="82"/>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电钻、手工钻等</w:t>
                  </w:r>
                </w:p>
              </w:tc>
              <w:tc>
                <w:tcPr>
                  <w:tcW w:w="945" w:type="pct"/>
                  <w:noWrap w:val="0"/>
                  <w:vAlign w:val="center"/>
                </w:tcPr>
                <w:p w14:paraId="5F8276A6">
                  <w:pPr>
                    <w:pStyle w:val="82"/>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100~105</w:t>
                  </w:r>
                </w:p>
              </w:tc>
              <w:tc>
                <w:tcPr>
                  <w:tcW w:w="944" w:type="pct"/>
                  <w:noWrap w:val="0"/>
                  <w:vAlign w:val="center"/>
                </w:tcPr>
                <w:p w14:paraId="684D7EDA">
                  <w:pPr>
                    <w:pStyle w:val="82"/>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103</w:t>
                  </w:r>
                </w:p>
              </w:tc>
              <w:tc>
                <w:tcPr>
                  <w:tcW w:w="941" w:type="pct"/>
                  <w:vMerge w:val="continue"/>
                  <w:noWrap w:val="0"/>
                  <w:vAlign w:val="center"/>
                </w:tcPr>
                <w:p w14:paraId="2BD7D26F">
                  <w:pPr>
                    <w:pStyle w:val="82"/>
                    <w:rPr>
                      <w:rFonts w:hint="default" w:ascii="Times New Roman" w:hAnsi="Times New Roman" w:eastAsia="宋体" w:cs="Times New Roman"/>
                      <w:bCs/>
                      <w:color w:val="auto"/>
                      <w:sz w:val="18"/>
                      <w:szCs w:val="18"/>
                      <w:lang w:val="en-US" w:eastAsia="zh-CN"/>
                    </w:rPr>
                  </w:pPr>
                </w:p>
              </w:tc>
            </w:tr>
            <w:tr w14:paraId="7BE3BFB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8" w:hRule="atLeast"/>
                <w:jc w:val="center"/>
              </w:trPr>
              <w:tc>
                <w:tcPr>
                  <w:tcW w:w="881" w:type="pct"/>
                  <w:vMerge w:val="continue"/>
                  <w:noWrap w:val="0"/>
                  <w:vAlign w:val="center"/>
                </w:tcPr>
                <w:p w14:paraId="246AB898">
                  <w:pPr>
                    <w:pStyle w:val="82"/>
                    <w:rPr>
                      <w:rFonts w:hint="default" w:ascii="Times New Roman" w:hAnsi="Times New Roman" w:eastAsia="宋体" w:cs="Times New Roman"/>
                      <w:bCs/>
                      <w:color w:val="auto"/>
                      <w:sz w:val="18"/>
                      <w:szCs w:val="18"/>
                      <w:lang w:val="en-US" w:eastAsia="zh-CN"/>
                    </w:rPr>
                  </w:pPr>
                </w:p>
              </w:tc>
              <w:tc>
                <w:tcPr>
                  <w:tcW w:w="1287" w:type="pct"/>
                  <w:noWrap w:val="0"/>
                  <w:vAlign w:val="center"/>
                </w:tcPr>
                <w:p w14:paraId="756FC8FA">
                  <w:pPr>
                    <w:pStyle w:val="82"/>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无齿锯</w:t>
                  </w:r>
                </w:p>
              </w:tc>
              <w:tc>
                <w:tcPr>
                  <w:tcW w:w="945" w:type="pct"/>
                  <w:noWrap w:val="0"/>
                  <w:vAlign w:val="center"/>
                </w:tcPr>
                <w:p w14:paraId="33FE1D5D">
                  <w:pPr>
                    <w:pStyle w:val="82"/>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105</w:t>
                  </w:r>
                </w:p>
              </w:tc>
              <w:tc>
                <w:tcPr>
                  <w:tcW w:w="944" w:type="pct"/>
                  <w:noWrap w:val="0"/>
                  <w:vAlign w:val="center"/>
                </w:tcPr>
                <w:p w14:paraId="4BA293B2">
                  <w:pPr>
                    <w:pStyle w:val="82"/>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105</w:t>
                  </w:r>
                </w:p>
              </w:tc>
              <w:tc>
                <w:tcPr>
                  <w:tcW w:w="941" w:type="pct"/>
                  <w:vMerge w:val="continue"/>
                  <w:noWrap w:val="0"/>
                  <w:vAlign w:val="center"/>
                </w:tcPr>
                <w:p w14:paraId="6A572FDF">
                  <w:pPr>
                    <w:pStyle w:val="82"/>
                    <w:rPr>
                      <w:rFonts w:hint="default" w:ascii="Times New Roman" w:hAnsi="Times New Roman" w:eastAsia="宋体" w:cs="Times New Roman"/>
                      <w:bCs/>
                      <w:color w:val="auto"/>
                      <w:sz w:val="18"/>
                      <w:szCs w:val="18"/>
                      <w:lang w:val="en-US" w:eastAsia="zh-CN"/>
                    </w:rPr>
                  </w:pPr>
                </w:p>
              </w:tc>
            </w:tr>
            <w:tr w14:paraId="124D49B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60" w:hRule="atLeast"/>
                <w:jc w:val="center"/>
              </w:trPr>
              <w:tc>
                <w:tcPr>
                  <w:tcW w:w="881" w:type="pct"/>
                  <w:vMerge w:val="restart"/>
                  <w:noWrap w:val="0"/>
                  <w:vAlign w:val="center"/>
                </w:tcPr>
                <w:p w14:paraId="060327AD">
                  <w:pPr>
                    <w:pStyle w:val="82"/>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装修及安装阶段</w:t>
                  </w:r>
                </w:p>
              </w:tc>
              <w:tc>
                <w:tcPr>
                  <w:tcW w:w="1287" w:type="pct"/>
                  <w:noWrap w:val="0"/>
                  <w:vAlign w:val="center"/>
                </w:tcPr>
                <w:p w14:paraId="2B85B256">
                  <w:pPr>
                    <w:pStyle w:val="82"/>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电钻、手工钻等</w:t>
                  </w:r>
                </w:p>
              </w:tc>
              <w:tc>
                <w:tcPr>
                  <w:tcW w:w="945" w:type="pct"/>
                  <w:noWrap w:val="0"/>
                  <w:vAlign w:val="center"/>
                </w:tcPr>
                <w:p w14:paraId="15FAE339">
                  <w:pPr>
                    <w:pStyle w:val="82"/>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100~105</w:t>
                  </w:r>
                </w:p>
              </w:tc>
              <w:tc>
                <w:tcPr>
                  <w:tcW w:w="944" w:type="pct"/>
                  <w:noWrap w:val="0"/>
                  <w:vAlign w:val="center"/>
                </w:tcPr>
                <w:p w14:paraId="31FA4AC0">
                  <w:pPr>
                    <w:pStyle w:val="82"/>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103</w:t>
                  </w:r>
                </w:p>
              </w:tc>
              <w:tc>
                <w:tcPr>
                  <w:tcW w:w="941" w:type="pct"/>
                  <w:vMerge w:val="continue"/>
                  <w:noWrap w:val="0"/>
                  <w:vAlign w:val="center"/>
                </w:tcPr>
                <w:p w14:paraId="2B08A301">
                  <w:pPr>
                    <w:pStyle w:val="82"/>
                    <w:rPr>
                      <w:rFonts w:hint="default" w:ascii="Times New Roman" w:hAnsi="Times New Roman" w:eastAsia="宋体" w:cs="Times New Roman"/>
                      <w:bCs/>
                      <w:color w:val="auto"/>
                      <w:sz w:val="18"/>
                      <w:szCs w:val="18"/>
                      <w:lang w:val="en-US" w:eastAsia="zh-CN"/>
                    </w:rPr>
                  </w:pPr>
                </w:p>
              </w:tc>
            </w:tr>
            <w:tr w14:paraId="222F7F6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60" w:hRule="atLeast"/>
                <w:jc w:val="center"/>
              </w:trPr>
              <w:tc>
                <w:tcPr>
                  <w:tcW w:w="881" w:type="pct"/>
                  <w:vMerge w:val="continue"/>
                  <w:noWrap w:val="0"/>
                  <w:vAlign w:val="center"/>
                </w:tcPr>
                <w:p w14:paraId="283A68AE">
                  <w:pPr>
                    <w:pStyle w:val="82"/>
                    <w:rPr>
                      <w:rFonts w:hint="default" w:ascii="Times New Roman" w:hAnsi="Times New Roman" w:eastAsia="宋体" w:cs="Times New Roman"/>
                      <w:bCs/>
                      <w:color w:val="auto"/>
                      <w:sz w:val="18"/>
                      <w:szCs w:val="18"/>
                      <w:lang w:val="en-US" w:eastAsia="zh-CN"/>
                    </w:rPr>
                  </w:pPr>
                </w:p>
              </w:tc>
              <w:tc>
                <w:tcPr>
                  <w:tcW w:w="1287" w:type="pct"/>
                  <w:noWrap w:val="0"/>
                  <w:vAlign w:val="center"/>
                </w:tcPr>
                <w:p w14:paraId="5635A9F0">
                  <w:pPr>
                    <w:pStyle w:val="82"/>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电锤</w:t>
                  </w:r>
                </w:p>
              </w:tc>
              <w:tc>
                <w:tcPr>
                  <w:tcW w:w="945" w:type="pct"/>
                  <w:noWrap w:val="0"/>
                  <w:vAlign w:val="center"/>
                </w:tcPr>
                <w:p w14:paraId="13586559">
                  <w:pPr>
                    <w:pStyle w:val="82"/>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100~105</w:t>
                  </w:r>
                </w:p>
              </w:tc>
              <w:tc>
                <w:tcPr>
                  <w:tcW w:w="944" w:type="pct"/>
                  <w:noWrap w:val="0"/>
                  <w:vAlign w:val="center"/>
                </w:tcPr>
                <w:p w14:paraId="5EEB1862">
                  <w:pPr>
                    <w:pStyle w:val="82"/>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103</w:t>
                  </w:r>
                </w:p>
              </w:tc>
              <w:tc>
                <w:tcPr>
                  <w:tcW w:w="941" w:type="pct"/>
                  <w:vMerge w:val="continue"/>
                  <w:noWrap w:val="0"/>
                  <w:vAlign w:val="center"/>
                </w:tcPr>
                <w:p w14:paraId="590A438D">
                  <w:pPr>
                    <w:pStyle w:val="82"/>
                    <w:rPr>
                      <w:rFonts w:hint="default" w:ascii="Times New Roman" w:hAnsi="Times New Roman" w:eastAsia="宋体" w:cs="Times New Roman"/>
                      <w:bCs/>
                      <w:color w:val="auto"/>
                      <w:sz w:val="18"/>
                      <w:szCs w:val="18"/>
                      <w:lang w:val="en-US" w:eastAsia="zh-CN"/>
                    </w:rPr>
                  </w:pPr>
                </w:p>
              </w:tc>
            </w:tr>
            <w:tr w14:paraId="7D1E218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60" w:hRule="atLeast"/>
                <w:jc w:val="center"/>
              </w:trPr>
              <w:tc>
                <w:tcPr>
                  <w:tcW w:w="881" w:type="pct"/>
                  <w:vMerge w:val="continue"/>
                  <w:noWrap w:val="0"/>
                  <w:vAlign w:val="center"/>
                </w:tcPr>
                <w:p w14:paraId="6D8474AB">
                  <w:pPr>
                    <w:pStyle w:val="82"/>
                    <w:rPr>
                      <w:rFonts w:hint="default" w:ascii="Times New Roman" w:hAnsi="Times New Roman" w:eastAsia="宋体" w:cs="Times New Roman"/>
                      <w:bCs/>
                      <w:color w:val="auto"/>
                      <w:sz w:val="18"/>
                      <w:szCs w:val="18"/>
                      <w:lang w:val="en-US" w:eastAsia="zh-CN"/>
                    </w:rPr>
                  </w:pPr>
                </w:p>
              </w:tc>
              <w:tc>
                <w:tcPr>
                  <w:tcW w:w="1287" w:type="pct"/>
                  <w:noWrap w:val="0"/>
                  <w:vAlign w:val="center"/>
                </w:tcPr>
                <w:p w14:paraId="5C956DCB">
                  <w:pPr>
                    <w:pStyle w:val="82"/>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无齿锯</w:t>
                  </w:r>
                </w:p>
              </w:tc>
              <w:tc>
                <w:tcPr>
                  <w:tcW w:w="945" w:type="pct"/>
                  <w:noWrap w:val="0"/>
                  <w:vAlign w:val="center"/>
                </w:tcPr>
                <w:p w14:paraId="4A64FD99">
                  <w:pPr>
                    <w:pStyle w:val="82"/>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105</w:t>
                  </w:r>
                </w:p>
              </w:tc>
              <w:tc>
                <w:tcPr>
                  <w:tcW w:w="944" w:type="pct"/>
                  <w:noWrap w:val="0"/>
                  <w:vAlign w:val="center"/>
                </w:tcPr>
                <w:p w14:paraId="7B15C292">
                  <w:pPr>
                    <w:pStyle w:val="82"/>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105</w:t>
                  </w:r>
                </w:p>
              </w:tc>
              <w:tc>
                <w:tcPr>
                  <w:tcW w:w="941" w:type="pct"/>
                  <w:vMerge w:val="continue"/>
                  <w:noWrap w:val="0"/>
                  <w:vAlign w:val="center"/>
                </w:tcPr>
                <w:p w14:paraId="55151E88">
                  <w:pPr>
                    <w:pStyle w:val="82"/>
                    <w:rPr>
                      <w:rFonts w:hint="default" w:ascii="Times New Roman" w:hAnsi="Times New Roman" w:eastAsia="宋体" w:cs="Times New Roman"/>
                      <w:bCs/>
                      <w:color w:val="auto"/>
                      <w:sz w:val="18"/>
                      <w:szCs w:val="18"/>
                      <w:lang w:val="en-US" w:eastAsia="zh-CN"/>
                    </w:rPr>
                  </w:pPr>
                </w:p>
              </w:tc>
            </w:tr>
          </w:tbl>
          <w:p w14:paraId="43BD7D1A">
            <w:pPr>
              <w:snapToGrid w:val="0"/>
              <w:spacing w:before="120" w:beforeLines="50"/>
              <w:jc w:val="center"/>
              <w:rPr>
                <w:rFonts w:hint="default"/>
                <w:b/>
                <w:color w:val="auto"/>
                <w:sz w:val="21"/>
                <w:szCs w:val="21"/>
              </w:rPr>
            </w:pPr>
            <w:bookmarkStart w:id="3" w:name="_Ref283395508"/>
          </w:p>
          <w:p w14:paraId="398AC121">
            <w:pPr>
              <w:snapToGrid w:val="0"/>
              <w:spacing w:before="120" w:beforeLines="50"/>
              <w:jc w:val="center"/>
              <w:rPr>
                <w:rFonts w:hint="default"/>
                <w:b/>
                <w:color w:val="auto"/>
                <w:sz w:val="21"/>
                <w:szCs w:val="21"/>
              </w:rPr>
            </w:pPr>
            <w:r>
              <w:rPr>
                <w:rFonts w:hint="default"/>
                <w:b/>
                <w:color w:val="auto"/>
                <w:sz w:val="21"/>
                <w:szCs w:val="21"/>
              </w:rPr>
              <w:t>表</w:t>
            </w:r>
            <w:r>
              <w:rPr>
                <w:rFonts w:hint="eastAsia"/>
                <w:b/>
                <w:color w:val="auto"/>
                <w:sz w:val="21"/>
                <w:szCs w:val="21"/>
                <w:lang w:val="en-US" w:eastAsia="zh-CN"/>
              </w:rPr>
              <w:t>4</w:t>
            </w:r>
            <w:r>
              <w:rPr>
                <w:rFonts w:hint="default"/>
                <w:b/>
                <w:color w:val="auto"/>
                <w:sz w:val="21"/>
                <w:szCs w:val="21"/>
              </w:rPr>
              <w:t>-3 各阶段车辆类型及声压级   单位：dB(A)</w:t>
            </w:r>
            <w:bookmarkEnd w:id="3"/>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1859"/>
              <w:gridCol w:w="2804"/>
              <w:gridCol w:w="2206"/>
              <w:gridCol w:w="1250"/>
            </w:tblGrid>
            <w:tr w14:paraId="1613B0A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84" w:hRule="atLeast"/>
                <w:jc w:val="center"/>
              </w:trPr>
              <w:tc>
                <w:tcPr>
                  <w:tcW w:w="1144" w:type="pct"/>
                  <w:tcBorders>
                    <w:top w:val="single" w:color="auto" w:sz="12" w:space="0"/>
                    <w:bottom w:val="single" w:color="auto" w:sz="12" w:space="0"/>
                  </w:tcBorders>
                  <w:noWrap w:val="0"/>
                  <w:vAlign w:val="center"/>
                </w:tcPr>
                <w:p w14:paraId="572987F3">
                  <w:pPr>
                    <w:pStyle w:val="82"/>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施工阶段</w:t>
                  </w:r>
                </w:p>
              </w:tc>
              <w:tc>
                <w:tcPr>
                  <w:tcW w:w="1726" w:type="pct"/>
                  <w:tcBorders>
                    <w:top w:val="single" w:color="auto" w:sz="12" w:space="0"/>
                    <w:bottom w:val="single" w:color="auto" w:sz="12" w:space="0"/>
                  </w:tcBorders>
                  <w:noWrap w:val="0"/>
                  <w:vAlign w:val="center"/>
                </w:tcPr>
                <w:p w14:paraId="7165A8AD">
                  <w:pPr>
                    <w:pStyle w:val="82"/>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运输内容</w:t>
                  </w:r>
                </w:p>
              </w:tc>
              <w:tc>
                <w:tcPr>
                  <w:tcW w:w="1358" w:type="pct"/>
                  <w:tcBorders>
                    <w:top w:val="single" w:color="auto" w:sz="12" w:space="0"/>
                    <w:bottom w:val="single" w:color="auto" w:sz="12" w:space="0"/>
                  </w:tcBorders>
                  <w:noWrap w:val="0"/>
                  <w:vAlign w:val="center"/>
                </w:tcPr>
                <w:p w14:paraId="71C6D9F3">
                  <w:pPr>
                    <w:pStyle w:val="82"/>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车辆类型</w:t>
                  </w:r>
                </w:p>
              </w:tc>
              <w:tc>
                <w:tcPr>
                  <w:tcW w:w="769" w:type="pct"/>
                  <w:tcBorders>
                    <w:top w:val="single" w:color="auto" w:sz="12" w:space="0"/>
                    <w:bottom w:val="single" w:color="auto" w:sz="12" w:space="0"/>
                  </w:tcBorders>
                  <w:noWrap w:val="0"/>
                  <w:vAlign w:val="center"/>
                </w:tcPr>
                <w:p w14:paraId="5CFA5988">
                  <w:pPr>
                    <w:pStyle w:val="82"/>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声源强度</w:t>
                  </w:r>
                </w:p>
              </w:tc>
            </w:tr>
            <w:tr w14:paraId="11BB227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67" w:hRule="atLeast"/>
                <w:jc w:val="center"/>
              </w:trPr>
              <w:tc>
                <w:tcPr>
                  <w:tcW w:w="1144" w:type="pct"/>
                  <w:tcBorders>
                    <w:top w:val="single" w:color="auto" w:sz="8" w:space="0"/>
                    <w:bottom w:val="single" w:color="auto" w:sz="8" w:space="0"/>
                  </w:tcBorders>
                  <w:noWrap w:val="0"/>
                  <w:vAlign w:val="center"/>
                </w:tcPr>
                <w:p w14:paraId="6B419BCE">
                  <w:pPr>
                    <w:pStyle w:val="82"/>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基础工程及</w:t>
                  </w:r>
                </w:p>
                <w:p w14:paraId="69889C34">
                  <w:pPr>
                    <w:pStyle w:val="82"/>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主体结构</w:t>
                  </w:r>
                </w:p>
              </w:tc>
              <w:tc>
                <w:tcPr>
                  <w:tcW w:w="1726" w:type="pct"/>
                  <w:tcBorders>
                    <w:top w:val="single" w:color="auto" w:sz="8" w:space="0"/>
                    <w:bottom w:val="single" w:color="auto" w:sz="8" w:space="0"/>
                  </w:tcBorders>
                  <w:noWrap w:val="0"/>
                  <w:vAlign w:val="center"/>
                </w:tcPr>
                <w:p w14:paraId="614C7E24">
                  <w:pPr>
                    <w:pStyle w:val="82"/>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土石方运输</w:t>
                  </w:r>
                </w:p>
                <w:p w14:paraId="0293A41C">
                  <w:pPr>
                    <w:pStyle w:val="82"/>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钢筋、商品混凝土等</w:t>
                  </w:r>
                </w:p>
              </w:tc>
              <w:tc>
                <w:tcPr>
                  <w:tcW w:w="1358" w:type="pct"/>
                  <w:tcBorders>
                    <w:top w:val="single" w:color="auto" w:sz="8" w:space="0"/>
                    <w:bottom w:val="single" w:color="auto" w:sz="8" w:space="0"/>
                  </w:tcBorders>
                  <w:noWrap w:val="0"/>
                  <w:vAlign w:val="center"/>
                </w:tcPr>
                <w:p w14:paraId="5BAEED97">
                  <w:pPr>
                    <w:pStyle w:val="82"/>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大型载重车</w:t>
                  </w:r>
                </w:p>
                <w:p w14:paraId="7C2AA3FE">
                  <w:pPr>
                    <w:pStyle w:val="82"/>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混凝土罐车、载重车</w:t>
                  </w:r>
                </w:p>
              </w:tc>
              <w:tc>
                <w:tcPr>
                  <w:tcW w:w="769" w:type="pct"/>
                  <w:tcBorders>
                    <w:top w:val="single" w:color="auto" w:sz="8" w:space="0"/>
                    <w:bottom w:val="single" w:color="auto" w:sz="8" w:space="0"/>
                  </w:tcBorders>
                  <w:noWrap w:val="0"/>
                  <w:vAlign w:val="center"/>
                </w:tcPr>
                <w:p w14:paraId="07CC6C2D">
                  <w:pPr>
                    <w:pStyle w:val="82"/>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80~89</w:t>
                  </w:r>
                </w:p>
              </w:tc>
            </w:tr>
            <w:tr w14:paraId="5A59C51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66" w:hRule="atLeast"/>
                <w:jc w:val="center"/>
              </w:trPr>
              <w:tc>
                <w:tcPr>
                  <w:tcW w:w="1144" w:type="pct"/>
                  <w:tcBorders>
                    <w:top w:val="single" w:color="auto" w:sz="8" w:space="0"/>
                  </w:tcBorders>
                  <w:noWrap w:val="0"/>
                  <w:vAlign w:val="center"/>
                </w:tcPr>
                <w:p w14:paraId="65C792C2">
                  <w:pPr>
                    <w:pStyle w:val="82"/>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装修及安装阶段</w:t>
                  </w:r>
                </w:p>
              </w:tc>
              <w:tc>
                <w:tcPr>
                  <w:tcW w:w="1726" w:type="pct"/>
                  <w:tcBorders>
                    <w:top w:val="single" w:color="auto" w:sz="8" w:space="0"/>
                  </w:tcBorders>
                  <w:noWrap w:val="0"/>
                  <w:vAlign w:val="center"/>
                </w:tcPr>
                <w:p w14:paraId="0D42C73E">
                  <w:pPr>
                    <w:pStyle w:val="82"/>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各种装修材料及必备设备</w:t>
                  </w:r>
                </w:p>
              </w:tc>
              <w:tc>
                <w:tcPr>
                  <w:tcW w:w="1358" w:type="pct"/>
                  <w:tcBorders>
                    <w:top w:val="single" w:color="auto" w:sz="8" w:space="0"/>
                  </w:tcBorders>
                  <w:noWrap w:val="0"/>
                  <w:vAlign w:val="center"/>
                </w:tcPr>
                <w:p w14:paraId="64C52EBF">
                  <w:pPr>
                    <w:pStyle w:val="82"/>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轻型载重卡车</w:t>
                  </w:r>
                </w:p>
              </w:tc>
              <w:tc>
                <w:tcPr>
                  <w:tcW w:w="769" w:type="pct"/>
                  <w:tcBorders>
                    <w:top w:val="single" w:color="auto" w:sz="8" w:space="0"/>
                  </w:tcBorders>
                  <w:noWrap w:val="0"/>
                  <w:vAlign w:val="center"/>
                </w:tcPr>
                <w:p w14:paraId="72E0202C">
                  <w:pPr>
                    <w:pStyle w:val="82"/>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75~80</w:t>
                  </w:r>
                </w:p>
              </w:tc>
            </w:tr>
          </w:tbl>
          <w:p w14:paraId="4FB19CEC">
            <w:pPr>
              <w:pStyle w:val="29"/>
              <w:spacing w:after="0" w:line="360" w:lineRule="auto"/>
              <w:ind w:left="0" w:leftChars="0" w:firstLine="482"/>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由于本项目运输路线分布有</w:t>
            </w:r>
            <w:r>
              <w:rPr>
                <w:rFonts w:hint="default" w:ascii="Times New Roman" w:hAnsi="Times New Roman" w:eastAsia="宋体" w:cs="Times New Roman"/>
                <w:b w:val="0"/>
                <w:bCs w:val="0"/>
                <w:color w:val="auto"/>
                <w:sz w:val="21"/>
                <w:szCs w:val="21"/>
                <w:lang w:val="en-US" w:eastAsia="zh-CN"/>
              </w:rPr>
              <w:t>居民小区</w:t>
            </w:r>
            <w:r>
              <w:rPr>
                <w:rFonts w:hint="default" w:ascii="Times New Roman" w:hAnsi="Times New Roman" w:eastAsia="宋体" w:cs="Times New Roman"/>
                <w:b w:val="0"/>
                <w:bCs w:val="0"/>
                <w:color w:val="auto"/>
                <w:sz w:val="21"/>
                <w:szCs w:val="21"/>
              </w:rPr>
              <w:t>，本项目施工会对其造成一定影响。因此，环评要求施工单位采取以下降噪措施：</w:t>
            </w:r>
          </w:p>
          <w:p w14:paraId="2CA0404D">
            <w:pPr>
              <w:pStyle w:val="29"/>
              <w:spacing w:after="0" w:line="360" w:lineRule="auto"/>
              <w:ind w:left="0" w:leftChars="0" w:firstLine="482"/>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zh-CN"/>
              </w:rPr>
              <w:t>①</w:t>
            </w:r>
            <w:r>
              <w:rPr>
                <w:rFonts w:hint="default" w:ascii="Times New Roman" w:hAnsi="Times New Roman" w:eastAsia="宋体" w:cs="Times New Roman"/>
                <w:b w:val="0"/>
                <w:bCs w:val="0"/>
                <w:color w:val="auto"/>
                <w:sz w:val="21"/>
                <w:szCs w:val="21"/>
              </w:rPr>
              <w:t>合理布置施工总平面图，将高噪声的作业点布置在施工场地中央，即有效利用噪声传播距离衰减作用减轻施工噪声对周围</w:t>
            </w:r>
            <w:r>
              <w:rPr>
                <w:rFonts w:hint="default" w:ascii="Times New Roman" w:hAnsi="Times New Roman" w:eastAsia="宋体" w:cs="Times New Roman"/>
                <w:b w:val="0"/>
                <w:bCs w:val="0"/>
                <w:color w:val="auto"/>
                <w:sz w:val="21"/>
                <w:szCs w:val="21"/>
                <w:lang w:val="en-US" w:eastAsia="zh-CN"/>
              </w:rPr>
              <w:t>居民</w:t>
            </w:r>
            <w:r>
              <w:rPr>
                <w:rFonts w:hint="default" w:ascii="Times New Roman" w:hAnsi="Times New Roman" w:eastAsia="宋体" w:cs="Times New Roman"/>
                <w:b w:val="0"/>
                <w:bCs w:val="0"/>
                <w:color w:val="auto"/>
                <w:sz w:val="21"/>
                <w:szCs w:val="21"/>
              </w:rPr>
              <w:t>的影响。</w:t>
            </w:r>
          </w:p>
          <w:p w14:paraId="4034E7D0">
            <w:pPr>
              <w:pStyle w:val="29"/>
              <w:spacing w:after="0" w:line="360" w:lineRule="auto"/>
              <w:ind w:left="0" w:leftChars="0" w:firstLine="482"/>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②合理安排施工时间，土石方开挖等强噪声施工作业安排在昼间进行，禁止在夜间（时间为22：00~6：00）施工。</w:t>
            </w:r>
          </w:p>
          <w:p w14:paraId="6EC23D91">
            <w:pPr>
              <w:pStyle w:val="29"/>
              <w:spacing w:after="0" w:line="360" w:lineRule="auto"/>
              <w:ind w:left="0" w:leftChars="0" w:firstLine="482"/>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③基础工程阶段的噪声主要来自挖掘机、冲击机等设备。选用低噪声设备；加强挖掘机和冲击机施工运行操作管理，选用专业人员进行操作。</w:t>
            </w:r>
          </w:p>
          <w:p w14:paraId="5BCF374D">
            <w:pPr>
              <w:pStyle w:val="29"/>
              <w:spacing w:after="0" w:line="360" w:lineRule="auto"/>
              <w:ind w:left="0" w:leftChars="0" w:firstLine="482"/>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④主体结构阶段噪声主要来自振捣器、混凝土输送泵、电锯、电焊机及空压机等设备。主体结构阶段振捣器选用消声振捣器；电锯、电焊机、电钻、手工钻及无齿锯选用低噪声设备；</w:t>
            </w:r>
            <w:r>
              <w:rPr>
                <w:rFonts w:hint="default" w:ascii="Times New Roman" w:hAnsi="Times New Roman" w:eastAsia="宋体" w:cs="Times New Roman"/>
                <w:b w:val="0"/>
                <w:bCs w:val="0"/>
                <w:color w:val="auto"/>
                <w:sz w:val="21"/>
                <w:szCs w:val="21"/>
                <w:lang w:val="zh-CN"/>
              </w:rPr>
              <w:t>混凝</w:t>
            </w:r>
            <w:r>
              <w:rPr>
                <w:rFonts w:hint="default" w:ascii="Times New Roman" w:hAnsi="Times New Roman" w:eastAsia="宋体" w:cs="Times New Roman"/>
                <w:b w:val="0"/>
                <w:bCs w:val="0"/>
                <w:color w:val="auto"/>
                <w:sz w:val="21"/>
                <w:szCs w:val="21"/>
              </w:rPr>
              <w:t>输送泵基础设置减振垫，仅混凝土罐装车倾泻位置不设置围挡，其余各侧需设置围挡；要求采用商品混凝土，不得现场搅拌混凝土；对空压机选用低噪声设备，基础设置减振垫，四周设置简易围挡。</w:t>
            </w:r>
          </w:p>
          <w:p w14:paraId="5370EBBD">
            <w:pPr>
              <w:pStyle w:val="29"/>
              <w:spacing w:after="0" w:line="360" w:lineRule="auto"/>
              <w:ind w:left="0" w:leftChars="0" w:firstLine="482"/>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zh-CN"/>
              </w:rPr>
              <w:t>⑤</w:t>
            </w:r>
            <w:r>
              <w:rPr>
                <w:rFonts w:hint="default" w:ascii="Times New Roman" w:hAnsi="Times New Roman" w:eastAsia="宋体" w:cs="Times New Roman"/>
                <w:b w:val="0"/>
                <w:bCs w:val="0"/>
                <w:color w:val="auto"/>
                <w:sz w:val="21"/>
                <w:szCs w:val="21"/>
              </w:rPr>
              <w:t>装修、安装阶段的噪声主要来自电钻、手工钻、电锤、无齿锯等设备。装修、安装阶段使用的电钻、手工钻及电锤、无齿锯选用低噪声设备，及时在</w:t>
            </w:r>
            <w:r>
              <w:rPr>
                <w:rFonts w:hint="eastAsia" w:ascii="Times New Roman" w:hAnsi="Times New Roman" w:eastAsia="宋体" w:cs="Times New Roman"/>
                <w:b w:val="0"/>
                <w:bCs w:val="0"/>
                <w:color w:val="auto"/>
                <w:sz w:val="21"/>
                <w:szCs w:val="21"/>
                <w:lang w:val="en-US" w:eastAsia="zh-CN"/>
              </w:rPr>
              <w:t>各</w:t>
            </w:r>
            <w:r>
              <w:rPr>
                <w:rFonts w:hint="default" w:ascii="Times New Roman" w:hAnsi="Times New Roman" w:eastAsia="宋体" w:cs="Times New Roman"/>
                <w:b w:val="0"/>
                <w:bCs w:val="0"/>
                <w:color w:val="auto"/>
                <w:sz w:val="21"/>
                <w:szCs w:val="21"/>
              </w:rPr>
              <w:t>部位加注机油，增强润滑作用；使用电锤开洞、凿眼时，严禁用铁锤敲打管道及金属工件。</w:t>
            </w:r>
          </w:p>
          <w:p w14:paraId="048BAD4A">
            <w:pPr>
              <w:pStyle w:val="29"/>
              <w:spacing w:after="0" w:line="360" w:lineRule="auto"/>
              <w:ind w:left="0" w:leftChars="0" w:firstLine="482"/>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zh-CN"/>
              </w:rPr>
              <w:t>⑥</w:t>
            </w:r>
            <w:r>
              <w:rPr>
                <w:rFonts w:hint="default" w:ascii="Times New Roman" w:hAnsi="Times New Roman" w:eastAsia="宋体" w:cs="Times New Roman"/>
                <w:b w:val="0"/>
                <w:bCs w:val="0"/>
                <w:color w:val="auto"/>
                <w:sz w:val="21"/>
                <w:szCs w:val="21"/>
              </w:rPr>
              <w:t>文明施工。建立健全控制人为噪声管理制度；运输材料和设备时，轻拿轻放，严禁野蛮装卸。</w:t>
            </w:r>
          </w:p>
          <w:p w14:paraId="6CF635EB">
            <w:pPr>
              <w:pStyle w:val="29"/>
              <w:spacing w:after="0" w:line="360" w:lineRule="auto"/>
              <w:ind w:left="0" w:leftChars="0" w:firstLine="482"/>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⑦一切动力机械设备都应适时维修，特别对因松动部件的</w:t>
            </w:r>
            <w:r>
              <w:rPr>
                <w:rFonts w:hint="eastAsia" w:cs="Times New Roman"/>
                <w:b w:val="0"/>
                <w:bCs w:val="0"/>
                <w:color w:val="auto"/>
                <w:sz w:val="21"/>
                <w:szCs w:val="21"/>
                <w:lang w:eastAsia="zh-CN"/>
              </w:rPr>
              <w:t>振动</w:t>
            </w:r>
            <w:r>
              <w:rPr>
                <w:rFonts w:hint="default" w:ascii="Times New Roman" w:hAnsi="Times New Roman" w:eastAsia="宋体" w:cs="Times New Roman"/>
                <w:b w:val="0"/>
                <w:bCs w:val="0"/>
                <w:color w:val="auto"/>
                <w:sz w:val="21"/>
                <w:szCs w:val="21"/>
              </w:rPr>
              <w:t>或降低噪声部件的损坏而产生强噪声的设备，更应经常检查维护。</w:t>
            </w:r>
          </w:p>
          <w:p w14:paraId="30BC2784">
            <w:pPr>
              <w:pStyle w:val="29"/>
              <w:spacing w:after="0" w:line="360" w:lineRule="auto"/>
              <w:ind w:left="0" w:leftChars="0" w:firstLine="482"/>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⑧加强施工场地车辆的管理，尽量减少鸣喇叭次数及汽车启动频率。</w:t>
            </w:r>
          </w:p>
          <w:p w14:paraId="722D29C0">
            <w:pPr>
              <w:pStyle w:val="29"/>
              <w:spacing w:after="0" w:line="360" w:lineRule="auto"/>
              <w:ind w:left="0" w:leftChars="0" w:firstLine="482"/>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⑨建材、施工机械器具、建渣等的运输选择影响最小的路线，</w:t>
            </w:r>
            <w:r>
              <w:rPr>
                <w:rFonts w:hint="eastAsia" w:ascii="Times New Roman" w:hAnsi="Times New Roman" w:eastAsia="宋体" w:cs="Times New Roman"/>
                <w:b w:val="0"/>
                <w:bCs w:val="0"/>
                <w:color w:val="auto"/>
                <w:sz w:val="21"/>
                <w:szCs w:val="21"/>
                <w:lang w:eastAsia="zh-CN"/>
              </w:rPr>
              <w:t>途经</w:t>
            </w:r>
            <w:r>
              <w:rPr>
                <w:rFonts w:hint="default" w:ascii="Times New Roman" w:hAnsi="Times New Roman" w:eastAsia="宋体" w:cs="Times New Roman"/>
                <w:b w:val="0"/>
                <w:bCs w:val="0"/>
                <w:color w:val="auto"/>
                <w:sz w:val="21"/>
                <w:szCs w:val="21"/>
              </w:rPr>
              <w:t>敏感点时减速慢行，严禁鸣笛。</w:t>
            </w:r>
          </w:p>
          <w:p w14:paraId="211455A8">
            <w:pPr>
              <w:pStyle w:val="29"/>
              <w:spacing w:after="0" w:line="360" w:lineRule="auto"/>
              <w:ind w:left="0" w:leftChars="0" w:firstLine="0" w:firstLineChars="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4、施工期固体废物产生、治理及排放</w:t>
            </w:r>
          </w:p>
          <w:p w14:paraId="23B16D9D">
            <w:pPr>
              <w:pStyle w:val="29"/>
              <w:spacing w:after="0" w:line="360" w:lineRule="auto"/>
              <w:ind w:left="0" w:leftChars="0" w:firstLine="482"/>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本项目施工期固废主要包括开挖土石方、建筑垃圾及施工人员生活垃圾。</w:t>
            </w:r>
          </w:p>
          <w:p w14:paraId="1B35E8FC">
            <w:pPr>
              <w:pStyle w:val="29"/>
              <w:spacing w:after="0" w:line="360" w:lineRule="auto"/>
              <w:ind w:left="0" w:leftChars="0" w:firstLine="482"/>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（1）开挖土石方</w:t>
            </w:r>
          </w:p>
          <w:p w14:paraId="4A1D50A8">
            <w:pPr>
              <w:pStyle w:val="29"/>
              <w:spacing w:after="0" w:line="360" w:lineRule="auto"/>
              <w:ind w:left="0" w:leftChars="0" w:firstLine="482"/>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根据现场踏勘，本项目</w:t>
            </w:r>
            <w:r>
              <w:rPr>
                <w:rFonts w:hint="eastAsia" w:ascii="Times New Roman" w:hAnsi="Times New Roman" w:eastAsia="宋体" w:cs="Times New Roman"/>
                <w:b w:val="0"/>
                <w:bCs w:val="0"/>
                <w:color w:val="auto"/>
                <w:sz w:val="21"/>
                <w:szCs w:val="21"/>
                <w:lang w:eastAsia="zh-CN"/>
              </w:rPr>
              <w:t>为净地开发</w:t>
            </w:r>
            <w:r>
              <w:rPr>
                <w:rFonts w:hint="default" w:ascii="Times New Roman" w:hAnsi="Times New Roman" w:eastAsia="宋体" w:cs="Times New Roman"/>
                <w:b w:val="0"/>
                <w:bCs w:val="0"/>
                <w:color w:val="auto"/>
                <w:sz w:val="21"/>
                <w:szCs w:val="21"/>
              </w:rPr>
              <w:t>。项目场平工程已基本完成。根据建设单位介绍，由于场地较平整，挖出的土方不大，全部回填和用于绿化整地，做到了土方挖填平衡，施工中无弃土外运。</w:t>
            </w:r>
          </w:p>
          <w:p w14:paraId="440C187B">
            <w:pPr>
              <w:pStyle w:val="29"/>
              <w:spacing w:after="0" w:line="360" w:lineRule="auto"/>
              <w:ind w:left="0" w:leftChars="0" w:firstLine="482"/>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w:t>
            </w:r>
            <w:r>
              <w:rPr>
                <w:rFonts w:hint="default" w:ascii="Times New Roman" w:hAnsi="Times New Roman" w:eastAsia="宋体" w:cs="Times New Roman"/>
                <w:b w:val="0"/>
                <w:bCs w:val="0"/>
                <w:color w:val="auto"/>
                <w:sz w:val="21"/>
                <w:szCs w:val="21"/>
                <w:lang w:val="en-US" w:eastAsia="zh-CN"/>
              </w:rPr>
              <w:t>2</w:t>
            </w:r>
            <w:r>
              <w:rPr>
                <w:rFonts w:hint="default" w:ascii="Times New Roman" w:hAnsi="Times New Roman" w:eastAsia="宋体" w:cs="Times New Roman"/>
                <w:b w:val="0"/>
                <w:bCs w:val="0"/>
                <w:color w:val="auto"/>
                <w:sz w:val="21"/>
                <w:szCs w:val="21"/>
              </w:rPr>
              <w:t>）建筑垃圾</w:t>
            </w:r>
          </w:p>
          <w:p w14:paraId="348258F8">
            <w:pPr>
              <w:pStyle w:val="29"/>
              <w:spacing w:after="0" w:line="360" w:lineRule="auto"/>
              <w:ind w:left="0" w:leftChars="0" w:firstLine="482"/>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本项目施工期在进行主体工程和装饰工程时会产生废弃钢材、建材包装袋等建筑垃圾。根据类比分析，建筑垃圾产生量约为0.5t/100m</w:t>
            </w:r>
            <w:r>
              <w:rPr>
                <w:rFonts w:hint="default" w:ascii="Times New Roman" w:hAnsi="Times New Roman" w:eastAsia="宋体" w:cs="Times New Roman"/>
                <w:b w:val="0"/>
                <w:bCs w:val="0"/>
                <w:color w:val="auto"/>
                <w:sz w:val="21"/>
                <w:szCs w:val="21"/>
                <w:vertAlign w:val="superscript"/>
              </w:rPr>
              <w:t>2</w:t>
            </w:r>
            <w:r>
              <w:rPr>
                <w:rFonts w:hint="default" w:ascii="Times New Roman" w:hAnsi="Times New Roman" w:eastAsia="宋体" w:cs="Times New Roman"/>
                <w:b w:val="0"/>
                <w:bCs w:val="0"/>
                <w:color w:val="auto"/>
                <w:sz w:val="21"/>
                <w:szCs w:val="21"/>
              </w:rPr>
              <w:t>，按照建筑面积</w:t>
            </w:r>
            <w:r>
              <w:rPr>
                <w:rFonts w:hint="eastAsia" w:cs="Times New Roman"/>
                <w:b w:val="0"/>
                <w:bCs w:val="0"/>
                <w:color w:val="auto"/>
                <w:sz w:val="21"/>
                <w:szCs w:val="21"/>
                <w:lang w:val="en-US" w:eastAsia="zh-CN"/>
              </w:rPr>
              <w:t>23400</w:t>
            </w:r>
            <w:r>
              <w:rPr>
                <w:rFonts w:hint="default" w:ascii="Times New Roman" w:hAnsi="Times New Roman" w:eastAsia="宋体" w:cs="Times New Roman"/>
                <w:b w:val="0"/>
                <w:bCs w:val="0"/>
                <w:color w:val="auto"/>
                <w:sz w:val="21"/>
                <w:szCs w:val="21"/>
              </w:rPr>
              <w:t>m</w:t>
            </w:r>
            <w:r>
              <w:rPr>
                <w:rFonts w:hint="default" w:ascii="Times New Roman" w:hAnsi="Times New Roman" w:eastAsia="宋体" w:cs="Times New Roman"/>
                <w:b w:val="0"/>
                <w:bCs w:val="0"/>
                <w:color w:val="auto"/>
                <w:sz w:val="21"/>
                <w:szCs w:val="21"/>
                <w:vertAlign w:val="superscript"/>
              </w:rPr>
              <w:t>2</w:t>
            </w:r>
            <w:r>
              <w:rPr>
                <w:rFonts w:hint="default" w:ascii="Times New Roman" w:hAnsi="Times New Roman" w:eastAsia="宋体" w:cs="Times New Roman"/>
                <w:b w:val="0"/>
                <w:bCs w:val="0"/>
                <w:color w:val="auto"/>
                <w:sz w:val="21"/>
                <w:szCs w:val="21"/>
              </w:rPr>
              <w:t>估算，则建筑垃圾产生量共约</w:t>
            </w:r>
            <w:r>
              <w:rPr>
                <w:rFonts w:hint="eastAsia" w:ascii="Times New Roman" w:hAnsi="Times New Roman" w:eastAsia="宋体" w:cs="Times New Roman"/>
                <w:b w:val="0"/>
                <w:bCs w:val="0"/>
                <w:color w:val="auto"/>
                <w:sz w:val="21"/>
                <w:szCs w:val="21"/>
                <w:lang w:val="en-US" w:eastAsia="zh-CN"/>
              </w:rPr>
              <w:t>1</w:t>
            </w:r>
            <w:r>
              <w:rPr>
                <w:rFonts w:hint="eastAsia" w:cs="Times New Roman"/>
                <w:b w:val="0"/>
                <w:bCs w:val="0"/>
                <w:color w:val="auto"/>
                <w:sz w:val="21"/>
                <w:szCs w:val="21"/>
                <w:lang w:val="en-US" w:eastAsia="zh-CN"/>
              </w:rPr>
              <w:t>17</w:t>
            </w:r>
            <w:r>
              <w:rPr>
                <w:rFonts w:hint="default" w:ascii="Times New Roman" w:hAnsi="Times New Roman" w:eastAsia="宋体" w:cs="Times New Roman"/>
                <w:b w:val="0"/>
                <w:bCs w:val="0"/>
                <w:color w:val="auto"/>
                <w:sz w:val="21"/>
                <w:szCs w:val="21"/>
              </w:rPr>
              <w:t>t。根据《中华人民共和国固体废物污染环境防治法》相关规定，本项目施工过程中产生的建筑垃圾（如铁质弃料、木材弃料等），在施工现场应设置临时建筑废物堆放场并进行密闭处理，建筑垃圾除部分回收外售废品收购站，剩余部分堆放达一定量时应及时清运到指定的建筑垃圾场处理。</w:t>
            </w:r>
          </w:p>
          <w:p w14:paraId="379CD25F">
            <w:pPr>
              <w:pStyle w:val="29"/>
              <w:spacing w:after="0" w:line="360" w:lineRule="auto"/>
              <w:ind w:left="0" w:leftChars="0" w:firstLine="482"/>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（3）生活垃圾</w:t>
            </w:r>
          </w:p>
          <w:p w14:paraId="5FEFF656">
            <w:pPr>
              <w:pStyle w:val="29"/>
              <w:spacing w:after="0" w:line="360" w:lineRule="auto"/>
              <w:ind w:left="0" w:leftChars="0" w:firstLine="482"/>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本项目施工高峰期施工人员为</w:t>
            </w:r>
            <w:r>
              <w:rPr>
                <w:rFonts w:hint="eastAsia" w:hAnsi="Times New Roman" w:eastAsia="宋体" w:cs="Times New Roman"/>
                <w:b w:val="0"/>
                <w:bCs w:val="0"/>
                <w:color w:val="auto"/>
                <w:sz w:val="21"/>
                <w:szCs w:val="21"/>
                <w:lang w:val="en-US" w:eastAsia="zh-CN"/>
              </w:rPr>
              <w:t>30</w:t>
            </w:r>
            <w:r>
              <w:rPr>
                <w:rFonts w:hint="default" w:ascii="Times New Roman" w:hAnsi="Times New Roman" w:eastAsia="宋体" w:cs="Times New Roman"/>
                <w:b w:val="0"/>
                <w:bCs w:val="0"/>
                <w:color w:val="auto"/>
                <w:sz w:val="21"/>
                <w:szCs w:val="21"/>
              </w:rPr>
              <w:t>人，按0.2kg/d·人计算，施工期生活垃圾产生量为</w:t>
            </w:r>
            <w:r>
              <w:rPr>
                <w:rFonts w:hint="eastAsia" w:hAnsi="Times New Roman" w:eastAsia="宋体" w:cs="Times New Roman"/>
                <w:b w:val="0"/>
                <w:bCs w:val="0"/>
                <w:color w:val="auto"/>
                <w:sz w:val="21"/>
                <w:szCs w:val="21"/>
                <w:lang w:val="en-US" w:eastAsia="zh-CN"/>
              </w:rPr>
              <w:t>6</w:t>
            </w:r>
            <w:r>
              <w:rPr>
                <w:rFonts w:hint="default" w:ascii="Times New Roman" w:hAnsi="Times New Roman" w:eastAsia="宋体" w:cs="Times New Roman"/>
                <w:b w:val="0"/>
                <w:bCs w:val="0"/>
                <w:color w:val="auto"/>
                <w:sz w:val="21"/>
                <w:szCs w:val="21"/>
              </w:rPr>
              <w:t>kg/d，经过袋装收集后，由环卫部门统一运送到</w:t>
            </w:r>
            <w:r>
              <w:rPr>
                <w:rFonts w:hint="eastAsia" w:ascii="Times New Roman" w:hAnsi="Times New Roman" w:eastAsia="宋体" w:cs="Times New Roman"/>
                <w:b w:val="0"/>
                <w:bCs w:val="0"/>
                <w:color w:val="auto"/>
                <w:sz w:val="21"/>
                <w:szCs w:val="21"/>
                <w:lang w:eastAsia="zh-CN"/>
              </w:rPr>
              <w:t>垃圾处理厂</w:t>
            </w:r>
            <w:r>
              <w:rPr>
                <w:rFonts w:hint="default" w:ascii="Times New Roman" w:hAnsi="Times New Roman" w:eastAsia="宋体" w:cs="Times New Roman"/>
                <w:b w:val="0"/>
                <w:bCs w:val="0"/>
                <w:color w:val="auto"/>
                <w:sz w:val="21"/>
                <w:szCs w:val="21"/>
              </w:rPr>
              <w:t>集中处理。</w:t>
            </w:r>
          </w:p>
          <w:p w14:paraId="7F92A73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lang w:val="en-US" w:eastAsia="zh-CN"/>
              </w:rPr>
            </w:pPr>
            <w:r>
              <w:rPr>
                <w:color w:val="auto"/>
                <w:sz w:val="21"/>
                <w:szCs w:val="21"/>
              </w:rPr>
              <w:t>由于项目施工期工程量较小，施工期较短，施工期影响随着施工期的结束也会结束。</w:t>
            </w:r>
          </w:p>
          <w:p w14:paraId="1D8B5C4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color w:val="auto"/>
                <w:lang w:val="en-US" w:eastAsia="zh-CN"/>
              </w:rPr>
            </w:pPr>
          </w:p>
        </w:tc>
      </w:tr>
      <w:tr w14:paraId="60EFCC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56" w:hRule="atLeast"/>
          <w:jc w:val="center"/>
        </w:trPr>
        <w:tc>
          <w:tcPr>
            <w:tcW w:w="643" w:type="dxa"/>
            <w:noWrap w:val="0"/>
            <w:tcMar>
              <w:left w:w="28" w:type="dxa"/>
              <w:right w:w="28" w:type="dxa"/>
            </w:tcMar>
            <w:vAlign w:val="center"/>
          </w:tcPr>
          <w:p w14:paraId="48C9711E">
            <w:pPr>
              <w:adjustRightInd w:val="0"/>
              <w:snapToGrid w:val="0"/>
              <w:jc w:val="center"/>
              <w:rPr>
                <w:rFonts w:hint="eastAsia" w:ascii="宋体" w:hAnsi="宋体" w:cs="宋体"/>
                <w:bCs/>
                <w:color w:val="auto"/>
                <w:szCs w:val="21"/>
              </w:rPr>
            </w:pPr>
            <w:r>
              <w:rPr>
                <w:rFonts w:hint="eastAsia" w:ascii="宋体" w:hAnsi="宋体" w:cs="宋体"/>
                <w:bCs/>
                <w:color w:val="auto"/>
                <w:szCs w:val="21"/>
              </w:rPr>
              <w:t>运营</w:t>
            </w:r>
          </w:p>
          <w:p w14:paraId="6BDEFEFD">
            <w:pPr>
              <w:adjustRightInd w:val="0"/>
              <w:snapToGrid w:val="0"/>
              <w:jc w:val="center"/>
              <w:rPr>
                <w:rFonts w:hint="eastAsia" w:ascii="宋体" w:hAnsi="宋体" w:cs="宋体"/>
                <w:bCs/>
                <w:color w:val="auto"/>
                <w:szCs w:val="21"/>
              </w:rPr>
            </w:pPr>
            <w:r>
              <w:rPr>
                <w:rFonts w:hint="eastAsia" w:ascii="宋体" w:hAnsi="宋体" w:cs="宋体"/>
                <w:bCs/>
                <w:color w:val="auto"/>
                <w:szCs w:val="21"/>
              </w:rPr>
              <w:t>期环</w:t>
            </w:r>
          </w:p>
          <w:p w14:paraId="6444ED73">
            <w:pPr>
              <w:adjustRightInd w:val="0"/>
              <w:snapToGrid w:val="0"/>
              <w:jc w:val="center"/>
              <w:rPr>
                <w:rFonts w:hint="eastAsia" w:ascii="宋体" w:hAnsi="宋体" w:cs="宋体"/>
                <w:bCs/>
                <w:color w:val="auto"/>
                <w:szCs w:val="21"/>
              </w:rPr>
            </w:pPr>
            <w:r>
              <w:rPr>
                <w:rFonts w:hint="eastAsia" w:ascii="宋体" w:hAnsi="宋体" w:cs="宋体"/>
                <w:bCs/>
                <w:color w:val="auto"/>
                <w:szCs w:val="21"/>
              </w:rPr>
              <w:t>境影</w:t>
            </w:r>
          </w:p>
          <w:p w14:paraId="56366B34">
            <w:pPr>
              <w:adjustRightInd w:val="0"/>
              <w:snapToGrid w:val="0"/>
              <w:jc w:val="center"/>
              <w:rPr>
                <w:rFonts w:hint="eastAsia" w:ascii="宋体" w:hAnsi="宋体" w:cs="宋体"/>
                <w:bCs/>
                <w:color w:val="auto"/>
                <w:szCs w:val="21"/>
              </w:rPr>
            </w:pPr>
            <w:r>
              <w:rPr>
                <w:rFonts w:hint="eastAsia" w:ascii="宋体" w:hAnsi="宋体" w:cs="宋体"/>
                <w:bCs/>
                <w:color w:val="auto"/>
                <w:szCs w:val="21"/>
              </w:rPr>
              <w:t>响和</w:t>
            </w:r>
          </w:p>
          <w:p w14:paraId="0FA480E0">
            <w:pPr>
              <w:adjustRightInd w:val="0"/>
              <w:snapToGrid w:val="0"/>
              <w:jc w:val="center"/>
              <w:rPr>
                <w:rFonts w:hint="eastAsia" w:ascii="宋体" w:hAnsi="宋体" w:cs="宋体"/>
                <w:bCs/>
                <w:color w:val="auto"/>
                <w:szCs w:val="21"/>
              </w:rPr>
            </w:pPr>
            <w:r>
              <w:rPr>
                <w:rFonts w:hint="eastAsia" w:ascii="宋体" w:hAnsi="宋体" w:cs="宋体"/>
                <w:bCs/>
                <w:color w:val="auto"/>
                <w:szCs w:val="21"/>
              </w:rPr>
              <w:t>保护</w:t>
            </w:r>
          </w:p>
          <w:p w14:paraId="5A0C433D">
            <w:pPr>
              <w:adjustRightInd w:val="0"/>
              <w:snapToGrid w:val="0"/>
              <w:jc w:val="center"/>
              <w:rPr>
                <w:rFonts w:ascii="宋体" w:hAnsi="宋体" w:cs="宋体"/>
                <w:bCs/>
                <w:color w:val="auto"/>
                <w:szCs w:val="21"/>
              </w:rPr>
            </w:pPr>
            <w:r>
              <w:rPr>
                <w:rFonts w:hint="eastAsia" w:ascii="宋体" w:hAnsi="宋体" w:cs="宋体"/>
                <w:bCs/>
                <w:color w:val="auto"/>
                <w:szCs w:val="21"/>
              </w:rPr>
              <w:t>措施</w:t>
            </w:r>
          </w:p>
        </w:tc>
        <w:tc>
          <w:tcPr>
            <w:tcW w:w="8338" w:type="dxa"/>
            <w:noWrap w:val="0"/>
            <w:vAlign w:val="center"/>
          </w:tcPr>
          <w:p w14:paraId="53D8179C">
            <w:pPr>
              <w:spacing w:line="360" w:lineRule="auto"/>
              <w:rPr>
                <w:b/>
                <w:bCs/>
                <w:color w:val="auto"/>
              </w:rPr>
            </w:pPr>
            <w:r>
              <w:rPr>
                <w:rFonts w:hint="eastAsia"/>
                <w:b/>
                <w:bCs/>
                <w:color w:val="auto"/>
              </w:rPr>
              <w:t>1、废水</w:t>
            </w:r>
          </w:p>
          <w:p w14:paraId="36046095">
            <w:pPr>
              <w:spacing w:line="360" w:lineRule="auto"/>
              <w:ind w:firstLine="420" w:firstLineChars="200"/>
              <w:rPr>
                <w:rFonts w:ascii="宋体" w:hAnsi="宋体" w:cs="宋体"/>
                <w:color w:val="auto"/>
                <w:szCs w:val="21"/>
              </w:rPr>
            </w:pPr>
            <w:r>
              <w:rPr>
                <w:rFonts w:hint="eastAsia" w:ascii="宋体" w:hAnsi="宋体" w:cs="宋体"/>
                <w:color w:val="auto"/>
                <w:szCs w:val="21"/>
              </w:rPr>
              <w:t>（1）废水来源</w:t>
            </w:r>
          </w:p>
          <w:p w14:paraId="0051C4B6">
            <w:pPr>
              <w:spacing w:line="360" w:lineRule="auto"/>
              <w:ind w:firstLine="420" w:firstLineChars="200"/>
              <w:rPr>
                <w:rFonts w:ascii="宋体" w:hAnsi="宋体" w:cs="宋体"/>
                <w:color w:val="auto"/>
                <w:szCs w:val="21"/>
              </w:rPr>
            </w:pPr>
            <w:r>
              <w:rPr>
                <w:rFonts w:hint="eastAsia" w:ascii="宋体" w:hAnsi="宋体" w:cs="宋体"/>
                <w:color w:val="auto"/>
                <w:szCs w:val="21"/>
              </w:rPr>
              <w:t>本项目建成运营后产生的废水主要为工作人员产生的生活污水，项目无生产废水产生。</w:t>
            </w:r>
          </w:p>
          <w:p w14:paraId="36BCDC78">
            <w:pPr>
              <w:spacing w:line="360" w:lineRule="auto"/>
              <w:ind w:firstLine="420" w:firstLineChars="200"/>
              <w:rPr>
                <w:rFonts w:ascii="宋体" w:hAnsi="宋体" w:cs="宋体"/>
                <w:color w:val="auto"/>
                <w:szCs w:val="21"/>
              </w:rPr>
            </w:pPr>
            <w:r>
              <w:rPr>
                <w:rFonts w:hint="eastAsia" w:ascii="宋体" w:hAnsi="宋体" w:cs="宋体"/>
                <w:color w:val="auto"/>
                <w:szCs w:val="21"/>
              </w:rPr>
              <w:t>（2）废水产生情况</w:t>
            </w:r>
          </w:p>
          <w:p w14:paraId="356AF3F5">
            <w:pPr>
              <w:spacing w:line="360" w:lineRule="auto"/>
              <w:ind w:firstLine="420" w:firstLineChars="200"/>
              <w:rPr>
                <w:rFonts w:ascii="宋体" w:hAnsi="宋体" w:cs="宋体"/>
                <w:color w:val="auto"/>
                <w:szCs w:val="21"/>
              </w:rPr>
            </w:pPr>
            <w:r>
              <w:rPr>
                <w:rFonts w:hint="eastAsia" w:ascii="宋体" w:hAnsi="宋体" w:eastAsia="宋体" w:cs="宋体"/>
                <w:color w:val="auto"/>
                <w:sz w:val="21"/>
                <w:szCs w:val="21"/>
                <w:lang w:val="en-US" w:eastAsia="zh-CN"/>
              </w:rPr>
              <w:t>本项目职工人数为</w:t>
            </w:r>
            <w:r>
              <w:rPr>
                <w:rFonts w:hint="eastAsia" w:ascii="宋体" w:hAnsi="宋体" w:cs="宋体"/>
                <w:color w:val="auto"/>
                <w:sz w:val="21"/>
                <w:szCs w:val="21"/>
                <w:lang w:val="en-US" w:eastAsia="zh-CN"/>
              </w:rPr>
              <w:t>12</w:t>
            </w:r>
            <w:r>
              <w:rPr>
                <w:rFonts w:hint="eastAsia" w:ascii="宋体" w:hAnsi="宋体" w:eastAsia="宋体" w:cs="宋体"/>
                <w:color w:val="auto"/>
                <w:sz w:val="21"/>
                <w:szCs w:val="21"/>
                <w:lang w:val="en-US" w:eastAsia="zh-CN"/>
              </w:rPr>
              <w:t>0人，项目不设置食堂和住宿。根据《建筑给水排水设计规范》（GB50015-2009）并结合《四川省地方标准用水定额》（2021版），本项目办公生活用水按照住宿50L/人·d计算，年工作日为300天，则本项目员工生活用水量约为</w:t>
            </w:r>
            <w:r>
              <w:rPr>
                <w:rFonts w:hint="eastAsia" w:ascii="宋体" w:hAnsi="宋体" w:cs="宋体"/>
                <w:color w:val="auto"/>
                <w:sz w:val="21"/>
                <w:szCs w:val="21"/>
                <w:lang w:val="en-US" w:eastAsia="zh-CN"/>
              </w:rPr>
              <w:t>6</w:t>
            </w:r>
            <w:r>
              <w:rPr>
                <w:rFonts w:hint="eastAsia" w:ascii="宋体" w:hAnsi="宋体" w:eastAsia="宋体" w:cs="宋体"/>
                <w:color w:val="auto"/>
                <w:sz w:val="21"/>
                <w:szCs w:val="21"/>
                <w:lang w:val="en-US" w:eastAsia="zh-CN"/>
              </w:rPr>
              <w:t>m</w:t>
            </w:r>
            <w:r>
              <w:rPr>
                <w:rFonts w:hint="eastAsia" w:ascii="宋体" w:hAnsi="宋体" w:eastAsia="宋体" w:cs="宋体"/>
                <w:color w:val="auto"/>
                <w:sz w:val="21"/>
                <w:szCs w:val="21"/>
                <w:vertAlign w:val="superscript"/>
                <w:lang w:val="en-US" w:eastAsia="zh-CN"/>
              </w:rPr>
              <w:t>3</w:t>
            </w:r>
            <w:r>
              <w:rPr>
                <w:rFonts w:hint="eastAsia" w:ascii="宋体" w:hAnsi="宋体" w:eastAsia="宋体" w:cs="宋体"/>
                <w:color w:val="auto"/>
                <w:sz w:val="21"/>
                <w:szCs w:val="21"/>
                <w:lang w:val="en-US" w:eastAsia="zh-CN"/>
              </w:rPr>
              <w:t>/d（</w:t>
            </w:r>
            <w:r>
              <w:rPr>
                <w:rFonts w:hint="eastAsia" w:ascii="宋体" w:hAnsi="宋体" w:cs="宋体"/>
                <w:color w:val="auto"/>
                <w:sz w:val="21"/>
                <w:szCs w:val="21"/>
                <w:lang w:val="en-US" w:eastAsia="zh-CN"/>
              </w:rPr>
              <w:t>1800</w:t>
            </w:r>
            <w:r>
              <w:rPr>
                <w:rFonts w:hint="eastAsia" w:ascii="宋体" w:hAnsi="宋体" w:eastAsia="宋体" w:cs="宋体"/>
                <w:color w:val="auto"/>
                <w:sz w:val="21"/>
                <w:szCs w:val="21"/>
                <w:lang w:val="en-US" w:eastAsia="zh-CN"/>
              </w:rPr>
              <w:t>m</w:t>
            </w:r>
            <w:r>
              <w:rPr>
                <w:rFonts w:hint="eastAsia" w:ascii="宋体" w:hAnsi="宋体" w:eastAsia="宋体" w:cs="宋体"/>
                <w:color w:val="auto"/>
                <w:sz w:val="21"/>
                <w:szCs w:val="21"/>
                <w:vertAlign w:val="superscript"/>
                <w:lang w:val="en-US" w:eastAsia="zh-CN"/>
              </w:rPr>
              <w:t>3</w:t>
            </w:r>
            <w:r>
              <w:rPr>
                <w:rFonts w:hint="eastAsia" w:ascii="宋体" w:hAnsi="宋体" w:eastAsia="宋体" w:cs="宋体"/>
                <w:color w:val="auto"/>
                <w:sz w:val="21"/>
                <w:szCs w:val="21"/>
                <w:lang w:val="en-US" w:eastAsia="zh-CN"/>
              </w:rPr>
              <w:t>/a）。生活污水按生活用水量的0.8计，最高日生活污水排放量约</w:t>
            </w:r>
            <w:r>
              <w:rPr>
                <w:rFonts w:hint="eastAsia" w:ascii="宋体" w:hAnsi="宋体" w:cs="宋体"/>
                <w:color w:val="auto"/>
                <w:sz w:val="21"/>
                <w:szCs w:val="21"/>
                <w:lang w:val="en-US" w:eastAsia="zh-CN"/>
              </w:rPr>
              <w:t>4.8</w:t>
            </w:r>
            <w:r>
              <w:rPr>
                <w:rFonts w:hint="eastAsia" w:ascii="宋体" w:hAnsi="宋体" w:eastAsia="宋体" w:cs="宋体"/>
                <w:color w:val="auto"/>
                <w:sz w:val="21"/>
                <w:szCs w:val="21"/>
                <w:lang w:val="en-US" w:eastAsia="zh-CN"/>
              </w:rPr>
              <w:t>m</w:t>
            </w:r>
            <w:r>
              <w:rPr>
                <w:rFonts w:hint="eastAsia" w:ascii="宋体" w:hAnsi="宋体" w:eastAsia="宋体" w:cs="宋体"/>
                <w:color w:val="auto"/>
                <w:sz w:val="21"/>
                <w:szCs w:val="21"/>
                <w:vertAlign w:val="superscript"/>
                <w:lang w:val="en-US" w:eastAsia="zh-CN"/>
              </w:rPr>
              <w:t>3</w:t>
            </w:r>
            <w:r>
              <w:rPr>
                <w:rFonts w:hint="eastAsia" w:ascii="宋体" w:hAnsi="宋体" w:eastAsia="宋体" w:cs="宋体"/>
                <w:color w:val="auto"/>
                <w:sz w:val="21"/>
                <w:szCs w:val="21"/>
                <w:lang w:val="en-US" w:eastAsia="zh-CN"/>
              </w:rPr>
              <w:t>/d，全年约</w:t>
            </w:r>
            <w:r>
              <w:rPr>
                <w:rFonts w:hint="eastAsia" w:ascii="宋体" w:hAnsi="宋体" w:cs="宋体"/>
                <w:color w:val="auto"/>
                <w:sz w:val="21"/>
                <w:szCs w:val="21"/>
                <w:lang w:val="en-US" w:eastAsia="zh-CN"/>
              </w:rPr>
              <w:t>1440</w:t>
            </w:r>
            <w:r>
              <w:rPr>
                <w:rFonts w:hint="eastAsia" w:ascii="宋体" w:hAnsi="宋体" w:eastAsia="宋体" w:cs="宋体"/>
                <w:color w:val="auto"/>
                <w:sz w:val="21"/>
                <w:szCs w:val="21"/>
                <w:lang w:val="en-US" w:eastAsia="zh-CN"/>
              </w:rPr>
              <w:t>m</w:t>
            </w:r>
            <w:r>
              <w:rPr>
                <w:rFonts w:hint="eastAsia" w:ascii="宋体" w:hAnsi="宋体" w:eastAsia="宋体" w:cs="宋体"/>
                <w:color w:val="auto"/>
                <w:sz w:val="21"/>
                <w:szCs w:val="21"/>
                <w:vertAlign w:val="superscript"/>
                <w:lang w:val="en-US" w:eastAsia="zh-CN"/>
              </w:rPr>
              <w:t>3</w:t>
            </w:r>
            <w:r>
              <w:rPr>
                <w:rFonts w:hint="eastAsia" w:ascii="宋体" w:hAnsi="宋体" w:eastAsia="宋体" w:cs="宋体"/>
                <w:color w:val="auto"/>
                <w:sz w:val="21"/>
                <w:szCs w:val="21"/>
                <w:lang w:val="en-US" w:eastAsia="zh-CN"/>
              </w:rPr>
              <w:t>/a</w:t>
            </w:r>
            <w:r>
              <w:rPr>
                <w:rFonts w:hint="eastAsia" w:ascii="宋体" w:hAnsi="宋体" w:cs="宋体"/>
                <w:color w:val="auto"/>
                <w:szCs w:val="21"/>
              </w:rPr>
              <w:t>。供水由市政管网供水，可以满足本项目生产生活用水的需求。废水污染物主要为SS、COD、BOD、氨氮等。</w:t>
            </w:r>
          </w:p>
          <w:p w14:paraId="1AA00F2B">
            <w:pPr>
              <w:spacing w:line="360" w:lineRule="auto"/>
              <w:ind w:firstLine="420" w:firstLineChars="200"/>
              <w:rPr>
                <w:rFonts w:ascii="宋体" w:hAnsi="宋体" w:cs="宋体"/>
                <w:color w:val="auto"/>
                <w:szCs w:val="21"/>
              </w:rPr>
            </w:pPr>
            <w:r>
              <w:rPr>
                <w:rFonts w:hint="eastAsia" w:ascii="宋体" w:hAnsi="宋体" w:cs="宋体"/>
                <w:color w:val="auto"/>
                <w:szCs w:val="21"/>
              </w:rPr>
              <w:t>（3）废水治理措施</w:t>
            </w:r>
          </w:p>
          <w:p w14:paraId="31CF27DA">
            <w:pPr>
              <w:spacing w:line="360" w:lineRule="auto"/>
              <w:ind w:firstLine="420" w:firstLineChars="200"/>
              <w:rPr>
                <w:rFonts w:ascii="宋体" w:hAnsi="宋体" w:cs="宋体"/>
                <w:color w:val="auto"/>
                <w:szCs w:val="21"/>
              </w:rPr>
            </w:pPr>
            <w:r>
              <w:rPr>
                <w:rFonts w:hint="eastAsia" w:ascii="宋体" w:hAnsi="宋体" w:cs="宋体"/>
                <w:color w:val="auto"/>
                <w:szCs w:val="21"/>
              </w:rPr>
              <w:t>生活污水经</w:t>
            </w:r>
            <w:r>
              <w:rPr>
                <w:rFonts w:hint="eastAsia" w:ascii="宋体" w:hAnsi="宋体" w:cs="宋体"/>
                <w:color w:val="auto"/>
                <w:szCs w:val="21"/>
                <w:lang w:val="en-US" w:eastAsia="zh-CN"/>
              </w:rPr>
              <w:t>厂区新建</w:t>
            </w:r>
            <w:r>
              <w:rPr>
                <w:rFonts w:hint="eastAsia" w:ascii="宋体" w:hAnsi="宋体" w:cs="宋体"/>
                <w:color w:val="auto"/>
                <w:szCs w:val="21"/>
              </w:rPr>
              <w:t>化粪池（</w:t>
            </w:r>
            <w:r>
              <w:rPr>
                <w:rFonts w:hint="eastAsia" w:ascii="宋体" w:hAnsi="宋体" w:cs="宋体"/>
                <w:color w:val="auto"/>
                <w:szCs w:val="21"/>
                <w:lang w:val="en-US" w:eastAsia="zh-CN"/>
              </w:rPr>
              <w:t>10</w:t>
            </w:r>
            <w:r>
              <w:rPr>
                <w:rFonts w:hint="eastAsia" w:ascii="宋体" w:hAnsi="宋体" w:cs="宋体"/>
                <w:color w:val="auto"/>
                <w:szCs w:val="21"/>
              </w:rPr>
              <w:t>m</w:t>
            </w:r>
            <w:r>
              <w:rPr>
                <w:rFonts w:hint="eastAsia" w:ascii="宋体" w:hAnsi="宋体" w:cs="宋体"/>
                <w:color w:val="auto"/>
                <w:szCs w:val="21"/>
                <w:vertAlign w:val="superscript"/>
              </w:rPr>
              <w:t>3</w:t>
            </w:r>
            <w:r>
              <w:rPr>
                <w:rFonts w:hint="eastAsia" w:ascii="宋体" w:hAnsi="宋体" w:cs="宋体"/>
                <w:color w:val="auto"/>
                <w:szCs w:val="21"/>
                <w:vertAlign w:val="baseline"/>
              </w:rPr>
              <w:t>）</w:t>
            </w:r>
            <w:r>
              <w:rPr>
                <w:rFonts w:hint="eastAsia" w:ascii="宋体" w:hAnsi="宋体" w:cs="宋体"/>
                <w:color w:val="auto"/>
                <w:szCs w:val="21"/>
              </w:rPr>
              <w:t>处理达到《污水综合排放标准》（GB8978-1996）三级标准后排入市政污水管网，最终进入</w:t>
            </w:r>
            <w:r>
              <w:rPr>
                <w:rFonts w:hint="eastAsia" w:ascii="宋体" w:hAnsi="宋体" w:cs="宋体"/>
                <w:color w:val="auto"/>
                <w:szCs w:val="21"/>
                <w:lang w:val="en-US" w:eastAsia="zh-CN"/>
              </w:rPr>
              <w:t>龙眼井</w:t>
            </w:r>
            <w:r>
              <w:rPr>
                <w:rFonts w:hint="eastAsia" w:ascii="宋体" w:hAnsi="宋体" w:cs="宋体"/>
                <w:color w:val="auto"/>
                <w:szCs w:val="21"/>
              </w:rPr>
              <w:t>污水处理厂进行处理，</w:t>
            </w:r>
            <w:r>
              <w:rPr>
                <w:rFonts w:hint="eastAsia" w:ascii="宋体" w:hAnsi="宋体" w:cs="宋体"/>
                <w:color w:val="auto"/>
                <w:szCs w:val="21"/>
                <w:lang w:val="en-US" w:eastAsia="zh-CN"/>
              </w:rPr>
              <w:t>处理后达到</w:t>
            </w:r>
            <w:r>
              <w:rPr>
                <w:rFonts w:hint="eastAsia" w:ascii="宋体" w:hAnsi="宋体" w:cs="宋体"/>
                <w:color w:val="auto"/>
                <w:szCs w:val="21"/>
              </w:rPr>
              <w:t>《城镇污水处理厂污染物排放标准》（GB18918-2002）中一级 A排放标准后排入</w:t>
            </w:r>
            <w:r>
              <w:rPr>
                <w:rFonts w:hint="eastAsia" w:ascii="宋体" w:hAnsi="宋体" w:cs="宋体"/>
                <w:color w:val="auto"/>
                <w:szCs w:val="21"/>
                <w:lang w:val="en-US" w:eastAsia="zh-CN"/>
              </w:rPr>
              <w:t>琼江</w:t>
            </w:r>
            <w:r>
              <w:rPr>
                <w:rFonts w:hint="eastAsia" w:ascii="宋体" w:hAnsi="宋体" w:cs="宋体"/>
                <w:color w:val="auto"/>
                <w:szCs w:val="21"/>
              </w:rPr>
              <w:t>。</w:t>
            </w:r>
          </w:p>
          <w:p w14:paraId="43469057">
            <w:pPr>
              <w:spacing w:line="360" w:lineRule="auto"/>
              <w:ind w:firstLine="420" w:firstLineChars="200"/>
              <w:rPr>
                <w:rFonts w:ascii="宋体" w:hAnsi="宋体" w:cs="宋体"/>
                <w:color w:val="auto"/>
                <w:szCs w:val="21"/>
              </w:rPr>
            </w:pPr>
            <w:r>
              <w:rPr>
                <w:rFonts w:hint="eastAsia" w:ascii="宋体" w:hAnsi="宋体" w:cs="宋体"/>
                <w:color w:val="auto"/>
                <w:szCs w:val="21"/>
              </w:rPr>
              <w:t>本项目产生和排放的污水主要污染物情况统计见表4-</w:t>
            </w:r>
            <w:r>
              <w:rPr>
                <w:rFonts w:hint="eastAsia" w:ascii="宋体" w:hAnsi="宋体" w:cs="宋体"/>
                <w:color w:val="auto"/>
                <w:szCs w:val="21"/>
                <w:lang w:val="en-US" w:eastAsia="zh-CN"/>
              </w:rPr>
              <w:t>4</w:t>
            </w:r>
            <w:r>
              <w:rPr>
                <w:rFonts w:hint="eastAsia" w:ascii="宋体" w:hAnsi="宋体" w:cs="宋体"/>
                <w:color w:val="auto"/>
                <w:szCs w:val="21"/>
              </w:rPr>
              <w:t>。</w:t>
            </w:r>
          </w:p>
          <w:p w14:paraId="38EBADC3">
            <w:pPr>
              <w:snapToGrid w:val="0"/>
              <w:spacing w:before="120" w:beforeLines="50"/>
              <w:jc w:val="center"/>
              <w:rPr>
                <w:rFonts w:hint="default"/>
                <w:b/>
                <w:color w:val="auto"/>
                <w:sz w:val="21"/>
                <w:szCs w:val="21"/>
              </w:rPr>
            </w:pPr>
            <w:r>
              <w:rPr>
                <w:rFonts w:hint="eastAsia"/>
                <w:b/>
                <w:color w:val="auto"/>
                <w:sz w:val="21"/>
                <w:szCs w:val="21"/>
              </w:rPr>
              <w:t>表4-</w:t>
            </w:r>
            <w:r>
              <w:rPr>
                <w:rFonts w:hint="eastAsia"/>
                <w:b/>
                <w:color w:val="auto"/>
                <w:sz w:val="21"/>
                <w:szCs w:val="21"/>
                <w:lang w:val="en-US" w:eastAsia="zh-CN"/>
              </w:rPr>
              <w:t>4</w:t>
            </w:r>
            <w:r>
              <w:rPr>
                <w:rFonts w:hint="eastAsia"/>
                <w:b/>
                <w:color w:val="auto"/>
                <w:sz w:val="21"/>
                <w:szCs w:val="21"/>
              </w:rPr>
              <w:t xml:space="preserve">   本项目污水主要污染物产生和排放情况统计</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40"/>
              <w:gridCol w:w="3036"/>
              <w:gridCol w:w="1197"/>
              <w:gridCol w:w="788"/>
              <w:gridCol w:w="875"/>
              <w:gridCol w:w="762"/>
              <w:gridCol w:w="921"/>
            </w:tblGrid>
            <w:tr w14:paraId="4A3840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3" w:type="pct"/>
                  <w:vAlign w:val="center"/>
                </w:tcPr>
                <w:p w14:paraId="5E00F807">
                  <w:pPr>
                    <w:widowControl/>
                    <w:wordWrap w:val="0"/>
                    <w:jc w:val="center"/>
                    <w:rPr>
                      <w:rFonts w:ascii="宋体" w:hAnsi="宋体" w:cs="宋体"/>
                      <w:b/>
                      <w:bCs/>
                      <w:color w:val="auto"/>
                      <w:kern w:val="0"/>
                      <w:sz w:val="18"/>
                      <w:szCs w:val="18"/>
                    </w:rPr>
                  </w:pPr>
                  <w:r>
                    <w:rPr>
                      <w:rFonts w:hint="eastAsia" w:ascii="宋体" w:hAnsi="宋体" w:cs="宋体"/>
                      <w:b/>
                      <w:bCs/>
                      <w:color w:val="auto"/>
                      <w:kern w:val="0"/>
                      <w:sz w:val="18"/>
                      <w:szCs w:val="18"/>
                    </w:rPr>
                    <w:t>性质</w:t>
                  </w:r>
                </w:p>
              </w:tc>
              <w:tc>
                <w:tcPr>
                  <w:tcW w:w="1869" w:type="pct"/>
                  <w:vAlign w:val="center"/>
                </w:tcPr>
                <w:p w14:paraId="74796F22">
                  <w:pPr>
                    <w:widowControl/>
                    <w:wordWrap w:val="0"/>
                    <w:jc w:val="center"/>
                    <w:rPr>
                      <w:rFonts w:ascii="宋体" w:hAnsi="宋体" w:cs="宋体"/>
                      <w:b/>
                      <w:bCs/>
                      <w:color w:val="auto"/>
                      <w:kern w:val="0"/>
                      <w:sz w:val="18"/>
                      <w:szCs w:val="18"/>
                    </w:rPr>
                  </w:pPr>
                  <w:r>
                    <w:rPr>
                      <w:rFonts w:hint="eastAsia" w:ascii="宋体" w:hAnsi="宋体" w:cs="宋体"/>
                      <w:b/>
                      <w:bCs/>
                      <w:color w:val="auto"/>
                      <w:kern w:val="0"/>
                      <w:sz w:val="18"/>
                      <w:szCs w:val="18"/>
                    </w:rPr>
                    <w:t>废水</w:t>
                  </w:r>
                </w:p>
              </w:tc>
              <w:tc>
                <w:tcPr>
                  <w:tcW w:w="737" w:type="pct"/>
                  <w:vAlign w:val="center"/>
                </w:tcPr>
                <w:p w14:paraId="3FFC22CD">
                  <w:pPr>
                    <w:widowControl/>
                    <w:wordWrap w:val="0"/>
                    <w:jc w:val="center"/>
                    <w:rPr>
                      <w:rFonts w:ascii="宋体" w:hAnsi="宋体" w:cs="宋体"/>
                      <w:b/>
                      <w:bCs/>
                      <w:color w:val="auto"/>
                      <w:kern w:val="0"/>
                      <w:sz w:val="18"/>
                      <w:szCs w:val="18"/>
                    </w:rPr>
                  </w:pPr>
                  <w:r>
                    <w:rPr>
                      <w:rFonts w:hint="eastAsia" w:ascii="宋体" w:hAnsi="宋体" w:cs="宋体"/>
                      <w:b/>
                      <w:bCs/>
                      <w:color w:val="auto"/>
                      <w:kern w:val="0"/>
                      <w:sz w:val="18"/>
                      <w:szCs w:val="18"/>
                    </w:rPr>
                    <w:t>废水量</w:t>
                  </w:r>
                </w:p>
                <w:p w14:paraId="658C747E">
                  <w:pPr>
                    <w:widowControl/>
                    <w:wordWrap w:val="0"/>
                    <w:jc w:val="center"/>
                    <w:rPr>
                      <w:rFonts w:ascii="宋体" w:hAnsi="宋体" w:cs="宋体"/>
                      <w:b/>
                      <w:bCs/>
                      <w:color w:val="auto"/>
                      <w:kern w:val="0"/>
                      <w:sz w:val="18"/>
                      <w:szCs w:val="18"/>
                    </w:rPr>
                  </w:pPr>
                  <w:r>
                    <w:rPr>
                      <w:rFonts w:hint="eastAsia" w:ascii="宋体" w:hAnsi="宋体" w:cs="宋体"/>
                      <w:b/>
                      <w:bCs/>
                      <w:color w:val="auto"/>
                      <w:kern w:val="0"/>
                      <w:sz w:val="18"/>
                      <w:szCs w:val="18"/>
                    </w:rPr>
                    <w:t>（m</w:t>
                  </w:r>
                  <w:r>
                    <w:rPr>
                      <w:rFonts w:hint="eastAsia" w:ascii="宋体" w:hAnsi="宋体" w:cs="宋体"/>
                      <w:b/>
                      <w:bCs/>
                      <w:color w:val="auto"/>
                      <w:sz w:val="18"/>
                      <w:szCs w:val="18"/>
                      <w:vertAlign w:val="superscript"/>
                    </w:rPr>
                    <w:t>3</w:t>
                  </w:r>
                  <w:r>
                    <w:rPr>
                      <w:rFonts w:hint="eastAsia" w:ascii="宋体" w:hAnsi="宋体" w:cs="宋体"/>
                      <w:b/>
                      <w:bCs/>
                      <w:color w:val="auto"/>
                      <w:kern w:val="0"/>
                      <w:sz w:val="18"/>
                      <w:szCs w:val="18"/>
                    </w:rPr>
                    <w:t>/a）</w:t>
                  </w:r>
                </w:p>
              </w:tc>
              <w:tc>
                <w:tcPr>
                  <w:tcW w:w="485" w:type="pct"/>
                  <w:vAlign w:val="center"/>
                </w:tcPr>
                <w:p w14:paraId="13D08C7F">
                  <w:pPr>
                    <w:widowControl/>
                    <w:wordWrap w:val="0"/>
                    <w:jc w:val="center"/>
                    <w:rPr>
                      <w:rFonts w:ascii="宋体" w:hAnsi="宋体" w:cs="宋体"/>
                      <w:b/>
                      <w:bCs/>
                      <w:color w:val="auto"/>
                      <w:kern w:val="0"/>
                      <w:sz w:val="18"/>
                      <w:szCs w:val="18"/>
                    </w:rPr>
                  </w:pPr>
                  <w:r>
                    <w:rPr>
                      <w:rFonts w:hint="eastAsia" w:ascii="宋体" w:hAnsi="宋体" w:cs="宋体"/>
                      <w:b/>
                      <w:bCs/>
                      <w:color w:val="auto"/>
                      <w:kern w:val="0"/>
                      <w:sz w:val="18"/>
                      <w:szCs w:val="18"/>
                    </w:rPr>
                    <w:t>COD</w:t>
                  </w:r>
                </w:p>
              </w:tc>
              <w:tc>
                <w:tcPr>
                  <w:tcW w:w="539" w:type="pct"/>
                  <w:vAlign w:val="center"/>
                </w:tcPr>
                <w:p w14:paraId="40A9D2E7">
                  <w:pPr>
                    <w:widowControl/>
                    <w:wordWrap w:val="0"/>
                    <w:jc w:val="center"/>
                    <w:rPr>
                      <w:rFonts w:ascii="宋体" w:hAnsi="宋体" w:cs="宋体"/>
                      <w:b/>
                      <w:bCs/>
                      <w:color w:val="auto"/>
                      <w:kern w:val="0"/>
                      <w:sz w:val="18"/>
                      <w:szCs w:val="18"/>
                    </w:rPr>
                  </w:pPr>
                  <w:r>
                    <w:rPr>
                      <w:rFonts w:hint="eastAsia" w:ascii="宋体" w:hAnsi="宋体" w:cs="宋体"/>
                      <w:b/>
                      <w:bCs/>
                      <w:color w:val="auto"/>
                      <w:kern w:val="0"/>
                      <w:sz w:val="18"/>
                      <w:szCs w:val="18"/>
                    </w:rPr>
                    <w:t>BOD</w:t>
                  </w:r>
                  <w:r>
                    <w:rPr>
                      <w:rFonts w:hint="eastAsia" w:ascii="宋体" w:hAnsi="宋体" w:cs="宋体"/>
                      <w:b/>
                      <w:bCs/>
                      <w:color w:val="auto"/>
                      <w:kern w:val="0"/>
                      <w:sz w:val="18"/>
                      <w:szCs w:val="18"/>
                      <w:vertAlign w:val="subscript"/>
                    </w:rPr>
                    <w:t>5</w:t>
                  </w:r>
                </w:p>
              </w:tc>
              <w:tc>
                <w:tcPr>
                  <w:tcW w:w="469" w:type="pct"/>
                  <w:vAlign w:val="center"/>
                </w:tcPr>
                <w:p w14:paraId="56885EA0">
                  <w:pPr>
                    <w:widowControl/>
                    <w:wordWrap w:val="0"/>
                    <w:jc w:val="center"/>
                    <w:rPr>
                      <w:rFonts w:ascii="宋体" w:hAnsi="宋体" w:cs="宋体"/>
                      <w:b/>
                      <w:bCs/>
                      <w:color w:val="auto"/>
                      <w:kern w:val="0"/>
                      <w:sz w:val="18"/>
                      <w:szCs w:val="18"/>
                    </w:rPr>
                  </w:pPr>
                  <w:r>
                    <w:rPr>
                      <w:rFonts w:hint="eastAsia" w:ascii="宋体" w:hAnsi="宋体" w:cs="宋体"/>
                      <w:b/>
                      <w:bCs/>
                      <w:color w:val="auto"/>
                      <w:kern w:val="0"/>
                      <w:sz w:val="18"/>
                      <w:szCs w:val="18"/>
                    </w:rPr>
                    <w:t>SS</w:t>
                  </w:r>
                </w:p>
              </w:tc>
              <w:tc>
                <w:tcPr>
                  <w:tcW w:w="565" w:type="pct"/>
                  <w:vAlign w:val="center"/>
                </w:tcPr>
                <w:p w14:paraId="1FA6B556">
                  <w:pPr>
                    <w:widowControl/>
                    <w:wordWrap w:val="0"/>
                    <w:jc w:val="center"/>
                    <w:rPr>
                      <w:rFonts w:ascii="宋体" w:hAnsi="宋体" w:cs="宋体"/>
                      <w:b/>
                      <w:bCs/>
                      <w:color w:val="auto"/>
                      <w:kern w:val="0"/>
                      <w:sz w:val="18"/>
                      <w:szCs w:val="18"/>
                    </w:rPr>
                  </w:pPr>
                  <w:r>
                    <w:rPr>
                      <w:rFonts w:hint="eastAsia" w:ascii="宋体" w:hAnsi="宋体" w:cs="宋体"/>
                      <w:b/>
                      <w:bCs/>
                      <w:color w:val="auto"/>
                      <w:kern w:val="0"/>
                      <w:sz w:val="18"/>
                      <w:szCs w:val="18"/>
                    </w:rPr>
                    <w:t>NH</w:t>
                  </w:r>
                  <w:r>
                    <w:rPr>
                      <w:rFonts w:hint="eastAsia" w:ascii="宋体" w:hAnsi="宋体" w:cs="宋体"/>
                      <w:b/>
                      <w:bCs/>
                      <w:color w:val="auto"/>
                      <w:kern w:val="0"/>
                      <w:sz w:val="18"/>
                      <w:szCs w:val="18"/>
                      <w:vertAlign w:val="subscript"/>
                    </w:rPr>
                    <w:t>3</w:t>
                  </w:r>
                  <w:r>
                    <w:rPr>
                      <w:rFonts w:hint="eastAsia" w:ascii="宋体" w:hAnsi="宋体" w:cs="宋体"/>
                      <w:b/>
                      <w:bCs/>
                      <w:color w:val="auto"/>
                      <w:kern w:val="0"/>
                      <w:sz w:val="18"/>
                      <w:szCs w:val="18"/>
                    </w:rPr>
                    <w:t>-N</w:t>
                  </w:r>
                </w:p>
              </w:tc>
            </w:tr>
            <w:tr w14:paraId="2279A4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333" w:type="pct"/>
                  <w:vMerge w:val="restart"/>
                  <w:vAlign w:val="center"/>
                </w:tcPr>
                <w:p w14:paraId="7A376DFB">
                  <w:pPr>
                    <w:widowControl/>
                    <w:wordWrap w:val="0"/>
                    <w:jc w:val="center"/>
                    <w:rPr>
                      <w:rFonts w:ascii="宋体" w:hAnsi="宋体" w:cs="宋体"/>
                      <w:color w:val="auto"/>
                      <w:kern w:val="0"/>
                      <w:sz w:val="18"/>
                      <w:szCs w:val="18"/>
                    </w:rPr>
                  </w:pPr>
                  <w:r>
                    <w:rPr>
                      <w:rFonts w:hint="eastAsia" w:ascii="宋体" w:hAnsi="宋体" w:cs="宋体"/>
                      <w:color w:val="auto"/>
                      <w:kern w:val="0"/>
                      <w:sz w:val="18"/>
                      <w:szCs w:val="18"/>
                    </w:rPr>
                    <w:t>处理前</w:t>
                  </w:r>
                </w:p>
              </w:tc>
              <w:tc>
                <w:tcPr>
                  <w:tcW w:w="1869" w:type="pct"/>
                  <w:vAlign w:val="center"/>
                </w:tcPr>
                <w:p w14:paraId="77B4946D">
                  <w:pPr>
                    <w:widowControl/>
                    <w:wordWrap w:val="0"/>
                    <w:jc w:val="center"/>
                    <w:rPr>
                      <w:rFonts w:ascii="宋体" w:hAnsi="宋体" w:cs="宋体"/>
                      <w:color w:val="auto"/>
                      <w:kern w:val="0"/>
                      <w:sz w:val="18"/>
                      <w:szCs w:val="18"/>
                    </w:rPr>
                  </w:pPr>
                  <w:r>
                    <w:rPr>
                      <w:rFonts w:hint="eastAsia" w:ascii="宋体" w:hAnsi="宋体" w:cs="宋体"/>
                      <w:color w:val="auto"/>
                      <w:kern w:val="0"/>
                      <w:sz w:val="18"/>
                      <w:szCs w:val="18"/>
                    </w:rPr>
                    <w:t>浓度（mg/L）</w:t>
                  </w:r>
                </w:p>
              </w:tc>
              <w:tc>
                <w:tcPr>
                  <w:tcW w:w="737" w:type="pct"/>
                  <w:vAlign w:val="center"/>
                </w:tcPr>
                <w:p w14:paraId="7F4FF5B5">
                  <w:pPr>
                    <w:widowControl/>
                    <w:wordWrap w:val="0"/>
                    <w:jc w:val="center"/>
                    <w:rPr>
                      <w:rFonts w:ascii="宋体" w:hAnsi="宋体" w:cs="宋体"/>
                      <w:color w:val="auto"/>
                      <w:kern w:val="0"/>
                      <w:sz w:val="18"/>
                      <w:szCs w:val="18"/>
                    </w:rPr>
                  </w:pPr>
                  <w:r>
                    <w:rPr>
                      <w:rFonts w:hint="eastAsia" w:ascii="宋体" w:hAnsi="宋体" w:cs="宋体"/>
                      <w:color w:val="auto"/>
                      <w:kern w:val="0"/>
                      <w:sz w:val="18"/>
                      <w:szCs w:val="18"/>
                    </w:rPr>
                    <w:t>—</w:t>
                  </w:r>
                </w:p>
              </w:tc>
              <w:tc>
                <w:tcPr>
                  <w:tcW w:w="485" w:type="pct"/>
                  <w:vAlign w:val="center"/>
                </w:tcPr>
                <w:p w14:paraId="139944C0">
                  <w:pPr>
                    <w:widowControl/>
                    <w:wordWrap w:val="0"/>
                    <w:jc w:val="center"/>
                    <w:rPr>
                      <w:rFonts w:ascii="宋体" w:hAnsi="宋体" w:cs="宋体"/>
                      <w:color w:val="auto"/>
                      <w:kern w:val="0"/>
                      <w:sz w:val="18"/>
                      <w:szCs w:val="18"/>
                    </w:rPr>
                  </w:pPr>
                  <w:r>
                    <w:rPr>
                      <w:rFonts w:hint="eastAsia" w:ascii="宋体" w:hAnsi="宋体" w:cs="宋体"/>
                      <w:color w:val="auto"/>
                      <w:kern w:val="0"/>
                      <w:sz w:val="18"/>
                      <w:szCs w:val="18"/>
                    </w:rPr>
                    <w:t>350</w:t>
                  </w:r>
                </w:p>
              </w:tc>
              <w:tc>
                <w:tcPr>
                  <w:tcW w:w="539" w:type="pct"/>
                  <w:vAlign w:val="center"/>
                </w:tcPr>
                <w:p w14:paraId="37791E97">
                  <w:pPr>
                    <w:widowControl/>
                    <w:wordWrap w:val="0"/>
                    <w:jc w:val="center"/>
                    <w:rPr>
                      <w:rFonts w:ascii="宋体" w:hAnsi="宋体" w:cs="宋体"/>
                      <w:color w:val="auto"/>
                      <w:kern w:val="0"/>
                      <w:sz w:val="18"/>
                      <w:szCs w:val="18"/>
                    </w:rPr>
                  </w:pPr>
                  <w:r>
                    <w:rPr>
                      <w:rFonts w:hint="eastAsia" w:ascii="宋体" w:hAnsi="宋体" w:cs="宋体"/>
                      <w:color w:val="auto"/>
                      <w:kern w:val="0"/>
                      <w:sz w:val="18"/>
                      <w:szCs w:val="18"/>
                    </w:rPr>
                    <w:t>300</w:t>
                  </w:r>
                </w:p>
              </w:tc>
              <w:tc>
                <w:tcPr>
                  <w:tcW w:w="469" w:type="pct"/>
                  <w:vAlign w:val="center"/>
                </w:tcPr>
                <w:p w14:paraId="6E6D2220">
                  <w:pPr>
                    <w:widowControl/>
                    <w:wordWrap w:val="0"/>
                    <w:jc w:val="center"/>
                    <w:rPr>
                      <w:rFonts w:ascii="宋体" w:hAnsi="宋体" w:cs="宋体"/>
                      <w:color w:val="auto"/>
                      <w:kern w:val="0"/>
                      <w:sz w:val="18"/>
                      <w:szCs w:val="18"/>
                    </w:rPr>
                  </w:pPr>
                  <w:r>
                    <w:rPr>
                      <w:rFonts w:hint="eastAsia" w:ascii="宋体" w:hAnsi="宋体" w:cs="宋体"/>
                      <w:color w:val="auto"/>
                      <w:kern w:val="0"/>
                      <w:sz w:val="18"/>
                      <w:szCs w:val="18"/>
                    </w:rPr>
                    <w:t>300</w:t>
                  </w:r>
                </w:p>
              </w:tc>
              <w:tc>
                <w:tcPr>
                  <w:tcW w:w="565" w:type="pct"/>
                  <w:vAlign w:val="center"/>
                </w:tcPr>
                <w:p w14:paraId="1F54475C">
                  <w:pPr>
                    <w:widowControl/>
                    <w:wordWrap w:val="0"/>
                    <w:jc w:val="center"/>
                    <w:rPr>
                      <w:rFonts w:ascii="宋体" w:hAnsi="宋体" w:cs="宋体"/>
                      <w:color w:val="auto"/>
                      <w:kern w:val="0"/>
                      <w:sz w:val="18"/>
                      <w:szCs w:val="18"/>
                    </w:rPr>
                  </w:pPr>
                  <w:r>
                    <w:rPr>
                      <w:rFonts w:hint="eastAsia" w:ascii="宋体" w:hAnsi="宋体" w:cs="宋体"/>
                      <w:color w:val="auto"/>
                      <w:kern w:val="0"/>
                      <w:sz w:val="18"/>
                      <w:szCs w:val="18"/>
                    </w:rPr>
                    <w:t>30</w:t>
                  </w:r>
                </w:p>
              </w:tc>
            </w:tr>
            <w:tr w14:paraId="424321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333" w:type="pct"/>
                  <w:vMerge w:val="continue"/>
                  <w:vAlign w:val="center"/>
                </w:tcPr>
                <w:p w14:paraId="53EB5342">
                  <w:pPr>
                    <w:widowControl/>
                    <w:wordWrap w:val="0"/>
                    <w:jc w:val="center"/>
                    <w:rPr>
                      <w:rFonts w:ascii="宋体" w:hAnsi="宋体" w:cs="宋体"/>
                      <w:color w:val="auto"/>
                      <w:kern w:val="0"/>
                      <w:sz w:val="18"/>
                      <w:szCs w:val="18"/>
                    </w:rPr>
                  </w:pPr>
                </w:p>
              </w:tc>
              <w:tc>
                <w:tcPr>
                  <w:tcW w:w="1869" w:type="pct"/>
                  <w:vAlign w:val="center"/>
                </w:tcPr>
                <w:p w14:paraId="64FB7498">
                  <w:pPr>
                    <w:widowControl/>
                    <w:wordWrap w:val="0"/>
                    <w:jc w:val="center"/>
                    <w:rPr>
                      <w:rFonts w:ascii="宋体" w:hAnsi="宋体" w:cs="宋体"/>
                      <w:color w:val="auto"/>
                      <w:kern w:val="0"/>
                      <w:sz w:val="18"/>
                      <w:szCs w:val="18"/>
                    </w:rPr>
                  </w:pPr>
                  <w:r>
                    <w:rPr>
                      <w:rFonts w:hint="eastAsia" w:ascii="宋体" w:hAnsi="宋体" w:cs="宋体"/>
                      <w:color w:val="auto"/>
                      <w:kern w:val="0"/>
                      <w:sz w:val="18"/>
                      <w:szCs w:val="18"/>
                    </w:rPr>
                    <w:t>产生量（t/a）</w:t>
                  </w:r>
                </w:p>
              </w:tc>
              <w:tc>
                <w:tcPr>
                  <w:tcW w:w="737" w:type="pct"/>
                  <w:vAlign w:val="center"/>
                </w:tcPr>
                <w:p w14:paraId="6441D6D4">
                  <w:pPr>
                    <w:widowControl/>
                    <w:wordWrap w:val="0"/>
                    <w:jc w:val="center"/>
                    <w:rPr>
                      <w:rFonts w:hint="default" w:ascii="宋体" w:hAnsi="宋体" w:eastAsia="宋体" w:cs="宋体"/>
                      <w:color w:val="auto"/>
                      <w:kern w:val="0"/>
                      <w:sz w:val="18"/>
                      <w:szCs w:val="18"/>
                      <w:lang w:val="en-US" w:eastAsia="zh-CN"/>
                    </w:rPr>
                  </w:pPr>
                  <w:r>
                    <w:rPr>
                      <w:rFonts w:hint="eastAsia" w:ascii="宋体" w:hAnsi="宋体" w:cs="宋体"/>
                      <w:color w:val="auto"/>
                      <w:sz w:val="18"/>
                      <w:szCs w:val="18"/>
                      <w:lang w:val="en-US" w:eastAsia="zh-CN"/>
                    </w:rPr>
                    <w:t>1440</w:t>
                  </w:r>
                </w:p>
              </w:tc>
              <w:tc>
                <w:tcPr>
                  <w:tcW w:w="485" w:type="pct"/>
                  <w:vAlign w:val="center"/>
                </w:tcPr>
                <w:p w14:paraId="7D031A67">
                  <w:pPr>
                    <w:widowControl/>
                    <w:wordWrap w:val="0"/>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0.504</w:t>
                  </w:r>
                </w:p>
              </w:tc>
              <w:tc>
                <w:tcPr>
                  <w:tcW w:w="539" w:type="pct"/>
                  <w:vAlign w:val="center"/>
                </w:tcPr>
                <w:p w14:paraId="1C304AAE">
                  <w:pPr>
                    <w:widowControl/>
                    <w:wordWrap w:val="0"/>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0.432</w:t>
                  </w:r>
                </w:p>
              </w:tc>
              <w:tc>
                <w:tcPr>
                  <w:tcW w:w="469" w:type="pct"/>
                  <w:vAlign w:val="center"/>
                </w:tcPr>
                <w:p w14:paraId="763A7DFA">
                  <w:pPr>
                    <w:widowControl/>
                    <w:wordWrap w:val="0"/>
                    <w:jc w:val="center"/>
                    <w:rPr>
                      <w:rFonts w:ascii="宋体" w:hAnsi="宋体" w:cs="宋体"/>
                      <w:color w:val="auto"/>
                      <w:kern w:val="0"/>
                      <w:sz w:val="18"/>
                      <w:szCs w:val="18"/>
                    </w:rPr>
                  </w:pPr>
                  <w:r>
                    <w:rPr>
                      <w:rFonts w:hint="eastAsia" w:ascii="宋体" w:hAnsi="宋体" w:cs="宋体"/>
                      <w:color w:val="auto"/>
                      <w:kern w:val="0"/>
                      <w:sz w:val="18"/>
                      <w:szCs w:val="18"/>
                      <w:lang w:val="en-US" w:eastAsia="zh-CN"/>
                    </w:rPr>
                    <w:t>0.432</w:t>
                  </w:r>
                </w:p>
              </w:tc>
              <w:tc>
                <w:tcPr>
                  <w:tcW w:w="565" w:type="pct"/>
                  <w:vAlign w:val="center"/>
                </w:tcPr>
                <w:p w14:paraId="228FEBA0">
                  <w:pPr>
                    <w:widowControl/>
                    <w:wordWrap w:val="0"/>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0.0432</w:t>
                  </w:r>
                </w:p>
              </w:tc>
            </w:tr>
            <w:tr w14:paraId="351E00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02" w:type="pct"/>
                  <w:gridSpan w:val="2"/>
                  <w:vAlign w:val="center"/>
                </w:tcPr>
                <w:p w14:paraId="26FE6191">
                  <w:pPr>
                    <w:widowControl/>
                    <w:wordWrap w:val="0"/>
                    <w:jc w:val="center"/>
                    <w:rPr>
                      <w:rFonts w:ascii="宋体" w:hAnsi="宋体" w:cs="宋体"/>
                      <w:color w:val="auto"/>
                      <w:kern w:val="0"/>
                      <w:sz w:val="18"/>
                      <w:szCs w:val="18"/>
                    </w:rPr>
                  </w:pPr>
                  <w:r>
                    <w:rPr>
                      <w:rFonts w:hint="eastAsia" w:ascii="宋体" w:hAnsi="宋体" w:cs="宋体"/>
                      <w:color w:val="auto"/>
                      <w:kern w:val="0"/>
                      <w:sz w:val="18"/>
                      <w:szCs w:val="18"/>
                    </w:rPr>
                    <w:t>处理措施</w:t>
                  </w:r>
                </w:p>
              </w:tc>
              <w:tc>
                <w:tcPr>
                  <w:tcW w:w="2797" w:type="pct"/>
                  <w:gridSpan w:val="5"/>
                  <w:vAlign w:val="center"/>
                </w:tcPr>
                <w:p w14:paraId="7F8BD941">
                  <w:pPr>
                    <w:widowControl/>
                    <w:wordWrap w:val="0"/>
                    <w:jc w:val="center"/>
                    <w:rPr>
                      <w:rFonts w:ascii="宋体" w:hAnsi="宋体" w:cs="宋体"/>
                      <w:color w:val="auto"/>
                      <w:kern w:val="0"/>
                      <w:sz w:val="18"/>
                      <w:szCs w:val="18"/>
                    </w:rPr>
                  </w:pPr>
                  <w:r>
                    <w:rPr>
                      <w:rFonts w:hint="eastAsia" w:ascii="宋体" w:hAnsi="宋体" w:cs="宋体"/>
                      <w:color w:val="auto"/>
                      <w:kern w:val="0"/>
                      <w:sz w:val="18"/>
                      <w:szCs w:val="18"/>
                    </w:rPr>
                    <w:t>化粪池</w:t>
                  </w:r>
                </w:p>
              </w:tc>
            </w:tr>
            <w:tr w14:paraId="270F97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333" w:type="pct"/>
                  <w:vMerge w:val="restart"/>
                  <w:vAlign w:val="center"/>
                </w:tcPr>
                <w:p w14:paraId="72ACC802">
                  <w:pPr>
                    <w:widowControl/>
                    <w:wordWrap w:val="0"/>
                    <w:jc w:val="center"/>
                    <w:rPr>
                      <w:rFonts w:ascii="宋体" w:hAnsi="宋体" w:cs="宋体"/>
                      <w:color w:val="auto"/>
                      <w:kern w:val="0"/>
                      <w:sz w:val="18"/>
                      <w:szCs w:val="18"/>
                    </w:rPr>
                  </w:pPr>
                  <w:r>
                    <w:rPr>
                      <w:rFonts w:hint="eastAsia" w:ascii="宋体" w:hAnsi="宋体" w:cs="宋体"/>
                      <w:color w:val="auto"/>
                      <w:kern w:val="0"/>
                      <w:sz w:val="18"/>
                      <w:szCs w:val="18"/>
                    </w:rPr>
                    <w:t>处理后</w:t>
                  </w:r>
                </w:p>
              </w:tc>
              <w:tc>
                <w:tcPr>
                  <w:tcW w:w="1869" w:type="pct"/>
                  <w:vAlign w:val="center"/>
                </w:tcPr>
                <w:p w14:paraId="08F4A713">
                  <w:pPr>
                    <w:widowControl/>
                    <w:wordWrap w:val="0"/>
                    <w:jc w:val="center"/>
                    <w:rPr>
                      <w:rFonts w:ascii="宋体" w:hAnsi="宋体" w:cs="宋体"/>
                      <w:color w:val="auto"/>
                      <w:kern w:val="0"/>
                      <w:sz w:val="18"/>
                      <w:szCs w:val="18"/>
                    </w:rPr>
                  </w:pPr>
                  <w:r>
                    <w:rPr>
                      <w:rFonts w:hint="eastAsia" w:ascii="宋体" w:hAnsi="宋体" w:cs="宋体"/>
                      <w:color w:val="auto"/>
                      <w:kern w:val="0"/>
                      <w:sz w:val="18"/>
                      <w:szCs w:val="18"/>
                    </w:rPr>
                    <w:t>《污水综合排放标准》(GB8978-1996)三级标准浓度（mg/L）</w:t>
                  </w:r>
                </w:p>
              </w:tc>
              <w:tc>
                <w:tcPr>
                  <w:tcW w:w="737" w:type="pct"/>
                  <w:vAlign w:val="center"/>
                </w:tcPr>
                <w:p w14:paraId="0DD5E08D">
                  <w:pPr>
                    <w:widowControl/>
                    <w:wordWrap w:val="0"/>
                    <w:jc w:val="center"/>
                    <w:rPr>
                      <w:rFonts w:ascii="宋体" w:hAnsi="宋体" w:cs="宋体"/>
                      <w:color w:val="auto"/>
                      <w:kern w:val="0"/>
                      <w:sz w:val="18"/>
                      <w:szCs w:val="18"/>
                    </w:rPr>
                  </w:pPr>
                  <w:r>
                    <w:rPr>
                      <w:rFonts w:hint="eastAsia" w:ascii="宋体" w:hAnsi="宋体" w:cs="宋体"/>
                      <w:color w:val="auto"/>
                      <w:kern w:val="0"/>
                      <w:sz w:val="18"/>
                      <w:szCs w:val="18"/>
                    </w:rPr>
                    <w:t>—</w:t>
                  </w:r>
                </w:p>
              </w:tc>
              <w:tc>
                <w:tcPr>
                  <w:tcW w:w="485" w:type="pct"/>
                  <w:vAlign w:val="center"/>
                </w:tcPr>
                <w:p w14:paraId="010D35F9">
                  <w:pPr>
                    <w:widowControl/>
                    <w:wordWrap w:val="0"/>
                    <w:jc w:val="center"/>
                    <w:rPr>
                      <w:rFonts w:ascii="宋体" w:hAnsi="宋体" w:cs="宋体"/>
                      <w:color w:val="auto"/>
                      <w:kern w:val="0"/>
                      <w:sz w:val="18"/>
                      <w:szCs w:val="18"/>
                    </w:rPr>
                  </w:pPr>
                  <w:r>
                    <w:rPr>
                      <w:rFonts w:hint="eastAsia" w:ascii="宋体" w:hAnsi="宋体" w:cs="宋体"/>
                      <w:color w:val="auto"/>
                      <w:kern w:val="0"/>
                      <w:sz w:val="18"/>
                      <w:szCs w:val="18"/>
                    </w:rPr>
                    <w:t>300</w:t>
                  </w:r>
                </w:p>
              </w:tc>
              <w:tc>
                <w:tcPr>
                  <w:tcW w:w="539" w:type="pct"/>
                  <w:vAlign w:val="center"/>
                </w:tcPr>
                <w:p w14:paraId="7D0FA2DD">
                  <w:pPr>
                    <w:widowControl/>
                    <w:wordWrap w:val="0"/>
                    <w:jc w:val="center"/>
                    <w:rPr>
                      <w:rFonts w:ascii="宋体" w:hAnsi="宋体" w:cs="宋体"/>
                      <w:color w:val="auto"/>
                      <w:kern w:val="0"/>
                      <w:sz w:val="18"/>
                      <w:szCs w:val="18"/>
                    </w:rPr>
                  </w:pPr>
                  <w:r>
                    <w:rPr>
                      <w:rFonts w:hint="eastAsia" w:ascii="宋体" w:hAnsi="宋体" w:cs="宋体"/>
                      <w:color w:val="auto"/>
                      <w:kern w:val="0"/>
                      <w:sz w:val="18"/>
                      <w:szCs w:val="18"/>
                    </w:rPr>
                    <w:t>250</w:t>
                  </w:r>
                </w:p>
              </w:tc>
              <w:tc>
                <w:tcPr>
                  <w:tcW w:w="469" w:type="pct"/>
                  <w:vAlign w:val="center"/>
                </w:tcPr>
                <w:p w14:paraId="7B4A2548">
                  <w:pPr>
                    <w:widowControl/>
                    <w:wordWrap w:val="0"/>
                    <w:jc w:val="center"/>
                    <w:rPr>
                      <w:rFonts w:ascii="宋体" w:hAnsi="宋体" w:cs="宋体"/>
                      <w:color w:val="auto"/>
                      <w:kern w:val="0"/>
                      <w:sz w:val="18"/>
                      <w:szCs w:val="18"/>
                    </w:rPr>
                  </w:pPr>
                  <w:r>
                    <w:rPr>
                      <w:rFonts w:hint="eastAsia" w:ascii="宋体" w:hAnsi="宋体" w:cs="宋体"/>
                      <w:color w:val="auto"/>
                      <w:kern w:val="0"/>
                      <w:sz w:val="18"/>
                      <w:szCs w:val="18"/>
                    </w:rPr>
                    <w:t>250</w:t>
                  </w:r>
                </w:p>
              </w:tc>
              <w:tc>
                <w:tcPr>
                  <w:tcW w:w="565" w:type="pct"/>
                  <w:vAlign w:val="center"/>
                </w:tcPr>
                <w:p w14:paraId="74D8EC22">
                  <w:pPr>
                    <w:widowControl/>
                    <w:wordWrap w:val="0"/>
                    <w:jc w:val="center"/>
                    <w:rPr>
                      <w:rFonts w:ascii="宋体" w:hAnsi="宋体" w:cs="宋体"/>
                      <w:color w:val="auto"/>
                      <w:kern w:val="0"/>
                      <w:sz w:val="18"/>
                      <w:szCs w:val="18"/>
                    </w:rPr>
                  </w:pPr>
                  <w:r>
                    <w:rPr>
                      <w:rFonts w:hint="eastAsia" w:ascii="宋体" w:hAnsi="宋体" w:cs="宋体"/>
                      <w:color w:val="auto"/>
                      <w:kern w:val="0"/>
                      <w:sz w:val="18"/>
                      <w:szCs w:val="18"/>
                    </w:rPr>
                    <w:t>30</w:t>
                  </w:r>
                </w:p>
              </w:tc>
            </w:tr>
            <w:tr w14:paraId="3B9017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3" w:type="pct"/>
                  <w:vMerge w:val="continue"/>
                  <w:vAlign w:val="center"/>
                </w:tcPr>
                <w:p w14:paraId="40B4EFB3">
                  <w:pPr>
                    <w:widowControl/>
                    <w:wordWrap w:val="0"/>
                    <w:jc w:val="center"/>
                    <w:rPr>
                      <w:rFonts w:ascii="宋体" w:hAnsi="宋体" w:cs="宋体"/>
                      <w:color w:val="auto"/>
                      <w:kern w:val="0"/>
                      <w:sz w:val="18"/>
                      <w:szCs w:val="18"/>
                    </w:rPr>
                  </w:pPr>
                </w:p>
              </w:tc>
              <w:tc>
                <w:tcPr>
                  <w:tcW w:w="1869" w:type="pct"/>
                  <w:vAlign w:val="center"/>
                </w:tcPr>
                <w:p w14:paraId="3267D04C">
                  <w:pPr>
                    <w:widowControl/>
                    <w:wordWrap w:val="0"/>
                    <w:jc w:val="center"/>
                    <w:rPr>
                      <w:rFonts w:ascii="宋体" w:hAnsi="宋体" w:cs="宋体"/>
                      <w:color w:val="auto"/>
                      <w:kern w:val="0"/>
                      <w:sz w:val="18"/>
                      <w:szCs w:val="18"/>
                    </w:rPr>
                  </w:pPr>
                  <w:r>
                    <w:rPr>
                      <w:rFonts w:hint="eastAsia" w:ascii="宋体" w:hAnsi="宋体" w:cs="宋体"/>
                      <w:color w:val="auto"/>
                      <w:kern w:val="0"/>
                      <w:sz w:val="18"/>
                      <w:szCs w:val="18"/>
                    </w:rPr>
                    <w:t>排入城市污水管网（t/a）</w:t>
                  </w:r>
                </w:p>
              </w:tc>
              <w:tc>
                <w:tcPr>
                  <w:tcW w:w="737" w:type="pct"/>
                  <w:vAlign w:val="center"/>
                </w:tcPr>
                <w:p w14:paraId="0E4B0979">
                  <w:pPr>
                    <w:widowControl/>
                    <w:wordWrap w:val="0"/>
                    <w:jc w:val="center"/>
                    <w:rPr>
                      <w:rFonts w:ascii="宋体" w:hAnsi="宋体" w:cs="宋体"/>
                      <w:color w:val="auto"/>
                      <w:kern w:val="0"/>
                      <w:sz w:val="18"/>
                      <w:szCs w:val="18"/>
                    </w:rPr>
                  </w:pPr>
                  <w:r>
                    <w:rPr>
                      <w:rFonts w:hint="eastAsia" w:ascii="宋体" w:hAnsi="宋体" w:cs="宋体"/>
                      <w:color w:val="auto"/>
                      <w:sz w:val="18"/>
                      <w:szCs w:val="18"/>
                      <w:lang w:val="en-US" w:eastAsia="zh-CN"/>
                    </w:rPr>
                    <w:t>1440</w:t>
                  </w:r>
                </w:p>
              </w:tc>
              <w:tc>
                <w:tcPr>
                  <w:tcW w:w="485" w:type="pct"/>
                  <w:vAlign w:val="center"/>
                </w:tcPr>
                <w:p w14:paraId="709F1E89">
                  <w:pPr>
                    <w:tabs>
                      <w:tab w:val="left" w:pos="780"/>
                    </w:tabs>
                    <w:jc w:val="center"/>
                    <w:rPr>
                      <w:rFonts w:ascii="宋体" w:hAnsi="宋体" w:cs="宋体"/>
                      <w:color w:val="auto"/>
                      <w:kern w:val="0"/>
                      <w:sz w:val="18"/>
                      <w:szCs w:val="18"/>
                    </w:rPr>
                  </w:pPr>
                  <w:r>
                    <w:rPr>
                      <w:rFonts w:hint="eastAsia" w:ascii="宋体" w:hAnsi="宋体" w:cs="宋体"/>
                      <w:color w:val="auto"/>
                      <w:kern w:val="0"/>
                      <w:sz w:val="18"/>
                      <w:szCs w:val="18"/>
                      <w:lang w:val="en-US" w:eastAsia="zh-CN"/>
                    </w:rPr>
                    <w:t>0.432</w:t>
                  </w:r>
                </w:p>
              </w:tc>
              <w:tc>
                <w:tcPr>
                  <w:tcW w:w="539" w:type="pct"/>
                  <w:vAlign w:val="center"/>
                </w:tcPr>
                <w:p w14:paraId="3DFDB98E">
                  <w:pPr>
                    <w:tabs>
                      <w:tab w:val="left" w:pos="780"/>
                    </w:tabs>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0.36</w:t>
                  </w:r>
                </w:p>
              </w:tc>
              <w:tc>
                <w:tcPr>
                  <w:tcW w:w="469" w:type="pct"/>
                  <w:vAlign w:val="center"/>
                </w:tcPr>
                <w:p w14:paraId="3B92FA9E">
                  <w:pPr>
                    <w:tabs>
                      <w:tab w:val="left" w:pos="780"/>
                    </w:tabs>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0.36</w:t>
                  </w:r>
                </w:p>
              </w:tc>
              <w:tc>
                <w:tcPr>
                  <w:tcW w:w="565" w:type="pct"/>
                  <w:vAlign w:val="center"/>
                </w:tcPr>
                <w:p w14:paraId="1B4E533B">
                  <w:pPr>
                    <w:tabs>
                      <w:tab w:val="left" w:pos="780"/>
                    </w:tabs>
                    <w:jc w:val="center"/>
                    <w:rPr>
                      <w:rFonts w:ascii="宋体" w:hAnsi="宋体" w:cs="宋体"/>
                      <w:color w:val="auto"/>
                      <w:kern w:val="0"/>
                      <w:sz w:val="18"/>
                      <w:szCs w:val="18"/>
                    </w:rPr>
                  </w:pPr>
                  <w:r>
                    <w:rPr>
                      <w:rFonts w:hint="eastAsia" w:ascii="宋体" w:hAnsi="宋体" w:cs="宋体"/>
                      <w:color w:val="auto"/>
                      <w:kern w:val="0"/>
                      <w:sz w:val="18"/>
                      <w:szCs w:val="18"/>
                      <w:lang w:val="en-US" w:eastAsia="zh-CN"/>
                    </w:rPr>
                    <w:t>0.0432</w:t>
                  </w:r>
                </w:p>
              </w:tc>
            </w:tr>
            <w:tr w14:paraId="775210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02" w:type="pct"/>
                  <w:gridSpan w:val="2"/>
                  <w:vAlign w:val="center"/>
                </w:tcPr>
                <w:p w14:paraId="0F3B416F">
                  <w:pPr>
                    <w:widowControl/>
                    <w:wordWrap w:val="0"/>
                    <w:jc w:val="center"/>
                    <w:rPr>
                      <w:rFonts w:ascii="宋体" w:hAnsi="宋体" w:cs="宋体"/>
                      <w:color w:val="auto"/>
                      <w:kern w:val="0"/>
                      <w:sz w:val="18"/>
                      <w:szCs w:val="18"/>
                    </w:rPr>
                  </w:pPr>
                  <w:r>
                    <w:rPr>
                      <w:rFonts w:hint="eastAsia" w:ascii="宋体" w:hAnsi="宋体" w:cs="宋体"/>
                      <w:color w:val="auto"/>
                      <w:kern w:val="0"/>
                      <w:sz w:val="18"/>
                      <w:szCs w:val="18"/>
                    </w:rPr>
                    <w:t>处理措施</w:t>
                  </w:r>
                </w:p>
              </w:tc>
              <w:tc>
                <w:tcPr>
                  <w:tcW w:w="2797" w:type="pct"/>
                  <w:gridSpan w:val="5"/>
                  <w:vAlign w:val="center"/>
                </w:tcPr>
                <w:p w14:paraId="6680BF51">
                  <w:pPr>
                    <w:widowControl/>
                    <w:wordWrap w:val="0"/>
                    <w:jc w:val="center"/>
                    <w:rPr>
                      <w:rFonts w:ascii="宋体" w:hAnsi="宋体" w:cs="宋体"/>
                      <w:color w:val="auto"/>
                      <w:kern w:val="0"/>
                      <w:sz w:val="18"/>
                      <w:szCs w:val="18"/>
                    </w:rPr>
                  </w:pPr>
                  <w:r>
                    <w:rPr>
                      <w:rFonts w:hint="eastAsia" w:ascii="宋体" w:hAnsi="宋体" w:cs="宋体"/>
                      <w:color w:val="auto"/>
                      <w:kern w:val="0"/>
                      <w:sz w:val="18"/>
                      <w:szCs w:val="18"/>
                      <w:lang w:val="en-US" w:eastAsia="zh-CN"/>
                    </w:rPr>
                    <w:t>龙眼井</w:t>
                  </w:r>
                  <w:r>
                    <w:rPr>
                      <w:rFonts w:hint="eastAsia" w:ascii="宋体" w:hAnsi="宋体" w:cs="宋体"/>
                      <w:color w:val="auto"/>
                      <w:kern w:val="0"/>
                      <w:sz w:val="18"/>
                      <w:szCs w:val="18"/>
                    </w:rPr>
                    <w:t>污水处理厂</w:t>
                  </w:r>
                </w:p>
              </w:tc>
            </w:tr>
            <w:tr w14:paraId="0CB45F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333" w:type="pct"/>
                  <w:vMerge w:val="restart"/>
                  <w:vAlign w:val="center"/>
                </w:tcPr>
                <w:p w14:paraId="59D99C37">
                  <w:pPr>
                    <w:widowControl/>
                    <w:wordWrap w:val="0"/>
                    <w:jc w:val="center"/>
                    <w:rPr>
                      <w:rFonts w:ascii="宋体" w:hAnsi="宋体" w:cs="宋体"/>
                      <w:color w:val="auto"/>
                      <w:kern w:val="0"/>
                      <w:sz w:val="18"/>
                      <w:szCs w:val="18"/>
                    </w:rPr>
                  </w:pPr>
                  <w:r>
                    <w:rPr>
                      <w:rFonts w:hint="eastAsia" w:ascii="宋体" w:hAnsi="宋体" w:cs="宋体"/>
                      <w:color w:val="auto"/>
                      <w:kern w:val="0"/>
                      <w:sz w:val="18"/>
                      <w:szCs w:val="18"/>
                    </w:rPr>
                    <w:t>处理后</w:t>
                  </w:r>
                </w:p>
              </w:tc>
              <w:tc>
                <w:tcPr>
                  <w:tcW w:w="1869" w:type="pct"/>
                  <w:vAlign w:val="center"/>
                </w:tcPr>
                <w:p w14:paraId="2E22BCA0">
                  <w:pPr>
                    <w:widowControl/>
                    <w:wordWrap w:val="0"/>
                    <w:jc w:val="center"/>
                    <w:rPr>
                      <w:rFonts w:ascii="宋体" w:hAnsi="宋体" w:cs="宋体"/>
                      <w:color w:val="auto"/>
                      <w:kern w:val="0"/>
                      <w:sz w:val="18"/>
                      <w:szCs w:val="18"/>
                    </w:rPr>
                  </w:pPr>
                  <w:r>
                    <w:rPr>
                      <w:rFonts w:hint="eastAsia" w:ascii="宋体" w:hAnsi="宋体" w:cs="宋体"/>
                      <w:color w:val="auto"/>
                      <w:kern w:val="0"/>
                      <w:sz w:val="18"/>
                      <w:szCs w:val="18"/>
                    </w:rPr>
                    <w:t>《城镇污水处理厂污染物排放标准》（GB18918-2002）一级A标，浓度（mg/L）</w:t>
                  </w:r>
                </w:p>
              </w:tc>
              <w:tc>
                <w:tcPr>
                  <w:tcW w:w="737" w:type="pct"/>
                  <w:vAlign w:val="center"/>
                </w:tcPr>
                <w:p w14:paraId="3E874792">
                  <w:pPr>
                    <w:widowControl/>
                    <w:wordWrap w:val="0"/>
                    <w:jc w:val="center"/>
                    <w:rPr>
                      <w:rFonts w:ascii="宋体" w:hAnsi="宋体" w:cs="宋体"/>
                      <w:color w:val="auto"/>
                      <w:kern w:val="0"/>
                      <w:sz w:val="18"/>
                      <w:szCs w:val="18"/>
                    </w:rPr>
                  </w:pPr>
                  <w:r>
                    <w:rPr>
                      <w:rFonts w:hint="eastAsia" w:ascii="宋体" w:hAnsi="宋体" w:cs="宋体"/>
                      <w:color w:val="auto"/>
                      <w:kern w:val="0"/>
                      <w:sz w:val="18"/>
                      <w:szCs w:val="18"/>
                    </w:rPr>
                    <w:t>—</w:t>
                  </w:r>
                </w:p>
              </w:tc>
              <w:tc>
                <w:tcPr>
                  <w:tcW w:w="485" w:type="pct"/>
                  <w:vAlign w:val="center"/>
                </w:tcPr>
                <w:p w14:paraId="1ECE45C4">
                  <w:pPr>
                    <w:widowControl/>
                    <w:wordWrap w:val="0"/>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50</w:t>
                  </w:r>
                </w:p>
              </w:tc>
              <w:tc>
                <w:tcPr>
                  <w:tcW w:w="539" w:type="pct"/>
                  <w:vAlign w:val="center"/>
                </w:tcPr>
                <w:p w14:paraId="05EB1D82">
                  <w:pPr>
                    <w:widowControl/>
                    <w:wordWrap w:val="0"/>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10</w:t>
                  </w:r>
                </w:p>
              </w:tc>
              <w:tc>
                <w:tcPr>
                  <w:tcW w:w="469" w:type="pct"/>
                  <w:vAlign w:val="center"/>
                </w:tcPr>
                <w:p w14:paraId="61EC8ECE">
                  <w:pPr>
                    <w:widowControl/>
                    <w:wordWrap w:val="0"/>
                    <w:jc w:val="center"/>
                    <w:rPr>
                      <w:rFonts w:ascii="宋体" w:hAnsi="宋体" w:cs="宋体"/>
                      <w:color w:val="auto"/>
                      <w:kern w:val="0"/>
                      <w:sz w:val="18"/>
                      <w:szCs w:val="18"/>
                    </w:rPr>
                  </w:pPr>
                  <w:r>
                    <w:rPr>
                      <w:rFonts w:hint="eastAsia" w:ascii="宋体" w:hAnsi="宋体" w:cs="宋体"/>
                      <w:color w:val="auto"/>
                      <w:kern w:val="0"/>
                      <w:sz w:val="18"/>
                      <w:szCs w:val="18"/>
                    </w:rPr>
                    <w:t>10</w:t>
                  </w:r>
                </w:p>
              </w:tc>
              <w:tc>
                <w:tcPr>
                  <w:tcW w:w="565" w:type="pct"/>
                  <w:vAlign w:val="center"/>
                </w:tcPr>
                <w:p w14:paraId="05784B3D">
                  <w:pPr>
                    <w:widowControl/>
                    <w:wordWrap w:val="0"/>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5</w:t>
                  </w:r>
                </w:p>
              </w:tc>
            </w:tr>
            <w:tr w14:paraId="102322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3" w:type="pct"/>
                  <w:vMerge w:val="continue"/>
                  <w:vAlign w:val="center"/>
                </w:tcPr>
                <w:p w14:paraId="7C0D91D3">
                  <w:pPr>
                    <w:widowControl/>
                    <w:wordWrap w:val="0"/>
                    <w:jc w:val="center"/>
                    <w:rPr>
                      <w:rFonts w:ascii="宋体" w:hAnsi="宋体" w:cs="宋体"/>
                      <w:color w:val="auto"/>
                      <w:kern w:val="0"/>
                      <w:sz w:val="18"/>
                      <w:szCs w:val="18"/>
                    </w:rPr>
                  </w:pPr>
                </w:p>
              </w:tc>
              <w:tc>
                <w:tcPr>
                  <w:tcW w:w="1869" w:type="pct"/>
                  <w:vAlign w:val="center"/>
                </w:tcPr>
                <w:p w14:paraId="03AF3687">
                  <w:pPr>
                    <w:widowControl/>
                    <w:wordWrap w:val="0"/>
                    <w:jc w:val="center"/>
                    <w:rPr>
                      <w:rFonts w:ascii="宋体" w:hAnsi="宋体" w:cs="宋体"/>
                      <w:color w:val="auto"/>
                      <w:kern w:val="0"/>
                      <w:sz w:val="18"/>
                      <w:szCs w:val="18"/>
                    </w:rPr>
                  </w:pPr>
                  <w:r>
                    <w:rPr>
                      <w:rFonts w:hint="eastAsia" w:ascii="宋体" w:hAnsi="宋体" w:cs="宋体"/>
                      <w:color w:val="auto"/>
                      <w:kern w:val="0"/>
                      <w:sz w:val="18"/>
                      <w:szCs w:val="18"/>
                    </w:rPr>
                    <w:t>排入</w:t>
                  </w:r>
                  <w:r>
                    <w:rPr>
                      <w:rFonts w:hint="eastAsia" w:ascii="宋体" w:hAnsi="宋体" w:cs="宋体"/>
                      <w:color w:val="auto"/>
                      <w:kern w:val="0"/>
                      <w:sz w:val="18"/>
                      <w:szCs w:val="18"/>
                      <w:lang w:val="en-US" w:eastAsia="zh-CN"/>
                    </w:rPr>
                    <w:t>琼</w:t>
                  </w:r>
                  <w:r>
                    <w:rPr>
                      <w:rFonts w:hint="eastAsia" w:ascii="宋体" w:hAnsi="宋体" w:cs="宋体"/>
                      <w:color w:val="auto"/>
                      <w:kern w:val="0"/>
                      <w:sz w:val="18"/>
                      <w:szCs w:val="18"/>
                    </w:rPr>
                    <w:t>江（t/a）</w:t>
                  </w:r>
                </w:p>
              </w:tc>
              <w:tc>
                <w:tcPr>
                  <w:tcW w:w="737" w:type="pct"/>
                  <w:vAlign w:val="center"/>
                </w:tcPr>
                <w:p w14:paraId="185A1214">
                  <w:pPr>
                    <w:widowControl/>
                    <w:wordWrap w:val="0"/>
                    <w:jc w:val="center"/>
                    <w:rPr>
                      <w:rFonts w:ascii="宋体" w:hAnsi="宋体" w:cs="宋体"/>
                      <w:color w:val="auto"/>
                      <w:kern w:val="0"/>
                      <w:sz w:val="18"/>
                      <w:szCs w:val="18"/>
                    </w:rPr>
                  </w:pPr>
                  <w:r>
                    <w:rPr>
                      <w:rFonts w:hint="eastAsia" w:ascii="宋体" w:hAnsi="宋体" w:cs="宋体"/>
                      <w:color w:val="auto"/>
                      <w:sz w:val="18"/>
                      <w:szCs w:val="18"/>
                      <w:lang w:val="en-US" w:eastAsia="zh-CN"/>
                    </w:rPr>
                    <w:t>1440</w:t>
                  </w:r>
                </w:p>
              </w:tc>
              <w:tc>
                <w:tcPr>
                  <w:tcW w:w="485" w:type="pct"/>
                  <w:vAlign w:val="center"/>
                </w:tcPr>
                <w:p w14:paraId="0DC4B2B5">
                  <w:pPr>
                    <w:tabs>
                      <w:tab w:val="left" w:pos="780"/>
                    </w:tabs>
                    <w:wordWrap w:val="0"/>
                    <w:jc w:val="center"/>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0.072</w:t>
                  </w:r>
                </w:p>
              </w:tc>
              <w:tc>
                <w:tcPr>
                  <w:tcW w:w="539" w:type="pct"/>
                  <w:vAlign w:val="center"/>
                </w:tcPr>
                <w:p w14:paraId="19D9BC96">
                  <w:pPr>
                    <w:tabs>
                      <w:tab w:val="left" w:pos="780"/>
                    </w:tabs>
                    <w:wordWrap w:val="0"/>
                    <w:jc w:val="center"/>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0.0144</w:t>
                  </w:r>
                </w:p>
              </w:tc>
              <w:tc>
                <w:tcPr>
                  <w:tcW w:w="469" w:type="pct"/>
                  <w:vAlign w:val="center"/>
                </w:tcPr>
                <w:p w14:paraId="65F98D4E">
                  <w:pPr>
                    <w:tabs>
                      <w:tab w:val="left" w:pos="780"/>
                    </w:tabs>
                    <w:wordWrap w:val="0"/>
                    <w:jc w:val="center"/>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0.0144</w:t>
                  </w:r>
                </w:p>
              </w:tc>
              <w:tc>
                <w:tcPr>
                  <w:tcW w:w="565" w:type="pct"/>
                  <w:vAlign w:val="center"/>
                </w:tcPr>
                <w:p w14:paraId="3FF952BF">
                  <w:pPr>
                    <w:tabs>
                      <w:tab w:val="left" w:pos="780"/>
                    </w:tabs>
                    <w:wordWrap w:val="0"/>
                    <w:jc w:val="center"/>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0.0072</w:t>
                  </w:r>
                </w:p>
              </w:tc>
            </w:tr>
          </w:tbl>
          <w:p w14:paraId="6C6A8D8E">
            <w:pPr>
              <w:pStyle w:val="12"/>
              <w:widowControl w:val="0"/>
              <w:snapToGrid/>
              <w:spacing w:before="0" w:after="0" w:line="360" w:lineRule="auto"/>
              <w:ind w:right="0" w:firstLine="420" w:firstLineChars="200"/>
              <w:rPr>
                <w:rFonts w:ascii="宋体" w:hAnsi="宋体" w:cs="宋体"/>
                <w:color w:val="auto"/>
                <w:sz w:val="21"/>
                <w:szCs w:val="21"/>
              </w:rPr>
            </w:pPr>
            <w:r>
              <w:rPr>
                <w:rFonts w:hint="eastAsia" w:ascii="宋体" w:hAnsi="宋体" w:cs="宋体"/>
                <w:color w:val="auto"/>
                <w:sz w:val="21"/>
                <w:szCs w:val="21"/>
              </w:rPr>
              <w:t>（4）废水处理工艺流程及其可行性分析</w:t>
            </w:r>
          </w:p>
          <w:p w14:paraId="128F0AC6">
            <w:pPr>
              <w:pStyle w:val="12"/>
              <w:widowControl w:val="0"/>
              <w:snapToGrid/>
              <w:spacing w:before="0" w:after="0" w:line="360" w:lineRule="auto"/>
              <w:ind w:right="0" w:firstLine="420" w:firstLineChars="200"/>
              <w:rPr>
                <w:rFonts w:ascii="宋体" w:hAnsi="宋体" w:cs="宋体"/>
                <w:color w:val="auto"/>
                <w:sz w:val="21"/>
                <w:szCs w:val="21"/>
              </w:rPr>
            </w:pPr>
            <w:r>
              <w:rPr>
                <w:rFonts w:hint="eastAsia" w:ascii="宋体" w:hAnsi="宋体" w:cs="宋体"/>
                <w:color w:val="auto"/>
                <w:sz w:val="21"/>
                <w:szCs w:val="21"/>
              </w:rPr>
              <w:t>根据</w:t>
            </w:r>
            <w:r>
              <w:rPr>
                <w:rFonts w:hint="eastAsia" w:ascii="宋体" w:hAnsi="宋体" w:eastAsia="宋体" w:cs="宋体"/>
                <w:color w:val="auto"/>
                <w:sz w:val="21"/>
                <w:szCs w:val="21"/>
                <w:lang w:val="en-US" w:eastAsia="zh-CN"/>
              </w:rPr>
              <w:t>《排污许可证申请与核发技术规范-铁路、船舶、航空航天和其他运输设备制造业》（HJ1124-2020）</w:t>
            </w:r>
            <w:r>
              <w:rPr>
                <w:rFonts w:hint="eastAsia" w:ascii="宋体" w:hAnsi="宋体" w:cs="宋体"/>
                <w:color w:val="auto"/>
                <w:sz w:val="21"/>
                <w:szCs w:val="21"/>
              </w:rPr>
              <w:t xml:space="preserve">中表 </w:t>
            </w:r>
            <w:r>
              <w:rPr>
                <w:rFonts w:hint="eastAsia" w:ascii="宋体" w:hAnsi="宋体" w:cs="宋体"/>
                <w:color w:val="auto"/>
                <w:sz w:val="21"/>
                <w:szCs w:val="21"/>
                <w:lang w:val="en-US" w:eastAsia="zh-CN"/>
              </w:rPr>
              <w:t>C</w:t>
            </w:r>
            <w:r>
              <w:rPr>
                <w:rFonts w:hint="eastAsia" w:ascii="宋体" w:hAnsi="宋体" w:cs="宋体"/>
                <w:color w:val="auto"/>
                <w:sz w:val="21"/>
                <w:szCs w:val="21"/>
              </w:rPr>
              <w:t>.</w:t>
            </w:r>
            <w:r>
              <w:rPr>
                <w:rFonts w:hint="eastAsia" w:ascii="宋体" w:hAnsi="宋体" w:cs="宋体"/>
                <w:color w:val="auto"/>
                <w:sz w:val="21"/>
                <w:szCs w:val="21"/>
                <w:lang w:val="en-US" w:eastAsia="zh-CN"/>
              </w:rPr>
              <w:t>5</w:t>
            </w:r>
            <w:r>
              <w:rPr>
                <w:rFonts w:hint="eastAsia" w:ascii="宋体" w:hAnsi="宋体" w:cs="宋体"/>
                <w:color w:val="auto"/>
                <w:sz w:val="21"/>
                <w:szCs w:val="21"/>
              </w:rPr>
              <w:t>，“生活污水”可行技术为“隔油池、化粪池、</w:t>
            </w:r>
            <w:r>
              <w:rPr>
                <w:rFonts w:hint="eastAsia" w:ascii="宋体" w:hAnsi="宋体" w:cs="宋体"/>
                <w:color w:val="auto"/>
                <w:sz w:val="21"/>
                <w:szCs w:val="21"/>
                <w:lang w:val="en-US" w:eastAsia="zh-CN"/>
              </w:rPr>
              <w:t>其他生化处理</w:t>
            </w:r>
            <w:r>
              <w:rPr>
                <w:rFonts w:hint="eastAsia" w:ascii="宋体" w:hAnsi="宋体" w:cs="宋体"/>
                <w:color w:val="auto"/>
                <w:sz w:val="21"/>
                <w:szCs w:val="21"/>
              </w:rPr>
              <w:t>”。</w:t>
            </w:r>
          </w:p>
          <w:p w14:paraId="727F7D81">
            <w:pPr>
              <w:pStyle w:val="12"/>
              <w:widowControl w:val="0"/>
              <w:snapToGrid/>
              <w:spacing w:before="0" w:after="0" w:line="360" w:lineRule="auto"/>
              <w:ind w:right="0" w:firstLine="420" w:firstLineChars="200"/>
              <w:rPr>
                <w:rFonts w:ascii="宋体" w:hAnsi="宋体" w:cs="宋体"/>
                <w:color w:val="auto"/>
                <w:sz w:val="21"/>
                <w:szCs w:val="21"/>
              </w:rPr>
            </w:pPr>
            <w:r>
              <w:rPr>
                <w:rFonts w:hint="eastAsia" w:ascii="宋体" w:hAnsi="宋体" w:cs="宋体"/>
                <w:color w:val="auto"/>
                <w:sz w:val="21"/>
                <w:szCs w:val="21"/>
              </w:rPr>
              <w:t>本项目外排废水主要为生活污水，无生产废水产生，生活污水经</w:t>
            </w:r>
            <w:r>
              <w:rPr>
                <w:rFonts w:hint="eastAsia" w:ascii="宋体" w:hAnsi="宋体" w:cs="宋体"/>
                <w:color w:val="auto"/>
                <w:sz w:val="21"/>
                <w:szCs w:val="21"/>
                <w:lang w:val="en-US" w:eastAsia="zh-CN"/>
              </w:rPr>
              <w:t>厂区新建</w:t>
            </w:r>
            <w:r>
              <w:rPr>
                <w:rFonts w:hint="eastAsia" w:ascii="宋体" w:hAnsi="宋体" w:cs="宋体"/>
                <w:color w:val="auto"/>
                <w:sz w:val="21"/>
                <w:szCs w:val="21"/>
              </w:rPr>
              <w:t>化粪池（</w:t>
            </w:r>
            <w:r>
              <w:rPr>
                <w:rFonts w:hint="eastAsia" w:ascii="宋体" w:hAnsi="宋体" w:cs="宋体"/>
                <w:color w:val="auto"/>
                <w:sz w:val="21"/>
                <w:szCs w:val="21"/>
                <w:lang w:val="en-US" w:eastAsia="zh-CN"/>
              </w:rPr>
              <w:t>15</w:t>
            </w:r>
            <w:r>
              <w:rPr>
                <w:rFonts w:hint="eastAsia" w:ascii="宋体" w:hAnsi="宋体" w:cs="宋体"/>
                <w:color w:val="auto"/>
                <w:sz w:val="21"/>
                <w:szCs w:val="21"/>
              </w:rPr>
              <w:t>m</w:t>
            </w:r>
            <w:r>
              <w:rPr>
                <w:rFonts w:hint="eastAsia" w:ascii="宋体" w:hAnsi="宋体" w:cs="宋体"/>
                <w:color w:val="auto"/>
                <w:sz w:val="21"/>
                <w:szCs w:val="21"/>
                <w:vertAlign w:val="superscript"/>
              </w:rPr>
              <w:t>3</w:t>
            </w:r>
            <w:r>
              <w:rPr>
                <w:rFonts w:hint="eastAsia" w:ascii="宋体" w:hAnsi="宋体" w:cs="宋体"/>
                <w:color w:val="auto"/>
                <w:sz w:val="21"/>
                <w:szCs w:val="21"/>
                <w:vertAlign w:val="baseline"/>
              </w:rPr>
              <w:t>）</w:t>
            </w:r>
            <w:r>
              <w:rPr>
                <w:rFonts w:hint="eastAsia" w:ascii="宋体" w:hAnsi="宋体" w:cs="宋体"/>
                <w:color w:val="auto"/>
                <w:sz w:val="21"/>
                <w:szCs w:val="21"/>
              </w:rPr>
              <w:t>处理达到《污水综合排放标准》（GB8978-1996）三级标准后排入市政污水管网，完全符合</w:t>
            </w:r>
            <w:r>
              <w:rPr>
                <w:rFonts w:hint="eastAsia" w:ascii="宋体" w:hAnsi="宋体" w:eastAsia="宋体" w:cs="宋体"/>
                <w:color w:val="auto"/>
                <w:sz w:val="21"/>
                <w:szCs w:val="21"/>
                <w:lang w:val="en-US" w:eastAsia="zh-CN"/>
              </w:rPr>
              <w:t>《排污许可证申请与核发技术规范-铁路、船舶、航空航天和其他运输设备制造业》（HJ1124-2020）</w:t>
            </w:r>
            <w:r>
              <w:rPr>
                <w:rFonts w:hint="eastAsia" w:ascii="宋体" w:hAnsi="宋体" w:cs="宋体"/>
                <w:color w:val="auto"/>
                <w:sz w:val="21"/>
                <w:szCs w:val="21"/>
              </w:rPr>
              <w:t xml:space="preserve">中表 </w:t>
            </w:r>
            <w:r>
              <w:rPr>
                <w:rFonts w:hint="eastAsia" w:ascii="宋体" w:hAnsi="宋体" w:cs="宋体"/>
                <w:color w:val="auto"/>
                <w:sz w:val="21"/>
                <w:szCs w:val="21"/>
                <w:lang w:val="en-US" w:eastAsia="zh-CN"/>
              </w:rPr>
              <w:t>C</w:t>
            </w:r>
            <w:r>
              <w:rPr>
                <w:rFonts w:hint="eastAsia" w:ascii="宋体" w:hAnsi="宋体" w:cs="宋体"/>
                <w:color w:val="auto"/>
                <w:sz w:val="21"/>
                <w:szCs w:val="21"/>
              </w:rPr>
              <w:t>.</w:t>
            </w:r>
            <w:r>
              <w:rPr>
                <w:rFonts w:hint="eastAsia" w:ascii="宋体" w:hAnsi="宋体" w:cs="宋体"/>
                <w:color w:val="auto"/>
                <w:sz w:val="21"/>
                <w:szCs w:val="21"/>
                <w:lang w:val="en-US" w:eastAsia="zh-CN"/>
              </w:rPr>
              <w:t>5</w:t>
            </w:r>
            <w:r>
              <w:rPr>
                <w:rFonts w:hint="eastAsia" w:ascii="宋体" w:hAnsi="宋体" w:cs="宋体"/>
                <w:color w:val="auto"/>
                <w:sz w:val="21"/>
                <w:szCs w:val="21"/>
              </w:rPr>
              <w:t>中推荐的可行性技术。</w:t>
            </w:r>
          </w:p>
          <w:p w14:paraId="0B12DFBB">
            <w:pPr>
              <w:suppressAutoHyphens/>
              <w:topLinePunct/>
              <w:spacing w:line="360" w:lineRule="auto"/>
              <w:ind w:firstLine="422" w:firstLineChars="200"/>
              <w:jc w:val="left"/>
              <w:rPr>
                <w:b/>
                <w:bCs/>
                <w:color w:val="auto"/>
              </w:rPr>
            </w:pPr>
            <w:r>
              <w:rPr>
                <w:rFonts w:hint="eastAsia"/>
                <w:b/>
                <w:bCs/>
                <w:color w:val="auto"/>
                <w:u w:val="single"/>
              </w:rPr>
              <w:t>因此，本项目外排废水采取的污染防治措施属于可行技术。</w:t>
            </w:r>
          </w:p>
          <w:p w14:paraId="6C2B5760">
            <w:pPr>
              <w:pStyle w:val="12"/>
              <w:keepNext w:val="0"/>
              <w:keepLines w:val="0"/>
              <w:pageBreakBefore w:val="0"/>
              <w:widowControl w:val="0"/>
              <w:kinsoku/>
              <w:wordWrap/>
              <w:overflowPunct/>
              <w:topLinePunct w:val="0"/>
              <w:autoSpaceDE/>
              <w:autoSpaceDN/>
              <w:bidi w:val="0"/>
              <w:adjustRightInd/>
              <w:snapToGrid/>
              <w:spacing w:before="0" w:after="0" w:line="360" w:lineRule="auto"/>
              <w:ind w:left="0" w:right="0" w:firstLine="420" w:firstLineChars="200"/>
              <w:jc w:val="both"/>
              <w:textAlignment w:val="auto"/>
              <w:outlineLvl w:val="9"/>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（5）废水排放基本信息</w:t>
            </w:r>
          </w:p>
          <w:p w14:paraId="451342C8">
            <w:pPr>
              <w:keepNext w:val="0"/>
              <w:keepLines w:val="0"/>
              <w:pageBreakBefore w:val="0"/>
              <w:widowControl w:val="0"/>
              <w:suppressLineNumbers w:val="0"/>
              <w:suppressAutoHyphens/>
              <w:kinsoku/>
              <w:wordWrap/>
              <w:overflowPunct/>
              <w:topLinePunct/>
              <w:autoSpaceDE/>
              <w:autoSpaceDN/>
              <w:bidi w:val="0"/>
              <w:adjustRightInd/>
              <w:snapToGrid/>
              <w:spacing w:before="0" w:beforeAutospacing="0" w:after="0" w:afterAutospacing="0" w:line="360" w:lineRule="auto"/>
              <w:ind w:right="0" w:firstLine="420" w:firstLineChars="200"/>
              <w:jc w:val="left"/>
              <w:textAlignment w:val="auto"/>
              <w:outlineLvl w:val="9"/>
              <w:rPr>
                <w:rFonts w:ascii="Times New Roman"/>
                <w:color w:val="auto"/>
                <w:sz w:val="21"/>
              </w:rPr>
            </w:pPr>
            <w:r>
              <w:rPr>
                <w:rFonts w:hint="eastAsia" w:ascii="Times New Roman" w:hAnsi="Times New Roman" w:eastAsia="宋体" w:cs="Times New Roman"/>
                <w:color w:val="auto"/>
                <w:lang w:val="en-US" w:eastAsia="zh-CN"/>
              </w:rPr>
              <w:t>1）排放口基本信息</w:t>
            </w:r>
          </w:p>
          <w:p w14:paraId="09F07BEC">
            <w:pPr>
              <w:pStyle w:val="12"/>
              <w:keepNext w:val="0"/>
              <w:keepLines w:val="0"/>
              <w:pageBreakBefore w:val="0"/>
              <w:widowControl w:val="0"/>
              <w:tabs>
                <w:tab w:val="left" w:pos="981"/>
              </w:tabs>
              <w:kinsoku/>
              <w:wordWrap/>
              <w:overflowPunct/>
              <w:topLinePunct w:val="0"/>
              <w:autoSpaceDE/>
              <w:autoSpaceDN/>
              <w:bidi w:val="0"/>
              <w:adjustRightInd/>
              <w:snapToGrid/>
              <w:spacing w:after="0" w:line="240" w:lineRule="auto"/>
              <w:ind w:left="0" w:firstLine="422" w:firstLineChars="200"/>
              <w:jc w:val="center"/>
              <w:textAlignment w:val="auto"/>
              <w:outlineLvl w:val="9"/>
              <w:rPr>
                <w:rFonts w:hint="eastAsia" w:ascii="Times New Roman" w:hAnsi="Times New Roman" w:eastAsia="宋体" w:cs="Times New Roman"/>
                <w:b/>
                <w:color w:val="auto"/>
                <w:kern w:val="2"/>
                <w:sz w:val="21"/>
                <w:szCs w:val="21"/>
                <w:lang w:val="en-US" w:eastAsia="zh-CN" w:bidi="ar-SA"/>
              </w:rPr>
            </w:pPr>
            <w:r>
              <w:rPr>
                <w:rFonts w:hint="eastAsia" w:ascii="Times New Roman" w:hAnsi="Times New Roman" w:eastAsia="宋体" w:cs="Times New Roman"/>
                <w:b/>
                <w:color w:val="auto"/>
                <w:kern w:val="2"/>
                <w:sz w:val="21"/>
                <w:szCs w:val="21"/>
                <w:lang w:val="en-US" w:eastAsia="zh-CN" w:bidi="ar-SA"/>
              </w:rPr>
              <w:t>表 4-5</w:t>
            </w:r>
            <w:r>
              <w:rPr>
                <w:rFonts w:hint="eastAsia" w:ascii="Times New Roman" w:hAnsi="Times New Roman" w:eastAsia="宋体" w:cs="Times New Roman"/>
                <w:b/>
                <w:color w:val="auto"/>
                <w:kern w:val="2"/>
                <w:sz w:val="21"/>
                <w:szCs w:val="21"/>
                <w:lang w:val="en-US" w:eastAsia="zh-CN" w:bidi="ar-SA"/>
              </w:rPr>
              <w:tab/>
            </w:r>
            <w:r>
              <w:rPr>
                <w:rFonts w:hint="eastAsia" w:ascii="Times New Roman" w:hAnsi="Times New Roman" w:eastAsia="宋体" w:cs="Times New Roman"/>
                <w:b/>
                <w:color w:val="auto"/>
                <w:kern w:val="2"/>
                <w:sz w:val="21"/>
                <w:szCs w:val="21"/>
                <w:lang w:val="en-US" w:eastAsia="zh-CN" w:bidi="ar-SA"/>
              </w:rPr>
              <w:t>排放口基本情况</w:t>
            </w:r>
          </w:p>
          <w:tbl>
            <w:tblPr>
              <w:tblStyle w:val="30"/>
              <w:tblW w:w="4980"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1763"/>
              <w:gridCol w:w="1390"/>
              <w:gridCol w:w="1276"/>
              <w:gridCol w:w="1043"/>
              <w:gridCol w:w="2588"/>
            </w:tblGrid>
            <w:tr w14:paraId="4B40E27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1093" w:type="pct"/>
                  <w:vMerge w:val="restart"/>
                  <w:tcBorders>
                    <w:left w:val="nil"/>
                    <w:bottom w:val="single" w:color="000000" w:sz="4" w:space="0"/>
                    <w:right w:val="single" w:color="000000" w:sz="4" w:space="0"/>
                  </w:tcBorders>
                  <w:noWrap w:val="0"/>
                  <w:vAlign w:val="center"/>
                </w:tcPr>
                <w:p w14:paraId="5DDE8D9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污染源名称</w:t>
                  </w:r>
                </w:p>
              </w:tc>
              <w:tc>
                <w:tcPr>
                  <w:tcW w:w="1653" w:type="pct"/>
                  <w:gridSpan w:val="2"/>
                  <w:tcBorders>
                    <w:left w:val="single" w:color="000000" w:sz="4" w:space="0"/>
                    <w:bottom w:val="single" w:color="000000" w:sz="4" w:space="0"/>
                    <w:right w:val="single" w:color="000000" w:sz="4" w:space="0"/>
                  </w:tcBorders>
                  <w:noWrap w:val="0"/>
                  <w:vAlign w:val="center"/>
                </w:tcPr>
                <w:p w14:paraId="0E79A29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排放口</w:t>
                  </w:r>
                  <w:r>
                    <w:rPr>
                      <w:rFonts w:hint="eastAsia" w:ascii="宋体" w:hAnsi="宋体" w:eastAsia="宋体" w:cs="宋体"/>
                      <w:color w:val="auto"/>
                      <w:sz w:val="21"/>
                      <w:szCs w:val="21"/>
                      <w:lang w:val="en-US" w:eastAsia="zh-CN"/>
                    </w:rPr>
                    <w:t>部中心坐标（°)</w:t>
                  </w:r>
                </w:p>
              </w:tc>
              <w:tc>
                <w:tcPr>
                  <w:tcW w:w="647" w:type="pct"/>
                  <w:vMerge w:val="restart"/>
                  <w:tcBorders>
                    <w:left w:val="single" w:color="000000" w:sz="4" w:space="0"/>
                    <w:bottom w:val="single" w:color="000000" w:sz="4" w:space="0"/>
                    <w:right w:val="single" w:color="000000" w:sz="4" w:space="0"/>
                  </w:tcBorders>
                  <w:noWrap w:val="0"/>
                  <w:vAlign w:val="center"/>
                </w:tcPr>
                <w:p w14:paraId="39BDFC2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排放口类型</w:t>
                  </w:r>
                </w:p>
              </w:tc>
              <w:tc>
                <w:tcPr>
                  <w:tcW w:w="1605" w:type="pct"/>
                  <w:vMerge w:val="restart"/>
                  <w:tcBorders>
                    <w:left w:val="single" w:color="000000" w:sz="4" w:space="0"/>
                    <w:bottom w:val="single" w:color="000000" w:sz="4" w:space="0"/>
                    <w:right w:val="nil"/>
                  </w:tcBorders>
                  <w:noWrap w:val="0"/>
                  <w:vAlign w:val="center"/>
                </w:tcPr>
                <w:p w14:paraId="6D4F3ED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排放标准</w:t>
                  </w:r>
                </w:p>
              </w:tc>
            </w:tr>
            <w:tr w14:paraId="557245C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1" w:hRule="atLeast"/>
              </w:trPr>
              <w:tc>
                <w:tcPr>
                  <w:tcW w:w="1093" w:type="pct"/>
                  <w:vMerge w:val="continue"/>
                  <w:tcBorders>
                    <w:top w:val="nil"/>
                    <w:left w:val="nil"/>
                    <w:bottom w:val="single" w:color="000000" w:sz="4" w:space="0"/>
                    <w:right w:val="single" w:color="000000" w:sz="4" w:space="0"/>
                  </w:tcBorders>
                  <w:noWrap w:val="0"/>
                  <w:vAlign w:val="center"/>
                </w:tcPr>
                <w:p w14:paraId="325FE92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p>
              </w:tc>
              <w:tc>
                <w:tcPr>
                  <w:tcW w:w="862" w:type="pct"/>
                  <w:tcBorders>
                    <w:top w:val="single" w:color="000000" w:sz="4" w:space="0"/>
                    <w:left w:val="single" w:color="000000" w:sz="4" w:space="0"/>
                    <w:bottom w:val="single" w:color="000000" w:sz="4" w:space="0"/>
                    <w:right w:val="single" w:color="000000" w:sz="4" w:space="0"/>
                  </w:tcBorders>
                  <w:noWrap w:val="0"/>
                  <w:vAlign w:val="center"/>
                </w:tcPr>
                <w:p w14:paraId="72D5D27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经度</w:t>
                  </w:r>
                </w:p>
              </w:tc>
              <w:tc>
                <w:tcPr>
                  <w:tcW w:w="791" w:type="pct"/>
                  <w:tcBorders>
                    <w:top w:val="single" w:color="000000" w:sz="4" w:space="0"/>
                    <w:left w:val="single" w:color="000000" w:sz="4" w:space="0"/>
                    <w:bottom w:val="single" w:color="000000" w:sz="4" w:space="0"/>
                    <w:right w:val="single" w:color="000000" w:sz="4" w:space="0"/>
                  </w:tcBorders>
                  <w:noWrap w:val="0"/>
                  <w:vAlign w:val="center"/>
                </w:tcPr>
                <w:p w14:paraId="670C073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纬度</w:t>
                  </w:r>
                </w:p>
              </w:tc>
              <w:tc>
                <w:tcPr>
                  <w:tcW w:w="647" w:type="pct"/>
                  <w:vMerge w:val="continue"/>
                  <w:tcBorders>
                    <w:top w:val="nil"/>
                    <w:left w:val="single" w:color="000000" w:sz="4" w:space="0"/>
                    <w:bottom w:val="single" w:color="000000" w:sz="4" w:space="0"/>
                    <w:right w:val="single" w:color="000000" w:sz="4" w:space="0"/>
                  </w:tcBorders>
                  <w:noWrap w:val="0"/>
                  <w:vAlign w:val="center"/>
                </w:tcPr>
                <w:p w14:paraId="7F43698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p>
              </w:tc>
              <w:tc>
                <w:tcPr>
                  <w:tcW w:w="1605" w:type="pct"/>
                  <w:vMerge w:val="continue"/>
                  <w:tcBorders>
                    <w:top w:val="nil"/>
                    <w:left w:val="single" w:color="000000" w:sz="4" w:space="0"/>
                    <w:bottom w:val="single" w:color="000000" w:sz="4" w:space="0"/>
                    <w:right w:val="nil"/>
                  </w:tcBorders>
                  <w:noWrap w:val="0"/>
                  <w:vAlign w:val="center"/>
                </w:tcPr>
                <w:p w14:paraId="2D27998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p>
              </w:tc>
            </w:tr>
            <w:tr w14:paraId="24C31B7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79" w:hRule="atLeast"/>
              </w:trPr>
              <w:tc>
                <w:tcPr>
                  <w:tcW w:w="1093" w:type="pct"/>
                  <w:tcBorders>
                    <w:top w:val="single" w:color="000000" w:sz="4" w:space="0"/>
                    <w:left w:val="nil"/>
                    <w:right w:val="single" w:color="000000" w:sz="4" w:space="0"/>
                  </w:tcBorders>
                  <w:noWrap w:val="0"/>
                  <w:vAlign w:val="center"/>
                </w:tcPr>
                <w:p w14:paraId="7F918B2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废水排放口</w:t>
                  </w:r>
                </w:p>
                <w:p w14:paraId="7C3F2B2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（DW001）</w:t>
                  </w:r>
                </w:p>
              </w:tc>
              <w:tc>
                <w:tcPr>
                  <w:tcW w:w="862" w:type="pct"/>
                  <w:tcBorders>
                    <w:top w:val="single" w:color="000000" w:sz="4" w:space="0"/>
                    <w:left w:val="single" w:color="000000" w:sz="4" w:space="0"/>
                    <w:right w:val="single" w:color="000000" w:sz="4" w:space="0"/>
                  </w:tcBorders>
                  <w:noWrap w:val="0"/>
                  <w:vAlign w:val="center"/>
                </w:tcPr>
                <w:p w14:paraId="46C76E8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E105.</w:t>
                  </w:r>
                  <w:r>
                    <w:rPr>
                      <w:rFonts w:hint="eastAsia" w:ascii="宋体" w:hAnsi="宋体" w:cs="宋体"/>
                      <w:color w:val="auto"/>
                      <w:sz w:val="21"/>
                      <w:szCs w:val="21"/>
                      <w:lang w:val="en-US" w:eastAsia="zh-CN"/>
                    </w:rPr>
                    <w:t>500400</w:t>
                  </w:r>
                </w:p>
              </w:tc>
              <w:tc>
                <w:tcPr>
                  <w:tcW w:w="791" w:type="pct"/>
                  <w:tcBorders>
                    <w:top w:val="single" w:color="000000" w:sz="4" w:space="0"/>
                    <w:left w:val="single" w:color="000000" w:sz="4" w:space="0"/>
                    <w:right w:val="single" w:color="000000" w:sz="4" w:space="0"/>
                  </w:tcBorders>
                  <w:noWrap w:val="0"/>
                  <w:vAlign w:val="center"/>
                </w:tcPr>
                <w:p w14:paraId="1F367D9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N30.3</w:t>
                  </w:r>
                  <w:r>
                    <w:rPr>
                      <w:rFonts w:hint="eastAsia" w:ascii="宋体" w:hAnsi="宋体" w:cs="宋体"/>
                      <w:color w:val="auto"/>
                      <w:sz w:val="21"/>
                      <w:szCs w:val="21"/>
                      <w:lang w:val="en-US" w:eastAsia="zh-CN"/>
                    </w:rPr>
                    <w:t>60299</w:t>
                  </w:r>
                </w:p>
              </w:tc>
              <w:tc>
                <w:tcPr>
                  <w:tcW w:w="647" w:type="pct"/>
                  <w:tcBorders>
                    <w:top w:val="single" w:color="000000" w:sz="4" w:space="0"/>
                    <w:left w:val="single" w:color="000000" w:sz="4" w:space="0"/>
                    <w:right w:val="single" w:color="000000" w:sz="4" w:space="0"/>
                  </w:tcBorders>
                  <w:noWrap w:val="0"/>
                  <w:vAlign w:val="center"/>
                </w:tcPr>
                <w:p w14:paraId="3616B98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一般排放口</w:t>
                  </w:r>
                </w:p>
              </w:tc>
              <w:tc>
                <w:tcPr>
                  <w:tcW w:w="1605" w:type="pct"/>
                  <w:tcBorders>
                    <w:top w:val="single" w:color="000000" w:sz="4" w:space="0"/>
                    <w:left w:val="single" w:color="000000" w:sz="4" w:space="0"/>
                    <w:right w:val="nil"/>
                  </w:tcBorders>
                  <w:noWrap w:val="0"/>
                  <w:vAlign w:val="center"/>
                </w:tcPr>
                <w:p w14:paraId="2C4E7C4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cs="宋体"/>
                      <w:color w:val="auto"/>
                      <w:sz w:val="21"/>
                      <w:szCs w:val="21"/>
                    </w:rPr>
                    <w:t>《污水综合排放标准》（GB8978-1996）三级</w:t>
                  </w:r>
                </w:p>
              </w:tc>
            </w:tr>
          </w:tbl>
          <w:p w14:paraId="4E8D46B5">
            <w:pPr>
              <w:keepNext w:val="0"/>
              <w:keepLines w:val="0"/>
              <w:pageBreakBefore w:val="0"/>
              <w:widowControl w:val="0"/>
              <w:suppressLineNumbers w:val="0"/>
              <w:suppressAutoHyphens/>
              <w:kinsoku/>
              <w:wordWrap/>
              <w:overflowPunct/>
              <w:topLinePunct/>
              <w:autoSpaceDE/>
              <w:autoSpaceDN/>
              <w:bidi w:val="0"/>
              <w:adjustRightInd/>
              <w:snapToGrid/>
              <w:spacing w:before="0" w:beforeAutospacing="0" w:after="0" w:afterAutospacing="0" w:line="360" w:lineRule="auto"/>
              <w:ind w:right="0" w:firstLine="420" w:firstLineChars="200"/>
              <w:jc w:val="left"/>
              <w:textAlignment w:val="auto"/>
              <w:outlineLvl w:val="9"/>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本项目废水由</w:t>
            </w:r>
            <w:r>
              <w:rPr>
                <w:rFonts w:hint="eastAsia" w:cs="Times New Roman"/>
                <w:color w:val="auto"/>
                <w:lang w:val="en-US" w:eastAsia="zh-CN"/>
              </w:rPr>
              <w:t>化粪池</w:t>
            </w:r>
            <w:r>
              <w:rPr>
                <w:rFonts w:hint="eastAsia" w:ascii="Times New Roman" w:hAnsi="Times New Roman" w:eastAsia="宋体" w:cs="Times New Roman"/>
                <w:color w:val="auto"/>
                <w:lang w:val="en-US" w:eastAsia="zh-CN"/>
              </w:rPr>
              <w:t>处理后，由厂</w:t>
            </w:r>
            <w:r>
              <w:rPr>
                <w:rFonts w:hint="eastAsia" w:ascii="Times New Roman" w:hAnsi="Times New Roman" w:eastAsia="宋体" w:cs="Times New Roman"/>
                <w:b w:val="0"/>
                <w:bCs w:val="0"/>
                <w:color w:val="auto"/>
                <w:u w:val="none"/>
                <w:lang w:val="en-US" w:eastAsia="zh-CN"/>
              </w:rPr>
              <w:t>区总排口排放，</w:t>
            </w:r>
            <w:r>
              <w:rPr>
                <w:rFonts w:hint="eastAsia" w:ascii="Times New Roman" w:hAnsi="Times New Roman" w:eastAsia="宋体" w:cs="Times New Roman"/>
                <w:color w:val="auto"/>
                <w:lang w:val="en-US" w:eastAsia="zh-CN"/>
              </w:rPr>
              <w:t>DW001 由本项目建设单位运营管理、负责。</w:t>
            </w:r>
          </w:p>
          <w:p w14:paraId="72E75318">
            <w:pPr>
              <w:keepNext w:val="0"/>
              <w:keepLines w:val="0"/>
              <w:pageBreakBefore w:val="0"/>
              <w:widowControl w:val="0"/>
              <w:suppressLineNumbers w:val="0"/>
              <w:suppressAutoHyphens/>
              <w:kinsoku/>
              <w:wordWrap/>
              <w:overflowPunct/>
              <w:topLinePunct/>
              <w:autoSpaceDE/>
              <w:autoSpaceDN/>
              <w:bidi w:val="0"/>
              <w:adjustRightInd/>
              <w:snapToGrid/>
              <w:spacing w:before="0" w:beforeAutospacing="0" w:after="0" w:afterAutospacing="0" w:line="360" w:lineRule="auto"/>
              <w:ind w:right="0" w:firstLine="420" w:firstLineChars="200"/>
              <w:jc w:val="left"/>
              <w:textAlignment w:val="auto"/>
              <w:outlineLvl w:val="9"/>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2）废水类别、污染物及污染治理设施信息</w:t>
            </w:r>
          </w:p>
          <w:p w14:paraId="0C0B1CA4">
            <w:pPr>
              <w:snapToGrid w:val="0"/>
              <w:spacing w:before="120" w:beforeLines="50"/>
              <w:jc w:val="center"/>
              <w:rPr>
                <w:rFonts w:hint="eastAsia"/>
                <w:b/>
                <w:color w:val="auto"/>
                <w:sz w:val="21"/>
                <w:szCs w:val="21"/>
                <w:lang w:val="en-US" w:eastAsia="zh-CN"/>
              </w:rPr>
            </w:pPr>
            <w:r>
              <w:rPr>
                <w:rFonts w:hint="eastAsia"/>
                <w:b/>
                <w:color w:val="auto"/>
                <w:sz w:val="21"/>
                <w:szCs w:val="21"/>
                <w:lang w:val="en-US" w:eastAsia="zh-CN"/>
              </w:rPr>
              <w:t>表 4-6</w:t>
            </w:r>
            <w:r>
              <w:rPr>
                <w:rFonts w:hint="eastAsia"/>
                <w:b/>
                <w:color w:val="auto"/>
                <w:sz w:val="21"/>
                <w:szCs w:val="21"/>
                <w:lang w:val="en-US" w:eastAsia="zh-CN"/>
              </w:rPr>
              <w:tab/>
            </w:r>
            <w:r>
              <w:rPr>
                <w:rFonts w:hint="eastAsia"/>
                <w:b/>
                <w:color w:val="auto"/>
                <w:sz w:val="21"/>
                <w:szCs w:val="21"/>
                <w:lang w:val="en-US" w:eastAsia="zh-CN"/>
              </w:rPr>
              <w:t>废水类别、污染物及污染治理设施信息</w:t>
            </w:r>
          </w:p>
          <w:tbl>
            <w:tblPr>
              <w:tblStyle w:val="30"/>
              <w:tblW w:w="4998"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437"/>
              <w:gridCol w:w="842"/>
              <w:gridCol w:w="1101"/>
              <w:gridCol w:w="781"/>
              <w:gridCol w:w="492"/>
              <w:gridCol w:w="492"/>
              <w:gridCol w:w="879"/>
              <w:gridCol w:w="687"/>
              <w:gridCol w:w="1673"/>
              <w:gridCol w:w="705"/>
            </w:tblGrid>
            <w:tr w14:paraId="7DE2994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2" w:hRule="atLeast"/>
              </w:trPr>
              <w:tc>
                <w:tcPr>
                  <w:tcW w:w="270" w:type="pct"/>
                  <w:vMerge w:val="restart"/>
                  <w:tcBorders>
                    <w:left w:val="nil"/>
                    <w:bottom w:val="single" w:color="000000" w:sz="4" w:space="0"/>
                    <w:right w:val="single" w:color="000000" w:sz="4" w:space="0"/>
                  </w:tcBorders>
                  <w:noWrap w:val="0"/>
                  <w:vAlign w:val="center"/>
                </w:tcPr>
                <w:p w14:paraId="5091273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序号</w:t>
                  </w:r>
                </w:p>
              </w:tc>
              <w:tc>
                <w:tcPr>
                  <w:tcW w:w="520" w:type="pct"/>
                  <w:vMerge w:val="restart"/>
                  <w:tcBorders>
                    <w:left w:val="single" w:color="000000" w:sz="4" w:space="0"/>
                    <w:bottom w:val="single" w:color="000000" w:sz="4" w:space="0"/>
                    <w:right w:val="single" w:color="000000" w:sz="4" w:space="0"/>
                  </w:tcBorders>
                  <w:noWrap w:val="0"/>
                  <w:vAlign w:val="center"/>
                </w:tcPr>
                <w:p w14:paraId="4C3975C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废水类别</w:t>
                  </w:r>
                </w:p>
              </w:tc>
              <w:tc>
                <w:tcPr>
                  <w:tcW w:w="680" w:type="pct"/>
                  <w:vMerge w:val="restart"/>
                  <w:tcBorders>
                    <w:left w:val="single" w:color="000000" w:sz="4" w:space="0"/>
                    <w:bottom w:val="single" w:color="000000" w:sz="4" w:space="0"/>
                    <w:right w:val="single" w:color="000000" w:sz="4" w:space="0"/>
                  </w:tcBorders>
                  <w:noWrap w:val="0"/>
                  <w:vAlign w:val="center"/>
                </w:tcPr>
                <w:p w14:paraId="1B00050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污染物种类</w:t>
                  </w:r>
                </w:p>
              </w:tc>
              <w:tc>
                <w:tcPr>
                  <w:tcW w:w="482" w:type="pct"/>
                  <w:vMerge w:val="restart"/>
                  <w:tcBorders>
                    <w:left w:val="single" w:color="000000" w:sz="4" w:space="0"/>
                    <w:bottom w:val="single" w:color="000000" w:sz="4" w:space="0"/>
                    <w:right w:val="single" w:color="000000" w:sz="4" w:space="0"/>
                  </w:tcBorders>
                  <w:noWrap w:val="0"/>
                  <w:vAlign w:val="center"/>
                </w:tcPr>
                <w:p w14:paraId="662A797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排污去向</w:t>
                  </w:r>
                </w:p>
              </w:tc>
              <w:tc>
                <w:tcPr>
                  <w:tcW w:w="304" w:type="pct"/>
                  <w:vMerge w:val="restart"/>
                  <w:tcBorders>
                    <w:left w:val="single" w:color="000000" w:sz="4" w:space="0"/>
                    <w:bottom w:val="single" w:color="000000" w:sz="4" w:space="0"/>
                    <w:right w:val="single" w:color="000000" w:sz="4" w:space="0"/>
                  </w:tcBorders>
                  <w:noWrap w:val="0"/>
                  <w:vAlign w:val="center"/>
                </w:tcPr>
                <w:p w14:paraId="2DDC3C6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排放规律</w:t>
                  </w:r>
                </w:p>
              </w:tc>
              <w:tc>
                <w:tcPr>
                  <w:tcW w:w="304" w:type="pct"/>
                  <w:vMerge w:val="restart"/>
                  <w:tcBorders>
                    <w:left w:val="single" w:color="000000" w:sz="4" w:space="0"/>
                    <w:bottom w:val="single" w:color="000000" w:sz="4" w:space="0"/>
                    <w:right w:val="single" w:color="000000" w:sz="4" w:space="0"/>
                  </w:tcBorders>
                  <w:noWrap w:val="0"/>
                  <w:vAlign w:val="center"/>
                </w:tcPr>
                <w:p w14:paraId="785FAC3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排放方式</w:t>
                  </w:r>
                </w:p>
              </w:tc>
              <w:tc>
                <w:tcPr>
                  <w:tcW w:w="2000" w:type="pct"/>
                  <w:gridSpan w:val="3"/>
                  <w:tcBorders>
                    <w:left w:val="single" w:color="000000" w:sz="4" w:space="0"/>
                    <w:bottom w:val="single" w:color="000000" w:sz="4" w:space="0"/>
                    <w:right w:val="single" w:color="000000" w:sz="4" w:space="0"/>
                  </w:tcBorders>
                  <w:noWrap w:val="0"/>
                  <w:vAlign w:val="center"/>
                </w:tcPr>
                <w:p w14:paraId="14EC562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污染治理设施</w:t>
                  </w:r>
                </w:p>
              </w:tc>
              <w:tc>
                <w:tcPr>
                  <w:tcW w:w="435" w:type="pct"/>
                  <w:vMerge w:val="restart"/>
                  <w:tcBorders>
                    <w:left w:val="single" w:color="000000" w:sz="4" w:space="0"/>
                    <w:bottom w:val="single" w:color="000000" w:sz="4" w:space="0"/>
                    <w:right w:val="nil"/>
                  </w:tcBorders>
                  <w:noWrap w:val="0"/>
                  <w:vAlign w:val="center"/>
                </w:tcPr>
                <w:p w14:paraId="42F685F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是否为可行技术</w:t>
                  </w:r>
                </w:p>
              </w:tc>
            </w:tr>
            <w:tr w14:paraId="2FA6451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0" w:hRule="atLeast"/>
              </w:trPr>
              <w:tc>
                <w:tcPr>
                  <w:tcW w:w="270" w:type="pct"/>
                  <w:vMerge w:val="continue"/>
                  <w:tcBorders>
                    <w:top w:val="nil"/>
                    <w:left w:val="nil"/>
                    <w:bottom w:val="single" w:color="000000" w:sz="4" w:space="0"/>
                    <w:right w:val="single" w:color="000000" w:sz="4" w:space="0"/>
                  </w:tcBorders>
                  <w:noWrap w:val="0"/>
                  <w:vAlign w:val="center"/>
                </w:tcPr>
                <w:p w14:paraId="75F2566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p>
              </w:tc>
              <w:tc>
                <w:tcPr>
                  <w:tcW w:w="520" w:type="pct"/>
                  <w:vMerge w:val="continue"/>
                  <w:tcBorders>
                    <w:top w:val="nil"/>
                    <w:left w:val="single" w:color="000000" w:sz="4" w:space="0"/>
                    <w:bottom w:val="single" w:color="000000" w:sz="4" w:space="0"/>
                    <w:right w:val="single" w:color="000000" w:sz="4" w:space="0"/>
                  </w:tcBorders>
                  <w:noWrap w:val="0"/>
                  <w:vAlign w:val="center"/>
                </w:tcPr>
                <w:p w14:paraId="51DDFB1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p>
              </w:tc>
              <w:tc>
                <w:tcPr>
                  <w:tcW w:w="680" w:type="pct"/>
                  <w:vMerge w:val="continue"/>
                  <w:tcBorders>
                    <w:top w:val="nil"/>
                    <w:left w:val="single" w:color="000000" w:sz="4" w:space="0"/>
                    <w:bottom w:val="single" w:color="000000" w:sz="4" w:space="0"/>
                    <w:right w:val="single" w:color="000000" w:sz="4" w:space="0"/>
                  </w:tcBorders>
                  <w:noWrap w:val="0"/>
                  <w:vAlign w:val="center"/>
                </w:tcPr>
                <w:p w14:paraId="35D8A4F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p>
              </w:tc>
              <w:tc>
                <w:tcPr>
                  <w:tcW w:w="482" w:type="pct"/>
                  <w:vMerge w:val="continue"/>
                  <w:tcBorders>
                    <w:top w:val="nil"/>
                    <w:left w:val="single" w:color="000000" w:sz="4" w:space="0"/>
                    <w:bottom w:val="single" w:color="000000" w:sz="4" w:space="0"/>
                    <w:right w:val="single" w:color="000000" w:sz="4" w:space="0"/>
                  </w:tcBorders>
                  <w:noWrap w:val="0"/>
                  <w:vAlign w:val="center"/>
                </w:tcPr>
                <w:p w14:paraId="063D811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p>
              </w:tc>
              <w:tc>
                <w:tcPr>
                  <w:tcW w:w="304" w:type="pct"/>
                  <w:vMerge w:val="continue"/>
                  <w:tcBorders>
                    <w:top w:val="nil"/>
                    <w:left w:val="single" w:color="000000" w:sz="4" w:space="0"/>
                    <w:bottom w:val="single" w:color="000000" w:sz="4" w:space="0"/>
                    <w:right w:val="single" w:color="000000" w:sz="4" w:space="0"/>
                  </w:tcBorders>
                  <w:noWrap w:val="0"/>
                  <w:vAlign w:val="center"/>
                </w:tcPr>
                <w:p w14:paraId="09C62CF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p>
              </w:tc>
              <w:tc>
                <w:tcPr>
                  <w:tcW w:w="304" w:type="pct"/>
                  <w:vMerge w:val="continue"/>
                  <w:tcBorders>
                    <w:top w:val="nil"/>
                    <w:left w:val="single" w:color="000000" w:sz="4" w:space="0"/>
                    <w:bottom w:val="single" w:color="000000" w:sz="4" w:space="0"/>
                    <w:right w:val="single" w:color="000000" w:sz="4" w:space="0"/>
                  </w:tcBorders>
                  <w:noWrap w:val="0"/>
                  <w:vAlign w:val="center"/>
                </w:tcPr>
                <w:p w14:paraId="625DA49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19AFEFF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污染治理设施编号</w:t>
                  </w:r>
                </w:p>
              </w:tc>
              <w:tc>
                <w:tcPr>
                  <w:tcW w:w="424" w:type="pct"/>
                  <w:tcBorders>
                    <w:top w:val="single" w:color="000000" w:sz="4" w:space="0"/>
                    <w:left w:val="single" w:color="000000" w:sz="4" w:space="0"/>
                    <w:bottom w:val="single" w:color="000000" w:sz="4" w:space="0"/>
                    <w:right w:val="single" w:color="000000" w:sz="4" w:space="0"/>
                  </w:tcBorders>
                  <w:noWrap w:val="0"/>
                  <w:vAlign w:val="center"/>
                </w:tcPr>
                <w:p w14:paraId="7CCD948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污染治理设施</w:t>
                  </w:r>
                </w:p>
                <w:p w14:paraId="1970412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名称</w:t>
                  </w:r>
                </w:p>
              </w:tc>
              <w:tc>
                <w:tcPr>
                  <w:tcW w:w="1031" w:type="pct"/>
                  <w:tcBorders>
                    <w:top w:val="single" w:color="000000" w:sz="4" w:space="0"/>
                    <w:left w:val="single" w:color="000000" w:sz="4" w:space="0"/>
                    <w:bottom w:val="single" w:color="000000" w:sz="4" w:space="0"/>
                    <w:right w:val="single" w:color="000000" w:sz="4" w:space="0"/>
                  </w:tcBorders>
                  <w:noWrap w:val="0"/>
                  <w:vAlign w:val="center"/>
                </w:tcPr>
                <w:p w14:paraId="77F5FF1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污染治理设施工艺</w:t>
                  </w:r>
                </w:p>
              </w:tc>
              <w:tc>
                <w:tcPr>
                  <w:tcW w:w="435" w:type="pct"/>
                  <w:vMerge w:val="continue"/>
                  <w:tcBorders>
                    <w:top w:val="nil"/>
                    <w:left w:val="single" w:color="000000" w:sz="4" w:space="0"/>
                    <w:bottom w:val="single" w:color="000000" w:sz="4" w:space="0"/>
                    <w:right w:val="nil"/>
                  </w:tcBorders>
                  <w:noWrap w:val="0"/>
                  <w:vAlign w:val="center"/>
                </w:tcPr>
                <w:p w14:paraId="0C9F617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p>
              </w:tc>
            </w:tr>
            <w:tr w14:paraId="395F665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09" w:hRule="atLeast"/>
              </w:trPr>
              <w:tc>
                <w:tcPr>
                  <w:tcW w:w="270" w:type="pct"/>
                  <w:tcBorders>
                    <w:top w:val="single" w:color="000000" w:sz="4" w:space="0"/>
                    <w:left w:val="nil"/>
                    <w:right w:val="single" w:color="000000" w:sz="4" w:space="0"/>
                  </w:tcBorders>
                  <w:noWrap w:val="0"/>
                  <w:vAlign w:val="center"/>
                </w:tcPr>
                <w:p w14:paraId="07AD29F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p>
              </w:tc>
              <w:tc>
                <w:tcPr>
                  <w:tcW w:w="520" w:type="pct"/>
                  <w:tcBorders>
                    <w:top w:val="single" w:color="000000" w:sz="4" w:space="0"/>
                    <w:left w:val="single" w:color="000000" w:sz="4" w:space="0"/>
                    <w:right w:val="single" w:color="000000" w:sz="4" w:space="0"/>
                  </w:tcBorders>
                  <w:noWrap w:val="0"/>
                  <w:vAlign w:val="center"/>
                </w:tcPr>
                <w:p w14:paraId="0526B4B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生活污水</w:t>
                  </w:r>
                </w:p>
              </w:tc>
              <w:tc>
                <w:tcPr>
                  <w:tcW w:w="680" w:type="pct"/>
                  <w:tcBorders>
                    <w:top w:val="single" w:color="000000" w:sz="4" w:space="0"/>
                    <w:left w:val="single" w:color="000000" w:sz="4" w:space="0"/>
                    <w:right w:val="single" w:color="000000" w:sz="4" w:space="0"/>
                  </w:tcBorders>
                  <w:noWrap w:val="0"/>
                  <w:vAlign w:val="center"/>
                </w:tcPr>
                <w:p w14:paraId="6CD46D3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COD、NH</w:t>
                  </w:r>
                  <w:r>
                    <w:rPr>
                      <w:rFonts w:hint="eastAsia" w:ascii="宋体" w:hAnsi="宋体" w:eastAsia="宋体" w:cs="宋体"/>
                      <w:color w:val="auto"/>
                      <w:sz w:val="21"/>
                      <w:szCs w:val="21"/>
                      <w:vertAlign w:val="subscript"/>
                      <w:lang w:val="en-US" w:eastAsia="zh-CN"/>
                    </w:rPr>
                    <w:t>3</w:t>
                  </w:r>
                  <w:r>
                    <w:rPr>
                      <w:rFonts w:hint="eastAsia" w:ascii="宋体" w:hAnsi="宋体" w:eastAsia="宋体" w:cs="宋体"/>
                      <w:color w:val="auto"/>
                      <w:sz w:val="21"/>
                      <w:szCs w:val="21"/>
                      <w:lang w:val="en-US" w:eastAsia="zh-CN"/>
                    </w:rPr>
                    <w:t>-N、</w:t>
                  </w:r>
                </w:p>
                <w:p w14:paraId="023AB0C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SS、BOD</w:t>
                  </w:r>
                  <w:r>
                    <w:rPr>
                      <w:rFonts w:hint="eastAsia" w:ascii="宋体" w:hAnsi="宋体" w:eastAsia="宋体" w:cs="宋体"/>
                      <w:color w:val="auto"/>
                      <w:sz w:val="21"/>
                      <w:szCs w:val="21"/>
                      <w:vertAlign w:val="subscript"/>
                      <w:lang w:val="en-US" w:eastAsia="zh-CN"/>
                    </w:rPr>
                    <w:t>5</w:t>
                  </w:r>
                  <w:r>
                    <w:rPr>
                      <w:rFonts w:hint="eastAsia" w:ascii="宋体" w:hAnsi="宋体" w:eastAsia="宋体" w:cs="宋体"/>
                      <w:color w:val="auto"/>
                      <w:sz w:val="21"/>
                      <w:szCs w:val="21"/>
                      <w:lang w:val="en-US" w:eastAsia="zh-CN"/>
                    </w:rPr>
                    <w:t>、pH</w:t>
                  </w:r>
                </w:p>
              </w:tc>
              <w:tc>
                <w:tcPr>
                  <w:tcW w:w="482" w:type="pct"/>
                  <w:tcBorders>
                    <w:top w:val="single" w:color="000000" w:sz="4" w:space="0"/>
                    <w:left w:val="single" w:color="000000" w:sz="4" w:space="0"/>
                    <w:right w:val="single" w:color="000000" w:sz="4" w:space="0"/>
                  </w:tcBorders>
                  <w:noWrap w:val="0"/>
                  <w:vAlign w:val="center"/>
                </w:tcPr>
                <w:p w14:paraId="31BE967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龙眼井污水处理厂</w:t>
                  </w:r>
                </w:p>
              </w:tc>
              <w:tc>
                <w:tcPr>
                  <w:tcW w:w="304" w:type="pct"/>
                  <w:tcBorders>
                    <w:top w:val="single" w:color="000000" w:sz="4" w:space="0"/>
                    <w:left w:val="single" w:color="000000" w:sz="4" w:space="0"/>
                    <w:right w:val="single" w:color="000000" w:sz="4" w:space="0"/>
                  </w:tcBorders>
                  <w:noWrap w:val="0"/>
                  <w:vAlign w:val="center"/>
                </w:tcPr>
                <w:p w14:paraId="3BED19C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Times New Roman"/>
                      <w:color w:val="auto"/>
                      <w:sz w:val="21"/>
                      <w:szCs w:val="21"/>
                      <w:lang w:val="en-US" w:eastAsia="zh-CN"/>
                    </w:rPr>
                    <w:t>间歇</w:t>
                  </w:r>
                  <w:r>
                    <w:rPr>
                      <w:rFonts w:hint="eastAsia" w:ascii="宋体" w:hAnsi="宋体" w:eastAsia="宋体" w:cs="宋体"/>
                      <w:color w:val="auto"/>
                      <w:sz w:val="21"/>
                      <w:szCs w:val="21"/>
                      <w:lang w:val="en-US" w:eastAsia="zh-CN"/>
                    </w:rPr>
                    <w:t>排放</w:t>
                  </w:r>
                </w:p>
              </w:tc>
              <w:tc>
                <w:tcPr>
                  <w:tcW w:w="304" w:type="pct"/>
                  <w:tcBorders>
                    <w:top w:val="single" w:color="000000" w:sz="4" w:space="0"/>
                    <w:left w:val="single" w:color="000000" w:sz="4" w:space="0"/>
                    <w:right w:val="single" w:color="000000" w:sz="4" w:space="0"/>
                  </w:tcBorders>
                  <w:noWrap w:val="0"/>
                  <w:vAlign w:val="center"/>
                </w:tcPr>
                <w:p w14:paraId="143FDD6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间接排放</w:t>
                  </w:r>
                </w:p>
              </w:tc>
              <w:tc>
                <w:tcPr>
                  <w:tcW w:w="543" w:type="pct"/>
                  <w:tcBorders>
                    <w:top w:val="single" w:color="000000" w:sz="4" w:space="0"/>
                    <w:left w:val="single" w:color="000000" w:sz="4" w:space="0"/>
                    <w:right w:val="single" w:color="000000" w:sz="4" w:space="0"/>
                  </w:tcBorders>
                  <w:noWrap w:val="0"/>
                  <w:vAlign w:val="center"/>
                </w:tcPr>
                <w:p w14:paraId="1AE5454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TW001</w:t>
                  </w:r>
                </w:p>
              </w:tc>
              <w:tc>
                <w:tcPr>
                  <w:tcW w:w="424" w:type="pct"/>
                  <w:tcBorders>
                    <w:top w:val="single" w:color="000000" w:sz="4" w:space="0"/>
                    <w:left w:val="single" w:color="000000" w:sz="4" w:space="0"/>
                    <w:right w:val="single" w:color="000000" w:sz="4" w:space="0"/>
                  </w:tcBorders>
                  <w:noWrap w:val="0"/>
                  <w:vAlign w:val="center"/>
                </w:tcPr>
                <w:p w14:paraId="0040A43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化粪池</w:t>
                  </w:r>
                </w:p>
              </w:tc>
              <w:tc>
                <w:tcPr>
                  <w:tcW w:w="1031" w:type="pct"/>
                  <w:tcBorders>
                    <w:top w:val="single" w:color="000000" w:sz="4" w:space="0"/>
                    <w:left w:val="single" w:color="000000" w:sz="4" w:space="0"/>
                    <w:right w:val="single" w:color="000000" w:sz="4" w:space="0"/>
                  </w:tcBorders>
                  <w:noWrap w:val="0"/>
                  <w:vAlign w:val="center"/>
                </w:tcPr>
                <w:p w14:paraId="2880AFD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化粪池</w:t>
                  </w:r>
                </w:p>
              </w:tc>
              <w:tc>
                <w:tcPr>
                  <w:tcW w:w="435" w:type="pct"/>
                  <w:tcBorders>
                    <w:top w:val="single" w:color="000000" w:sz="4" w:space="0"/>
                    <w:left w:val="single" w:color="000000" w:sz="4" w:space="0"/>
                    <w:right w:val="nil"/>
                  </w:tcBorders>
                  <w:noWrap w:val="0"/>
                  <w:vAlign w:val="center"/>
                </w:tcPr>
                <w:p w14:paraId="5F8762A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是</w:t>
                  </w:r>
                </w:p>
              </w:tc>
            </w:tr>
          </w:tbl>
          <w:p w14:paraId="2FDDEEFF">
            <w:pPr>
              <w:pStyle w:val="12"/>
              <w:keepNext w:val="0"/>
              <w:keepLines w:val="0"/>
              <w:pageBreakBefore w:val="0"/>
              <w:widowControl w:val="0"/>
              <w:kinsoku/>
              <w:wordWrap/>
              <w:overflowPunct/>
              <w:topLinePunct w:val="0"/>
              <w:autoSpaceDE/>
              <w:autoSpaceDN/>
              <w:bidi w:val="0"/>
              <w:adjustRightInd/>
              <w:snapToGrid/>
              <w:spacing w:before="0" w:after="0" w:line="360" w:lineRule="auto"/>
              <w:ind w:left="0" w:right="0" w:firstLine="420" w:firstLineChars="200"/>
              <w:jc w:val="both"/>
              <w:textAlignment w:val="auto"/>
              <w:outlineLvl w:val="9"/>
              <w:rPr>
                <w:rFonts w:hint="eastAsia" w:ascii="宋体" w:hAnsi="宋体" w:eastAsia="宋体" w:cs="宋体"/>
                <w:color w:val="auto"/>
                <w:sz w:val="21"/>
                <w:szCs w:val="21"/>
                <w:lang w:val="en-US" w:eastAsia="zh-CN"/>
              </w:rPr>
            </w:pPr>
          </w:p>
          <w:p w14:paraId="10FF50EC">
            <w:pPr>
              <w:pStyle w:val="12"/>
              <w:keepNext w:val="0"/>
              <w:keepLines w:val="0"/>
              <w:pageBreakBefore w:val="0"/>
              <w:widowControl w:val="0"/>
              <w:kinsoku/>
              <w:wordWrap/>
              <w:overflowPunct/>
              <w:topLinePunct w:val="0"/>
              <w:autoSpaceDE/>
              <w:autoSpaceDN/>
              <w:bidi w:val="0"/>
              <w:adjustRightInd/>
              <w:snapToGrid/>
              <w:spacing w:before="0" w:after="0" w:line="360" w:lineRule="auto"/>
              <w:ind w:left="0" w:right="0" w:firstLine="420" w:firstLineChars="200"/>
              <w:jc w:val="both"/>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（6）依托安居区龙眼井污水处理厂处理可行性分析</w:t>
            </w:r>
          </w:p>
          <w:p w14:paraId="508CB2D5">
            <w:pPr>
              <w:pStyle w:val="12"/>
              <w:keepNext w:val="0"/>
              <w:keepLines w:val="0"/>
              <w:pageBreakBefore w:val="0"/>
              <w:widowControl w:val="0"/>
              <w:kinsoku/>
              <w:wordWrap/>
              <w:overflowPunct/>
              <w:topLinePunct w:val="0"/>
              <w:autoSpaceDE/>
              <w:autoSpaceDN/>
              <w:bidi w:val="0"/>
              <w:adjustRightInd/>
              <w:snapToGrid/>
              <w:spacing w:before="0" w:after="0" w:line="360" w:lineRule="auto"/>
              <w:ind w:left="0" w:right="0" w:firstLine="420" w:firstLineChars="200"/>
              <w:jc w:val="both"/>
              <w:textAlignment w:val="auto"/>
              <w:outlineLvl w:val="9"/>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1）龙眼井污水处理厂简介</w:t>
            </w:r>
          </w:p>
          <w:p w14:paraId="23AD19E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龙眼井污水处理厂位于安居区龙眼井村，占地面积约50亩，设计废水处理规模为1.6万m</w:t>
            </w:r>
            <w:r>
              <w:rPr>
                <w:rFonts w:hint="eastAsia" w:ascii="宋体" w:hAnsi="宋体" w:eastAsia="宋体" w:cs="宋体"/>
                <w:color w:val="auto"/>
                <w:sz w:val="21"/>
                <w:szCs w:val="21"/>
                <w:vertAlign w:val="superscript"/>
                <w:lang w:eastAsia="zh-CN"/>
              </w:rPr>
              <w:t>3</w:t>
            </w:r>
            <w:r>
              <w:rPr>
                <w:rFonts w:hint="eastAsia" w:ascii="宋体" w:hAnsi="宋体" w:eastAsia="宋体" w:cs="宋体"/>
                <w:color w:val="auto"/>
                <w:sz w:val="21"/>
                <w:szCs w:val="21"/>
                <w:lang w:eastAsia="zh-CN"/>
              </w:rPr>
              <w:t>/d，采用CASS+D型滤池污水处理工艺，尾水达《城镇污水处理厂污染物排放标准》（GB18918-2002）中一级A标准排入琼江。该污水处理厂工程于2013年10月开工建设，已于2015年4月完工并投入运行。</w:t>
            </w:r>
            <w:r>
              <w:rPr>
                <w:rFonts w:hint="eastAsia" w:ascii="宋体" w:hAnsi="宋体" w:eastAsia="宋体" w:cs="宋体"/>
                <w:color w:val="auto"/>
                <w:sz w:val="21"/>
                <w:szCs w:val="21"/>
                <w:lang w:val="en-US" w:eastAsia="zh-CN"/>
              </w:rPr>
              <w:t>2022年</w:t>
            </w:r>
            <w:r>
              <w:rPr>
                <w:rFonts w:hint="eastAsia" w:ascii="宋体" w:hAnsi="宋体" w:eastAsia="宋体" w:cs="宋体"/>
                <w:color w:val="auto"/>
                <w:sz w:val="21"/>
                <w:szCs w:val="21"/>
                <w:lang w:eastAsia="zh-CN"/>
              </w:rPr>
              <w:t>龙眼井污水处理厂</w:t>
            </w:r>
            <w:r>
              <w:rPr>
                <w:rFonts w:hint="eastAsia" w:ascii="宋体" w:hAnsi="宋体" w:eastAsia="宋体" w:cs="宋体"/>
                <w:color w:val="auto"/>
                <w:sz w:val="21"/>
                <w:szCs w:val="21"/>
                <w:lang w:val="en-US" w:eastAsia="zh-CN"/>
              </w:rPr>
              <w:t>进行</w:t>
            </w:r>
            <w:r>
              <w:rPr>
                <w:rFonts w:hint="eastAsia" w:ascii="宋体" w:hAnsi="宋体" w:eastAsia="宋体" w:cs="宋体"/>
                <w:color w:val="auto"/>
                <w:sz w:val="21"/>
                <w:szCs w:val="21"/>
                <w:lang w:eastAsia="zh-CN"/>
              </w:rPr>
              <w:t>提档升级，</w:t>
            </w:r>
            <w:r>
              <w:rPr>
                <w:rFonts w:hint="eastAsia" w:ascii="宋体" w:hAnsi="宋体" w:eastAsia="宋体" w:cs="宋体"/>
                <w:color w:val="auto"/>
                <w:sz w:val="21"/>
                <w:szCs w:val="21"/>
                <w:lang w:val="en-US" w:eastAsia="zh-CN"/>
              </w:rPr>
              <w:t>处理能力由</w:t>
            </w:r>
            <w:r>
              <w:rPr>
                <w:rFonts w:hint="eastAsia" w:ascii="宋体" w:hAnsi="宋体" w:eastAsia="宋体" w:cs="宋体"/>
                <w:color w:val="auto"/>
                <w:sz w:val="21"/>
                <w:szCs w:val="21"/>
                <w:lang w:eastAsia="zh-CN"/>
              </w:rPr>
              <w:t>原来的1.6</w:t>
            </w:r>
            <w:r>
              <w:rPr>
                <w:rFonts w:hint="eastAsia" w:ascii="宋体" w:hAnsi="宋体" w:eastAsia="宋体" w:cs="宋体"/>
                <w:color w:val="auto"/>
                <w:sz w:val="21"/>
                <w:szCs w:val="21"/>
                <w:lang w:val="en-US" w:eastAsia="zh-CN"/>
              </w:rPr>
              <w:t>万</w:t>
            </w:r>
            <w:r>
              <w:rPr>
                <w:rFonts w:hint="eastAsia" w:ascii="宋体" w:hAnsi="宋体" w:eastAsia="宋体" w:cs="宋体"/>
                <w:color w:val="auto"/>
                <w:sz w:val="21"/>
                <w:szCs w:val="21"/>
                <w:lang w:eastAsia="zh-CN"/>
              </w:rPr>
              <w:t>m</w:t>
            </w:r>
            <w:r>
              <w:rPr>
                <w:rFonts w:hint="eastAsia" w:ascii="宋体" w:hAnsi="宋体" w:eastAsia="宋体" w:cs="宋体"/>
                <w:color w:val="auto"/>
                <w:sz w:val="21"/>
                <w:szCs w:val="21"/>
                <w:vertAlign w:val="superscript"/>
                <w:lang w:eastAsia="zh-CN"/>
              </w:rPr>
              <w:t>3</w:t>
            </w:r>
            <w:r>
              <w:rPr>
                <w:rFonts w:hint="eastAsia" w:ascii="宋体" w:hAnsi="宋体" w:eastAsia="宋体" w:cs="宋体"/>
                <w:color w:val="auto"/>
                <w:sz w:val="21"/>
                <w:szCs w:val="21"/>
                <w:lang w:eastAsia="zh-CN"/>
              </w:rPr>
              <w:t>/d提升至2.5</w:t>
            </w:r>
            <w:r>
              <w:rPr>
                <w:rFonts w:hint="eastAsia" w:ascii="宋体" w:hAnsi="宋体" w:eastAsia="宋体" w:cs="宋体"/>
                <w:color w:val="auto"/>
                <w:sz w:val="21"/>
                <w:szCs w:val="21"/>
                <w:lang w:val="en-US" w:eastAsia="zh-CN"/>
              </w:rPr>
              <w:t>万</w:t>
            </w:r>
            <w:r>
              <w:rPr>
                <w:rFonts w:hint="eastAsia" w:ascii="宋体" w:hAnsi="宋体" w:eastAsia="宋体" w:cs="宋体"/>
                <w:color w:val="auto"/>
                <w:sz w:val="21"/>
                <w:szCs w:val="21"/>
                <w:lang w:eastAsia="zh-CN"/>
              </w:rPr>
              <w:t>m</w:t>
            </w:r>
            <w:r>
              <w:rPr>
                <w:rFonts w:hint="eastAsia" w:ascii="宋体" w:hAnsi="宋体" w:eastAsia="宋体" w:cs="宋体"/>
                <w:color w:val="auto"/>
                <w:sz w:val="21"/>
                <w:szCs w:val="21"/>
                <w:vertAlign w:val="superscript"/>
                <w:lang w:eastAsia="zh-CN"/>
              </w:rPr>
              <w:t>3</w:t>
            </w:r>
            <w:r>
              <w:rPr>
                <w:rFonts w:hint="eastAsia" w:ascii="宋体" w:hAnsi="宋体" w:eastAsia="宋体" w:cs="宋体"/>
                <w:color w:val="auto"/>
                <w:sz w:val="21"/>
                <w:szCs w:val="21"/>
                <w:lang w:eastAsia="zh-CN"/>
              </w:rPr>
              <w:t>/d，龙眼井污水处理厂</w:t>
            </w:r>
            <w:r>
              <w:rPr>
                <w:rFonts w:hint="eastAsia" w:ascii="宋体" w:hAnsi="宋体" w:eastAsia="宋体" w:cs="宋体"/>
                <w:color w:val="auto"/>
                <w:sz w:val="21"/>
                <w:szCs w:val="21"/>
                <w:lang w:val="en-US" w:eastAsia="zh-CN"/>
              </w:rPr>
              <w:t>已于2023年8月完成提档升级工作，目前污水处理厂运行正常。</w:t>
            </w:r>
          </w:p>
          <w:p w14:paraId="1505F561">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color w:val="auto"/>
                <w:lang w:eastAsia="zh-CN"/>
              </w:rPr>
            </w:pPr>
            <w:r>
              <w:rPr>
                <w:rFonts w:hint="eastAsia"/>
                <w:color w:val="auto"/>
                <w:lang w:eastAsia="zh-CN"/>
              </w:rPr>
              <w:drawing>
                <wp:inline distT="0" distB="0" distL="114300" distR="114300">
                  <wp:extent cx="3268345" cy="3637280"/>
                  <wp:effectExtent l="0" t="0" r="8255" b="1270"/>
                  <wp:docPr id="8" name="图片 45" descr="]SZ{7OFT@1[HR_B3K[RLX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5" descr="]SZ{7OFT@1[HR_B3K[RLXOG"/>
                          <pic:cNvPicPr>
                            <a:picLocks noChangeAspect="1"/>
                          </pic:cNvPicPr>
                        </pic:nvPicPr>
                        <pic:blipFill>
                          <a:blip r:embed="rId19"/>
                          <a:stretch>
                            <a:fillRect/>
                          </a:stretch>
                        </pic:blipFill>
                        <pic:spPr>
                          <a:xfrm>
                            <a:off x="0" y="0"/>
                            <a:ext cx="3268345" cy="3637280"/>
                          </a:xfrm>
                          <a:prstGeom prst="rect">
                            <a:avLst/>
                          </a:prstGeom>
                          <a:noFill/>
                          <a:ln>
                            <a:noFill/>
                          </a:ln>
                        </pic:spPr>
                      </pic:pic>
                    </a:graphicData>
                  </a:graphic>
                </wp:inline>
              </w:drawing>
            </w:r>
          </w:p>
          <w:p w14:paraId="2FBDF779">
            <w:pPr>
              <w:keepNext w:val="0"/>
              <w:keepLines w:val="0"/>
              <w:pageBreakBefore w:val="0"/>
              <w:widowControl w:val="0"/>
              <w:kinsoku/>
              <w:wordWrap/>
              <w:overflowPunct/>
              <w:topLinePunct w:val="0"/>
              <w:bidi w:val="0"/>
              <w:adjustRightInd/>
              <w:snapToGrid/>
              <w:spacing w:line="360" w:lineRule="auto"/>
              <w:ind w:left="0" w:leftChars="0" w:right="0" w:rightChars="0" w:firstLine="413" w:firstLineChars="196"/>
              <w:jc w:val="center"/>
              <w:textAlignment w:val="auto"/>
              <w:outlineLvl w:val="9"/>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fr-FR" w:eastAsia="zh-CN"/>
              </w:rPr>
              <w:t>图</w:t>
            </w:r>
            <w:r>
              <w:rPr>
                <w:rFonts w:hint="eastAsia" w:ascii="Times New Roman" w:hAnsi="Times New Roman" w:eastAsia="宋体" w:cs="Times New Roman"/>
                <w:b/>
                <w:bCs/>
                <w:color w:val="auto"/>
                <w:lang w:val="en-US" w:eastAsia="zh-CN"/>
              </w:rPr>
              <w:t>4-</w:t>
            </w:r>
            <w:r>
              <w:rPr>
                <w:rFonts w:hint="eastAsia" w:cs="Times New Roman"/>
                <w:b/>
                <w:bCs/>
                <w:color w:val="auto"/>
                <w:lang w:val="en-US" w:eastAsia="zh-CN"/>
              </w:rPr>
              <w:t>1</w:t>
            </w:r>
            <w:r>
              <w:rPr>
                <w:rFonts w:hint="eastAsia" w:ascii="Times New Roman" w:hAnsi="Times New Roman" w:eastAsia="宋体" w:cs="Times New Roman"/>
                <w:b/>
                <w:bCs/>
                <w:color w:val="auto"/>
                <w:lang w:val="fr-FR" w:eastAsia="zh-CN"/>
              </w:rPr>
              <w:t xml:space="preserve">  龙眼井污水处理厂工艺流程</w:t>
            </w:r>
          </w:p>
          <w:p w14:paraId="23FC642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color w:val="auto"/>
                <w:lang w:val="en-US" w:eastAsia="zh-CN"/>
              </w:rPr>
            </w:pPr>
            <w:r>
              <w:rPr>
                <w:rFonts w:hint="eastAsia"/>
                <w:color w:val="auto"/>
                <w:lang w:val="en-US" w:eastAsia="zh-CN"/>
              </w:rPr>
              <w:t>2</w:t>
            </w:r>
            <w:r>
              <w:rPr>
                <w:rFonts w:hint="eastAsia"/>
                <w:color w:val="auto"/>
                <w:lang w:eastAsia="zh-CN"/>
              </w:rPr>
              <w:t>）</w:t>
            </w:r>
            <w:r>
              <w:rPr>
                <w:rFonts w:hint="eastAsia"/>
                <w:color w:val="auto"/>
                <w:lang w:val="en-US" w:eastAsia="zh-CN"/>
              </w:rPr>
              <w:t>纳管可行性</w:t>
            </w:r>
          </w:p>
          <w:p w14:paraId="441CB78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lang w:val="en-US" w:eastAsia="zh-CN"/>
              </w:rPr>
            </w:pPr>
            <w:r>
              <w:rPr>
                <w:rFonts w:hint="eastAsia"/>
                <w:color w:val="auto"/>
                <w:lang w:val="en-US" w:eastAsia="zh-CN"/>
              </w:rPr>
              <w:t>本项目位于安居工业集中发展区内，根据实地调查可知，安东大道污水管网已经全部建成，且与龙眼井污水处理厂相接。本项目位于龙眼井污水处理厂的纳污范围内，项目外排废水经处理达标后，可排入龙眼井污水处理厂进行处理。</w:t>
            </w:r>
          </w:p>
          <w:p w14:paraId="0D42AA0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3）水量可行性</w:t>
            </w:r>
          </w:p>
          <w:p w14:paraId="6912054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sz w:val="21"/>
                <w:szCs w:val="21"/>
                <w:lang w:val="en-US" w:eastAsia="zh-CN"/>
              </w:rPr>
            </w:pPr>
            <w:r>
              <w:rPr>
                <w:rFonts w:hint="eastAsia"/>
                <w:color w:val="auto"/>
                <w:lang w:val="en-US" w:eastAsia="zh-CN"/>
              </w:rPr>
              <w:t>本项目外排废水总量为4.8m</w:t>
            </w:r>
            <w:r>
              <w:rPr>
                <w:rFonts w:hint="eastAsia"/>
                <w:color w:val="auto"/>
                <w:vertAlign w:val="superscript"/>
                <w:lang w:val="en-US" w:eastAsia="zh-CN"/>
              </w:rPr>
              <w:t>3</w:t>
            </w:r>
            <w:r>
              <w:rPr>
                <w:rFonts w:hint="eastAsia"/>
                <w:color w:val="auto"/>
                <w:lang w:val="en-US" w:eastAsia="zh-CN"/>
              </w:rPr>
              <w:t>/d，龙眼井污水处理厂处理能力为2.5万</w:t>
            </w:r>
            <w:r>
              <w:rPr>
                <w:rFonts w:hint="eastAsia"/>
                <w:color w:val="auto"/>
                <w:vertAlign w:val="baseline"/>
                <w:lang w:val="en-US" w:eastAsia="zh-CN"/>
              </w:rPr>
              <w:t>m</w:t>
            </w:r>
            <w:r>
              <w:rPr>
                <w:rFonts w:hint="eastAsia"/>
                <w:color w:val="auto"/>
                <w:vertAlign w:val="superscript"/>
                <w:lang w:val="en-US" w:eastAsia="zh-CN"/>
              </w:rPr>
              <w:t>3</w:t>
            </w:r>
            <w:r>
              <w:rPr>
                <w:rFonts w:hint="eastAsia"/>
                <w:color w:val="auto"/>
                <w:lang w:val="en-US" w:eastAsia="zh-CN"/>
              </w:rPr>
              <w:t>/d，</w:t>
            </w:r>
            <w:r>
              <w:rPr>
                <w:rFonts w:hint="eastAsia" w:cs="Times New Roman"/>
                <w:color w:val="auto"/>
                <w:sz w:val="21"/>
                <w:szCs w:val="21"/>
                <w:lang w:val="en-US" w:eastAsia="zh-CN"/>
              </w:rPr>
              <w:t>龙眼井污水处理厂现阶段处理量为2.14万m</w:t>
            </w:r>
            <w:r>
              <w:rPr>
                <w:rFonts w:hint="eastAsia" w:cs="Times New Roman"/>
                <w:color w:val="auto"/>
                <w:sz w:val="21"/>
                <w:szCs w:val="21"/>
                <w:vertAlign w:val="superscript"/>
                <w:lang w:val="en-US" w:eastAsia="zh-CN"/>
              </w:rPr>
              <w:t>3</w:t>
            </w:r>
            <w:r>
              <w:rPr>
                <w:rFonts w:hint="eastAsia" w:cs="Times New Roman"/>
                <w:color w:val="auto"/>
                <w:sz w:val="21"/>
                <w:szCs w:val="21"/>
                <w:lang w:val="en-US" w:eastAsia="zh-CN"/>
              </w:rPr>
              <w:t>/d，剩余约3600m</w:t>
            </w:r>
            <w:r>
              <w:rPr>
                <w:rFonts w:hint="eastAsia" w:cs="Times New Roman"/>
                <w:color w:val="auto"/>
                <w:sz w:val="21"/>
                <w:szCs w:val="21"/>
                <w:vertAlign w:val="superscript"/>
                <w:lang w:val="en-US" w:eastAsia="zh-CN"/>
              </w:rPr>
              <w:t>3</w:t>
            </w:r>
            <w:r>
              <w:rPr>
                <w:rFonts w:hint="eastAsia" w:cs="Times New Roman"/>
                <w:color w:val="auto"/>
                <w:sz w:val="21"/>
                <w:szCs w:val="21"/>
                <w:lang w:val="en-US" w:eastAsia="zh-CN"/>
              </w:rPr>
              <w:t>/d处理量，有足够容量处理本项目的废水。</w:t>
            </w:r>
          </w:p>
          <w:p w14:paraId="1009C5D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b w:val="0"/>
                <w:bCs w:val="0"/>
                <w:color w:val="auto"/>
                <w:lang w:val="en-US" w:eastAsia="zh-CN"/>
              </w:rPr>
            </w:pPr>
            <w:r>
              <w:rPr>
                <w:rFonts w:hint="eastAsia" w:ascii="宋体" w:hAnsi="宋体" w:eastAsia="宋体" w:cs="宋体"/>
                <w:b w:val="0"/>
                <w:bCs w:val="0"/>
                <w:color w:val="auto"/>
                <w:lang w:val="en-US" w:eastAsia="zh-CN"/>
              </w:rPr>
              <w:t>4）水质可行性</w:t>
            </w:r>
          </w:p>
          <w:p w14:paraId="2AD77CE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lang w:val="en-US" w:eastAsia="zh-CN"/>
              </w:rPr>
            </w:pPr>
            <w:r>
              <w:rPr>
                <w:rFonts w:hint="eastAsia"/>
                <w:color w:val="auto"/>
                <w:lang w:val="en-US" w:eastAsia="zh-CN"/>
              </w:rPr>
              <w:t>本项目外排废水处理后能够达到</w:t>
            </w:r>
            <w:r>
              <w:rPr>
                <w:rFonts w:hint="eastAsia" w:ascii="宋体" w:hAnsi="宋体" w:cs="宋体"/>
                <w:color w:val="auto"/>
                <w:sz w:val="21"/>
                <w:szCs w:val="21"/>
              </w:rPr>
              <w:t>《污水综合排放标准》（GB8978-1996）三级标准</w:t>
            </w:r>
            <w:r>
              <w:rPr>
                <w:rFonts w:hint="eastAsia"/>
                <w:color w:val="auto"/>
                <w:lang w:val="en-US" w:eastAsia="zh-CN"/>
              </w:rPr>
              <w:t>，符合龙眼井污水处理厂纳管水质要求。</w:t>
            </w:r>
          </w:p>
          <w:p w14:paraId="0B0A14E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rPr>
            </w:pPr>
            <w:r>
              <w:rPr>
                <w:rFonts w:hint="eastAsia"/>
                <w:color w:val="auto"/>
                <w:lang w:val="en-US" w:eastAsia="zh-CN"/>
              </w:rPr>
              <w:t>综上，本项目建成投产后，其外排废水进入龙眼井污水处理厂处理是可行的</w:t>
            </w:r>
            <w:r>
              <w:rPr>
                <w:rFonts w:hint="eastAsia"/>
                <w:color w:val="auto"/>
              </w:rPr>
              <w:t>。</w:t>
            </w:r>
          </w:p>
          <w:p w14:paraId="5B3BF071">
            <w:pPr>
              <w:spacing w:line="360" w:lineRule="auto"/>
              <w:ind w:firstLine="420" w:firstLineChars="200"/>
              <w:rPr>
                <w:rFonts w:ascii="宋体" w:hAnsi="宋体" w:cs="宋体"/>
                <w:b w:val="0"/>
                <w:bCs w:val="0"/>
                <w:color w:val="auto"/>
                <w:szCs w:val="21"/>
              </w:rPr>
            </w:pPr>
            <w:r>
              <w:rPr>
                <w:rFonts w:hint="eastAsia"/>
                <w:b w:val="0"/>
                <w:bCs w:val="0"/>
                <w:color w:val="auto"/>
                <w:lang w:eastAsia="zh-CN"/>
              </w:rPr>
              <w:t>（</w:t>
            </w:r>
            <w:r>
              <w:rPr>
                <w:rFonts w:hint="eastAsia"/>
                <w:b w:val="0"/>
                <w:bCs w:val="0"/>
                <w:color w:val="auto"/>
                <w:lang w:val="en-US" w:eastAsia="zh-CN"/>
              </w:rPr>
              <w:t>7</w:t>
            </w:r>
            <w:r>
              <w:rPr>
                <w:rFonts w:hint="eastAsia"/>
                <w:b w:val="0"/>
                <w:bCs w:val="0"/>
                <w:color w:val="auto"/>
                <w:lang w:eastAsia="zh-CN"/>
              </w:rPr>
              <w:t>）</w:t>
            </w:r>
            <w:r>
              <w:rPr>
                <w:rFonts w:hint="eastAsia"/>
                <w:b w:val="0"/>
                <w:bCs w:val="0"/>
                <w:color w:val="auto"/>
              </w:rPr>
              <w:t>监测要求</w:t>
            </w:r>
          </w:p>
          <w:p w14:paraId="1DB0D0B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lang w:val="en-US" w:eastAsia="zh-CN"/>
              </w:rPr>
            </w:pPr>
            <w:r>
              <w:rPr>
                <w:rFonts w:hint="eastAsia"/>
                <w:color w:val="auto"/>
                <w:lang w:val="en-US" w:eastAsia="zh-CN"/>
              </w:rPr>
              <w:t>根据《排污许可证申请与核发技术规范-铁路、船舶、航空航天和其他运输设备制造业》（HJ1124-2020），单独排入城镇污水集中处理设施的生活污水仅说明去向。项目监测计划具体如下表所示。</w:t>
            </w:r>
          </w:p>
          <w:p w14:paraId="6FEA0C5C">
            <w:pPr>
              <w:snapToGrid w:val="0"/>
              <w:spacing w:before="120" w:beforeLines="50"/>
              <w:jc w:val="center"/>
              <w:rPr>
                <w:rFonts w:hint="eastAsia" w:ascii="Times New Roman" w:hAnsi="Times New Roman" w:eastAsia="宋体" w:cs="Times New Roman"/>
                <w:b/>
                <w:color w:val="auto"/>
                <w:sz w:val="21"/>
                <w:szCs w:val="21"/>
                <w:lang w:val="zh-CN" w:eastAsia="zh-CN"/>
              </w:rPr>
            </w:pPr>
            <w:r>
              <w:rPr>
                <w:rFonts w:hint="eastAsia" w:ascii="Times New Roman" w:hAnsi="Times New Roman" w:eastAsia="宋体" w:cs="Times New Roman"/>
                <w:b/>
                <w:color w:val="auto"/>
                <w:sz w:val="21"/>
                <w:szCs w:val="21"/>
                <w:lang w:val="zh-CN" w:eastAsia="zh-CN"/>
              </w:rPr>
              <w:t>表 4-</w:t>
            </w:r>
            <w:r>
              <w:rPr>
                <w:rFonts w:hint="eastAsia" w:ascii="Times New Roman" w:hAnsi="Times New Roman" w:eastAsia="宋体" w:cs="Times New Roman"/>
                <w:b/>
                <w:color w:val="auto"/>
                <w:sz w:val="21"/>
                <w:szCs w:val="21"/>
                <w:lang w:val="en-US" w:eastAsia="zh-CN"/>
              </w:rPr>
              <w:t>7</w:t>
            </w:r>
            <w:r>
              <w:rPr>
                <w:rFonts w:hint="eastAsia" w:ascii="Times New Roman" w:hAnsi="Times New Roman" w:eastAsia="宋体" w:cs="Times New Roman"/>
                <w:b/>
                <w:color w:val="auto"/>
                <w:sz w:val="21"/>
                <w:szCs w:val="21"/>
                <w:lang w:val="zh-CN" w:eastAsia="zh-CN"/>
              </w:rPr>
              <w:t xml:space="preserve"> </w:t>
            </w:r>
            <w:r>
              <w:rPr>
                <w:rFonts w:hint="eastAsia" w:ascii="Times New Roman" w:hAnsi="Times New Roman" w:eastAsia="宋体" w:cs="Times New Roman"/>
                <w:b/>
                <w:color w:val="auto"/>
                <w:sz w:val="21"/>
                <w:szCs w:val="21"/>
                <w:lang w:val="en-US" w:eastAsia="zh-CN"/>
              </w:rPr>
              <w:t>生活污水排放去向</w:t>
            </w:r>
            <w:r>
              <w:rPr>
                <w:rFonts w:hint="eastAsia" w:ascii="Times New Roman" w:hAnsi="Times New Roman" w:eastAsia="宋体" w:cs="Times New Roman"/>
                <w:b/>
                <w:color w:val="auto"/>
                <w:sz w:val="21"/>
                <w:szCs w:val="21"/>
                <w:lang w:val="zh-CN" w:eastAsia="zh-CN"/>
              </w:rPr>
              <w:t>况</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096"/>
              <w:gridCol w:w="1655"/>
              <w:gridCol w:w="1519"/>
              <w:gridCol w:w="2839"/>
            </w:tblGrid>
            <w:tr w14:paraId="6D105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1" w:hRule="atLeast"/>
                <w:jc w:val="center"/>
              </w:trPr>
              <w:tc>
                <w:tcPr>
                  <w:tcW w:w="1292" w:type="pct"/>
                  <w:noWrap w:val="0"/>
                  <w:vAlign w:val="center"/>
                </w:tcPr>
                <w:p w14:paraId="46BB9BEE">
                  <w:pPr>
                    <w:widowControl/>
                    <w:wordWrap w:val="0"/>
                    <w:jc w:val="center"/>
                    <w:rPr>
                      <w:rFonts w:hint="eastAsia" w:ascii="宋体" w:hAnsi="宋体" w:eastAsia="宋体" w:cs="宋体"/>
                      <w:color w:val="auto"/>
                      <w:kern w:val="0"/>
                      <w:sz w:val="21"/>
                      <w:szCs w:val="21"/>
                      <w:lang w:val="zh-CN" w:eastAsia="zh-CN"/>
                    </w:rPr>
                  </w:pPr>
                  <w:r>
                    <w:rPr>
                      <w:rFonts w:hint="eastAsia" w:ascii="宋体" w:hAnsi="宋体" w:eastAsia="宋体" w:cs="宋体"/>
                      <w:color w:val="auto"/>
                      <w:kern w:val="0"/>
                      <w:sz w:val="21"/>
                      <w:szCs w:val="21"/>
                      <w:lang w:val="zh-CN" w:eastAsia="zh-CN"/>
                    </w:rPr>
                    <w:t>名称</w:t>
                  </w:r>
                </w:p>
              </w:tc>
              <w:tc>
                <w:tcPr>
                  <w:tcW w:w="1020" w:type="pct"/>
                  <w:noWrap w:val="0"/>
                  <w:vAlign w:val="center"/>
                </w:tcPr>
                <w:p w14:paraId="3391E9C8">
                  <w:pPr>
                    <w:widowControl/>
                    <w:wordWrap w:val="0"/>
                    <w:jc w:val="center"/>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排放去向</w:t>
                  </w:r>
                </w:p>
              </w:tc>
              <w:tc>
                <w:tcPr>
                  <w:tcW w:w="936" w:type="pct"/>
                  <w:noWrap w:val="0"/>
                  <w:vAlign w:val="center"/>
                </w:tcPr>
                <w:p w14:paraId="1F78ADD6">
                  <w:pPr>
                    <w:widowControl/>
                    <w:wordWrap w:val="0"/>
                    <w:jc w:val="center"/>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排放规律</w:t>
                  </w:r>
                </w:p>
              </w:tc>
              <w:tc>
                <w:tcPr>
                  <w:tcW w:w="1750" w:type="pct"/>
                  <w:noWrap w:val="0"/>
                  <w:vAlign w:val="center"/>
                </w:tcPr>
                <w:p w14:paraId="3D9CB308">
                  <w:pPr>
                    <w:widowControl/>
                    <w:wordWrap w:val="0"/>
                    <w:jc w:val="center"/>
                    <w:rPr>
                      <w:rFonts w:hint="eastAsia" w:ascii="宋体" w:hAnsi="宋体" w:eastAsia="宋体" w:cs="宋体"/>
                      <w:color w:val="auto"/>
                      <w:kern w:val="0"/>
                      <w:sz w:val="21"/>
                      <w:szCs w:val="21"/>
                      <w:lang w:val="zh-CN" w:eastAsia="zh-CN"/>
                    </w:rPr>
                  </w:pPr>
                  <w:r>
                    <w:rPr>
                      <w:rFonts w:hint="eastAsia" w:ascii="宋体" w:hAnsi="宋体" w:eastAsia="宋体" w:cs="宋体"/>
                      <w:color w:val="auto"/>
                      <w:kern w:val="0"/>
                      <w:sz w:val="21"/>
                      <w:szCs w:val="21"/>
                      <w:lang w:val="zh-CN" w:eastAsia="zh-CN"/>
                    </w:rPr>
                    <w:t>排放标准</w:t>
                  </w:r>
                </w:p>
              </w:tc>
            </w:tr>
            <w:tr w14:paraId="5C6EE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9" w:hRule="atLeast"/>
                <w:jc w:val="center"/>
              </w:trPr>
              <w:tc>
                <w:tcPr>
                  <w:tcW w:w="1292" w:type="pct"/>
                  <w:noWrap w:val="0"/>
                  <w:vAlign w:val="center"/>
                </w:tcPr>
                <w:p w14:paraId="68C7AB41">
                  <w:pPr>
                    <w:widowControl/>
                    <w:wordWrap w:val="0"/>
                    <w:jc w:val="center"/>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生活污水</w:t>
                  </w:r>
                </w:p>
              </w:tc>
              <w:tc>
                <w:tcPr>
                  <w:tcW w:w="1020" w:type="pct"/>
                  <w:noWrap w:val="0"/>
                  <w:vAlign w:val="center"/>
                </w:tcPr>
                <w:p w14:paraId="590496EA">
                  <w:pPr>
                    <w:widowControl/>
                    <w:wordWrap w:val="0"/>
                    <w:jc w:val="center"/>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排入</w:t>
                  </w:r>
                  <w:r>
                    <w:rPr>
                      <w:rFonts w:hint="eastAsia" w:cs="Times New Roman"/>
                      <w:color w:val="auto"/>
                      <w:sz w:val="21"/>
                      <w:szCs w:val="21"/>
                      <w:lang w:val="en-US" w:eastAsia="zh-CN"/>
                    </w:rPr>
                    <w:t>龙眼井污水处理厂</w:t>
                  </w:r>
                </w:p>
              </w:tc>
              <w:tc>
                <w:tcPr>
                  <w:tcW w:w="936" w:type="pct"/>
                  <w:noWrap w:val="0"/>
                  <w:vAlign w:val="center"/>
                </w:tcPr>
                <w:p w14:paraId="61EBE9D5">
                  <w:pPr>
                    <w:widowControl/>
                    <w:wordWrap w:val="0"/>
                    <w:jc w:val="center"/>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间断排放，排放期间流量不稳定且无规律，但不属于冲击型排放</w:t>
                  </w:r>
                </w:p>
              </w:tc>
              <w:tc>
                <w:tcPr>
                  <w:tcW w:w="1750" w:type="pct"/>
                  <w:noWrap w:val="0"/>
                  <w:vAlign w:val="center"/>
                </w:tcPr>
                <w:p w14:paraId="06B3BFCB">
                  <w:pPr>
                    <w:widowControl/>
                    <w:wordWrap w:val="0"/>
                    <w:jc w:val="center"/>
                    <w:rPr>
                      <w:rFonts w:hint="eastAsia" w:ascii="宋体" w:hAnsi="宋体" w:eastAsia="宋体" w:cs="宋体"/>
                      <w:color w:val="auto"/>
                      <w:kern w:val="0"/>
                      <w:sz w:val="21"/>
                      <w:szCs w:val="21"/>
                      <w:lang w:val="zh-CN" w:eastAsia="zh-CN"/>
                    </w:rPr>
                  </w:pPr>
                  <w:r>
                    <w:rPr>
                      <w:rFonts w:hint="eastAsia" w:ascii="宋体" w:hAnsi="宋体" w:eastAsia="宋体" w:cs="宋体"/>
                      <w:color w:val="auto"/>
                      <w:kern w:val="0"/>
                      <w:sz w:val="21"/>
                      <w:szCs w:val="21"/>
                      <w:lang w:val="zh-CN" w:eastAsia="zh-CN"/>
                    </w:rPr>
                    <w:t>《污水综合排放标准》</w:t>
                  </w:r>
                </w:p>
                <w:p w14:paraId="68BDB988">
                  <w:pPr>
                    <w:widowControl/>
                    <w:wordWrap w:val="0"/>
                    <w:jc w:val="center"/>
                    <w:rPr>
                      <w:rFonts w:hint="eastAsia" w:ascii="宋体" w:hAnsi="宋体" w:eastAsia="宋体" w:cs="宋体"/>
                      <w:color w:val="auto"/>
                      <w:kern w:val="0"/>
                      <w:sz w:val="21"/>
                      <w:szCs w:val="21"/>
                      <w:lang w:val="zh-CN" w:eastAsia="zh-CN"/>
                    </w:rPr>
                  </w:pPr>
                  <w:r>
                    <w:rPr>
                      <w:rFonts w:hint="eastAsia" w:ascii="宋体" w:hAnsi="宋体" w:eastAsia="宋体" w:cs="宋体"/>
                      <w:color w:val="auto"/>
                      <w:kern w:val="0"/>
                      <w:sz w:val="21"/>
                      <w:szCs w:val="21"/>
                      <w:lang w:val="zh-CN" w:eastAsia="zh-CN"/>
                    </w:rPr>
                    <w:t>（GB8978-1996）三级标准</w:t>
                  </w:r>
                </w:p>
              </w:tc>
            </w:tr>
          </w:tbl>
          <w:p w14:paraId="6D42B77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shd w:val="clear" w:color="auto" w:fill="auto"/>
                <w:lang w:val="en-US" w:eastAsia="zh-CN"/>
              </w:rPr>
            </w:pPr>
          </w:p>
          <w:p w14:paraId="1490B13F">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b/>
                <w:bCs/>
                <w:color w:val="auto"/>
                <w:lang w:val="en-US" w:eastAsia="zh-CN"/>
              </w:rPr>
            </w:pPr>
            <w:r>
              <w:rPr>
                <w:rFonts w:hint="eastAsia"/>
                <w:b/>
                <w:bCs/>
                <w:color w:val="auto"/>
                <w:lang w:val="en-US" w:eastAsia="zh-CN"/>
              </w:rPr>
              <w:t>2、废气</w:t>
            </w:r>
          </w:p>
          <w:p w14:paraId="510CA7F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cs="Times New Roman"/>
                <w:color w:val="auto"/>
                <w:sz w:val="21"/>
                <w:szCs w:val="21"/>
                <w:lang w:val="en-US" w:eastAsia="zh-CN"/>
              </w:rPr>
            </w:pPr>
            <w:r>
              <w:rPr>
                <w:rFonts w:hint="eastAsia" w:cs="Times New Roman"/>
                <w:color w:val="auto"/>
                <w:sz w:val="21"/>
                <w:szCs w:val="21"/>
                <w:lang w:val="en-US" w:eastAsia="zh-CN"/>
              </w:rPr>
              <w:t>本项目仅对电动摩托车进行组装和测试，因此本项目无废气产生。</w:t>
            </w:r>
          </w:p>
          <w:p w14:paraId="7B7093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b/>
                <w:bCs/>
                <w:color w:val="auto"/>
                <w:lang w:val="en-US" w:eastAsia="zh-CN"/>
              </w:rPr>
            </w:pPr>
            <w:r>
              <w:rPr>
                <w:rFonts w:hint="eastAsia"/>
                <w:b/>
                <w:bCs/>
                <w:color w:val="auto"/>
                <w:lang w:val="en-US" w:eastAsia="zh-CN"/>
              </w:rPr>
              <w:t>3、噪声</w:t>
            </w:r>
          </w:p>
          <w:p w14:paraId="573D4DA6">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jc w:val="both"/>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项目噪声主要来自</w:t>
            </w:r>
            <w:r>
              <w:rPr>
                <w:rFonts w:hint="eastAsia"/>
                <w:b w:val="0"/>
                <w:bCs/>
                <w:color w:val="auto"/>
                <w:sz w:val="21"/>
                <w:szCs w:val="21"/>
              </w:rPr>
              <w:t>空压机</w:t>
            </w:r>
            <w:r>
              <w:rPr>
                <w:rFonts w:hint="eastAsia" w:ascii="宋体" w:hAnsi="宋体" w:eastAsia="宋体" w:cs="宋体"/>
                <w:color w:val="auto"/>
                <w:sz w:val="21"/>
                <w:szCs w:val="21"/>
                <w:lang w:val="en-US" w:eastAsia="zh-CN"/>
              </w:rPr>
              <w:t>、行吊、叉车、电葫芦等组装设备的</w:t>
            </w:r>
            <w:r>
              <w:rPr>
                <w:rFonts w:hint="eastAsia"/>
                <w:b w:val="0"/>
                <w:bCs/>
                <w:color w:val="auto"/>
                <w:sz w:val="21"/>
                <w:szCs w:val="21"/>
              </w:rPr>
              <w:t>运行噪声</w:t>
            </w:r>
            <w:r>
              <w:rPr>
                <w:rFonts w:hint="eastAsia" w:ascii="宋体" w:hAnsi="宋体" w:eastAsia="宋体" w:cs="宋体"/>
                <w:color w:val="auto"/>
                <w:sz w:val="21"/>
                <w:szCs w:val="21"/>
                <w:lang w:val="en-US" w:eastAsia="zh-CN"/>
              </w:rPr>
              <w:t>。</w:t>
            </w:r>
            <w:r>
              <w:rPr>
                <w:rFonts w:hint="eastAsia"/>
                <w:color w:val="auto"/>
                <w:sz w:val="21"/>
                <w:szCs w:val="21"/>
              </w:rPr>
              <w:t>项目噪声源强及拟采取的降噪措施如下表所示：</w:t>
            </w:r>
          </w:p>
          <w:p w14:paraId="455F98FF">
            <w:pPr>
              <w:bidi w:val="0"/>
              <w:rPr>
                <w:rFonts w:hint="default"/>
                <w:color w:val="auto"/>
                <w:lang w:val="en-US" w:eastAsia="zh-CN"/>
              </w:rPr>
            </w:pPr>
          </w:p>
          <w:p w14:paraId="51849490">
            <w:pPr>
              <w:bidi w:val="0"/>
              <w:rPr>
                <w:rFonts w:hint="default"/>
                <w:color w:val="auto"/>
                <w:lang w:val="en-US" w:eastAsia="zh-CN"/>
              </w:rPr>
            </w:pPr>
          </w:p>
          <w:p w14:paraId="31F59C44">
            <w:pPr>
              <w:bidi w:val="0"/>
              <w:rPr>
                <w:rFonts w:hint="default"/>
                <w:color w:val="auto"/>
                <w:lang w:val="en-US" w:eastAsia="zh-CN"/>
              </w:rPr>
            </w:pPr>
          </w:p>
          <w:p w14:paraId="2771EF15">
            <w:pPr>
              <w:pStyle w:val="48"/>
              <w:widowControl w:val="0"/>
              <w:numPr>
                <w:ilvl w:val="0"/>
                <w:numId w:val="0"/>
              </w:numPr>
              <w:autoSpaceDE w:val="0"/>
              <w:autoSpaceDN w:val="0"/>
              <w:adjustRightInd w:val="0"/>
              <w:rPr>
                <w:rFonts w:hint="default"/>
                <w:color w:val="auto"/>
                <w:lang w:val="en-US" w:eastAsia="zh-CN"/>
              </w:rPr>
            </w:pPr>
          </w:p>
        </w:tc>
      </w:tr>
    </w:tbl>
    <w:p w14:paraId="00649831">
      <w:pPr>
        <w:adjustRightInd w:val="0"/>
        <w:snapToGrid w:val="0"/>
        <w:spacing w:line="360" w:lineRule="auto"/>
        <w:rPr>
          <w:rFonts w:hint="eastAsia" w:ascii="宋体" w:cs="宋体"/>
          <w:b/>
          <w:color w:val="auto"/>
          <w:kern w:val="0"/>
          <w:sz w:val="28"/>
          <w:szCs w:val="28"/>
        </w:rPr>
        <w:sectPr>
          <w:pgSz w:w="11905" w:h="16838"/>
          <w:pgMar w:top="1701" w:right="1531" w:bottom="1701" w:left="1531" w:header="851" w:footer="1077" w:gutter="0"/>
          <w:pgBorders>
            <w:top w:val="none" w:sz="0" w:space="0"/>
            <w:left w:val="none" w:sz="0" w:space="0"/>
            <w:bottom w:val="none" w:sz="0" w:space="0"/>
            <w:right w:val="none" w:sz="0" w:space="0"/>
          </w:pgBorders>
          <w:pgNumType w:fmt="decimal"/>
          <w:cols w:space="0" w:num="1"/>
          <w:rtlGutter w:val="0"/>
          <w:docGrid w:linePitch="312" w:charSpace="0"/>
        </w:sectPr>
      </w:pPr>
    </w:p>
    <w:tbl>
      <w:tblPr>
        <w:tblStyle w:val="30"/>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99"/>
        <w:gridCol w:w="13170"/>
      </w:tblGrid>
      <w:tr w14:paraId="44078B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56" w:hRule="atLeast"/>
          <w:jc w:val="center"/>
        </w:trPr>
        <w:tc>
          <w:tcPr>
            <w:tcW w:w="147" w:type="pct"/>
            <w:noWrap w:val="0"/>
            <w:tcMar>
              <w:left w:w="28" w:type="dxa"/>
              <w:right w:w="28" w:type="dxa"/>
            </w:tcMar>
            <w:vAlign w:val="center"/>
          </w:tcPr>
          <w:p w14:paraId="23578541">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运营</w:t>
            </w:r>
          </w:p>
          <w:p w14:paraId="5ED6038F">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期环</w:t>
            </w:r>
          </w:p>
          <w:p w14:paraId="1DF985DE">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境影</w:t>
            </w:r>
          </w:p>
          <w:p w14:paraId="5313440D">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响和</w:t>
            </w:r>
          </w:p>
          <w:p w14:paraId="7A1F392E">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保护</w:t>
            </w:r>
          </w:p>
          <w:p w14:paraId="6EF41EE8">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措施</w:t>
            </w:r>
          </w:p>
        </w:tc>
        <w:tc>
          <w:tcPr>
            <w:tcW w:w="4852" w:type="pct"/>
            <w:noWrap w:val="0"/>
            <w:vAlign w:val="center"/>
          </w:tcPr>
          <w:p w14:paraId="4FB7743E">
            <w:pPr>
              <w:snapToGrid w:val="0"/>
              <w:spacing w:before="120" w:beforeLines="50"/>
              <w:jc w:val="center"/>
              <w:rPr>
                <w:rFonts w:hint="default"/>
                <w:b/>
                <w:color w:val="auto"/>
                <w:sz w:val="21"/>
                <w:szCs w:val="21"/>
              </w:rPr>
            </w:pPr>
            <w:r>
              <w:rPr>
                <w:rFonts w:hint="default"/>
                <w:b/>
                <w:color w:val="auto"/>
                <w:sz w:val="21"/>
                <w:szCs w:val="21"/>
              </w:rPr>
              <w:t>表</w:t>
            </w:r>
            <w:r>
              <w:rPr>
                <w:rFonts w:hint="default"/>
                <w:b/>
                <w:color w:val="auto"/>
                <w:sz w:val="21"/>
                <w:szCs w:val="21"/>
                <w:lang w:val="en-US" w:eastAsia="zh-CN"/>
              </w:rPr>
              <w:t>4</w:t>
            </w:r>
            <w:r>
              <w:rPr>
                <w:rFonts w:hint="default"/>
                <w:b/>
                <w:color w:val="auto"/>
                <w:sz w:val="21"/>
                <w:szCs w:val="21"/>
              </w:rPr>
              <w:t>-</w:t>
            </w:r>
            <w:r>
              <w:rPr>
                <w:rFonts w:hint="eastAsia"/>
                <w:b/>
                <w:color w:val="auto"/>
                <w:sz w:val="21"/>
                <w:szCs w:val="21"/>
                <w:lang w:val="en-US" w:eastAsia="zh-CN"/>
              </w:rPr>
              <w:t>8</w:t>
            </w:r>
            <w:r>
              <w:rPr>
                <w:rFonts w:hint="default"/>
                <w:b/>
                <w:color w:val="auto"/>
                <w:sz w:val="21"/>
                <w:szCs w:val="21"/>
              </w:rPr>
              <w:t xml:space="preserve"> 项目噪声产生及治理情况一览表</w:t>
            </w:r>
            <w:r>
              <w:rPr>
                <w:rFonts w:hint="default"/>
                <w:b/>
                <w:color w:val="auto"/>
                <w:sz w:val="21"/>
                <w:szCs w:val="21"/>
              </w:rPr>
              <w:tab/>
            </w:r>
            <w:r>
              <w:rPr>
                <w:rFonts w:hint="default"/>
                <w:b/>
                <w:color w:val="auto"/>
                <w:sz w:val="21"/>
                <w:szCs w:val="21"/>
              </w:rPr>
              <w:t>单位：dB（A）</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3"/>
              <w:gridCol w:w="604"/>
              <w:gridCol w:w="1180"/>
              <w:gridCol w:w="1532"/>
              <w:gridCol w:w="1197"/>
              <w:gridCol w:w="1385"/>
              <w:gridCol w:w="580"/>
              <w:gridCol w:w="531"/>
              <w:gridCol w:w="675"/>
              <w:gridCol w:w="889"/>
              <w:gridCol w:w="1069"/>
              <w:gridCol w:w="544"/>
              <w:gridCol w:w="868"/>
              <w:gridCol w:w="701"/>
              <w:gridCol w:w="746"/>
            </w:tblGrid>
            <w:tr w14:paraId="6C60D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443" w:type="dxa"/>
                  <w:vMerge w:val="restart"/>
                  <w:noWrap w:val="0"/>
                  <w:vAlign w:val="center"/>
                </w:tcPr>
                <w:p w14:paraId="085A1495">
                  <w:pPr>
                    <w:pStyle w:val="25"/>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序号</w:t>
                  </w:r>
                </w:p>
              </w:tc>
              <w:tc>
                <w:tcPr>
                  <w:tcW w:w="604" w:type="dxa"/>
                  <w:vMerge w:val="restart"/>
                  <w:noWrap w:val="0"/>
                  <w:vAlign w:val="center"/>
                </w:tcPr>
                <w:p w14:paraId="4F14D2D1">
                  <w:pPr>
                    <w:pStyle w:val="25"/>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建筑物名称</w:t>
                  </w:r>
                </w:p>
              </w:tc>
              <w:tc>
                <w:tcPr>
                  <w:tcW w:w="1180" w:type="dxa"/>
                  <w:vMerge w:val="restart"/>
                  <w:noWrap w:val="0"/>
                  <w:vAlign w:val="center"/>
                </w:tcPr>
                <w:p w14:paraId="3EC54731">
                  <w:pPr>
                    <w:pStyle w:val="25"/>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声</w:t>
                  </w:r>
                  <w:r>
                    <w:rPr>
                      <w:rFonts w:hint="default" w:ascii="Times New Roman" w:hAnsi="Times New Roman" w:eastAsia="宋体" w:cs="Times New Roman"/>
                      <w:bCs/>
                      <w:color w:val="auto"/>
                      <w:sz w:val="21"/>
                      <w:szCs w:val="21"/>
                      <w:highlight w:val="none"/>
                    </w:rPr>
                    <w:t>源名称</w:t>
                  </w:r>
                </w:p>
              </w:tc>
              <w:tc>
                <w:tcPr>
                  <w:tcW w:w="1532" w:type="dxa"/>
                  <w:vMerge w:val="restart"/>
                  <w:noWrap w:val="0"/>
                  <w:vAlign w:val="center"/>
                </w:tcPr>
                <w:p w14:paraId="7223DA31">
                  <w:pPr>
                    <w:pStyle w:val="25"/>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型号</w:t>
                  </w:r>
                </w:p>
              </w:tc>
              <w:tc>
                <w:tcPr>
                  <w:tcW w:w="1197" w:type="dxa"/>
                  <w:vMerge w:val="restart"/>
                  <w:noWrap w:val="0"/>
                  <w:vAlign w:val="center"/>
                </w:tcPr>
                <w:p w14:paraId="1D5C2824">
                  <w:pPr>
                    <w:pStyle w:val="25"/>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声压级/距声源距离（dB</w:t>
                  </w:r>
                  <w:r>
                    <w:rPr>
                      <w:rFonts w:hint="eastAsia"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A</w:t>
                  </w:r>
                  <w:r>
                    <w:rPr>
                      <w:rFonts w:hint="eastAsia"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m）</w:t>
                  </w:r>
                </w:p>
              </w:tc>
              <w:tc>
                <w:tcPr>
                  <w:tcW w:w="1385" w:type="dxa"/>
                  <w:vMerge w:val="restart"/>
                  <w:noWrap w:val="0"/>
                  <w:vAlign w:val="center"/>
                </w:tcPr>
                <w:p w14:paraId="33402991">
                  <w:pPr>
                    <w:pStyle w:val="25"/>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声</w:t>
                  </w:r>
                  <w:r>
                    <w:rPr>
                      <w:rFonts w:hint="default" w:ascii="Times New Roman" w:hAnsi="Times New Roman" w:eastAsia="宋体" w:cs="Times New Roman"/>
                      <w:bCs/>
                      <w:color w:val="auto"/>
                      <w:sz w:val="21"/>
                      <w:szCs w:val="21"/>
                      <w:highlight w:val="none"/>
                    </w:rPr>
                    <w:t>源控制措施</w:t>
                  </w:r>
                </w:p>
              </w:tc>
              <w:tc>
                <w:tcPr>
                  <w:tcW w:w="1786" w:type="dxa"/>
                  <w:gridSpan w:val="3"/>
                  <w:noWrap w:val="0"/>
                  <w:vAlign w:val="center"/>
                </w:tcPr>
                <w:p w14:paraId="402D52B0">
                  <w:pPr>
                    <w:pStyle w:val="25"/>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空间相对位置</w:t>
                  </w:r>
                </w:p>
              </w:tc>
              <w:tc>
                <w:tcPr>
                  <w:tcW w:w="889" w:type="dxa"/>
                  <w:vMerge w:val="restart"/>
                  <w:noWrap w:val="0"/>
                  <w:vAlign w:val="center"/>
                </w:tcPr>
                <w:p w14:paraId="206196FA">
                  <w:pPr>
                    <w:pStyle w:val="25"/>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距室内边界距离/m</w:t>
                  </w:r>
                </w:p>
              </w:tc>
              <w:tc>
                <w:tcPr>
                  <w:tcW w:w="1069" w:type="dxa"/>
                  <w:vMerge w:val="restart"/>
                  <w:noWrap w:val="0"/>
                  <w:vAlign w:val="center"/>
                </w:tcPr>
                <w:p w14:paraId="0EC34017">
                  <w:pPr>
                    <w:pStyle w:val="25"/>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室内边界声级/dB（A）</w:t>
                  </w:r>
                </w:p>
              </w:tc>
              <w:tc>
                <w:tcPr>
                  <w:tcW w:w="544" w:type="dxa"/>
                  <w:vMerge w:val="restart"/>
                  <w:noWrap w:val="0"/>
                  <w:vAlign w:val="center"/>
                </w:tcPr>
                <w:p w14:paraId="7A0D7BEF">
                  <w:pPr>
                    <w:pStyle w:val="25"/>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运行时段</w:t>
                  </w:r>
                </w:p>
              </w:tc>
              <w:tc>
                <w:tcPr>
                  <w:tcW w:w="868" w:type="dxa"/>
                  <w:vMerge w:val="restart"/>
                  <w:noWrap w:val="0"/>
                  <w:vAlign w:val="center"/>
                </w:tcPr>
                <w:p w14:paraId="60BD761F">
                  <w:pPr>
                    <w:pStyle w:val="25"/>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建筑物插入损失/dB（A）</w:t>
                  </w:r>
                </w:p>
              </w:tc>
              <w:tc>
                <w:tcPr>
                  <w:tcW w:w="1447" w:type="dxa"/>
                  <w:gridSpan w:val="2"/>
                  <w:noWrap w:val="0"/>
                  <w:vAlign w:val="center"/>
                </w:tcPr>
                <w:p w14:paraId="2A0C6B7D">
                  <w:pPr>
                    <w:pStyle w:val="25"/>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建筑物外噪声</w:t>
                  </w:r>
                </w:p>
              </w:tc>
            </w:tr>
            <w:tr w14:paraId="5418E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443" w:type="dxa"/>
                  <w:vMerge w:val="continue"/>
                  <w:noWrap w:val="0"/>
                  <w:vAlign w:val="center"/>
                </w:tcPr>
                <w:p w14:paraId="7FE2B589">
                  <w:pPr>
                    <w:pStyle w:val="25"/>
                    <w:adjustRightInd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p>
              </w:tc>
              <w:tc>
                <w:tcPr>
                  <w:tcW w:w="604" w:type="dxa"/>
                  <w:vMerge w:val="continue"/>
                  <w:noWrap w:val="0"/>
                  <w:vAlign w:val="center"/>
                </w:tcPr>
                <w:p w14:paraId="7CC74751">
                  <w:pPr>
                    <w:pStyle w:val="25"/>
                    <w:adjustRightInd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p>
              </w:tc>
              <w:tc>
                <w:tcPr>
                  <w:tcW w:w="1180" w:type="dxa"/>
                  <w:vMerge w:val="continue"/>
                  <w:noWrap w:val="0"/>
                  <w:vAlign w:val="center"/>
                </w:tcPr>
                <w:p w14:paraId="23ED5C0C">
                  <w:pPr>
                    <w:pStyle w:val="25"/>
                    <w:adjustRightInd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p>
              </w:tc>
              <w:tc>
                <w:tcPr>
                  <w:tcW w:w="1532" w:type="dxa"/>
                  <w:vMerge w:val="continue"/>
                  <w:noWrap w:val="0"/>
                  <w:vAlign w:val="center"/>
                </w:tcPr>
                <w:p w14:paraId="0121EA46">
                  <w:pPr>
                    <w:pStyle w:val="25"/>
                    <w:adjustRightInd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p>
              </w:tc>
              <w:tc>
                <w:tcPr>
                  <w:tcW w:w="1197" w:type="dxa"/>
                  <w:vMerge w:val="continue"/>
                  <w:noWrap w:val="0"/>
                  <w:vAlign w:val="center"/>
                </w:tcPr>
                <w:p w14:paraId="7E720807">
                  <w:pPr>
                    <w:pStyle w:val="25"/>
                    <w:adjustRightInd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p>
              </w:tc>
              <w:tc>
                <w:tcPr>
                  <w:tcW w:w="1385" w:type="dxa"/>
                  <w:vMerge w:val="continue"/>
                  <w:noWrap w:val="0"/>
                  <w:vAlign w:val="center"/>
                </w:tcPr>
                <w:p w14:paraId="541748D7">
                  <w:pPr>
                    <w:pStyle w:val="25"/>
                    <w:adjustRightInd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p>
              </w:tc>
              <w:tc>
                <w:tcPr>
                  <w:tcW w:w="580" w:type="dxa"/>
                  <w:noWrap w:val="0"/>
                  <w:vAlign w:val="center"/>
                </w:tcPr>
                <w:p w14:paraId="2C89AD48">
                  <w:pPr>
                    <w:pStyle w:val="25"/>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X</w:t>
                  </w:r>
                </w:p>
              </w:tc>
              <w:tc>
                <w:tcPr>
                  <w:tcW w:w="531" w:type="dxa"/>
                  <w:noWrap w:val="0"/>
                  <w:vAlign w:val="center"/>
                </w:tcPr>
                <w:p w14:paraId="0E4210A3">
                  <w:pPr>
                    <w:pStyle w:val="25"/>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Y</w:t>
                  </w:r>
                </w:p>
              </w:tc>
              <w:tc>
                <w:tcPr>
                  <w:tcW w:w="675" w:type="dxa"/>
                  <w:noWrap w:val="0"/>
                  <w:vAlign w:val="center"/>
                </w:tcPr>
                <w:p w14:paraId="7105B26A">
                  <w:pPr>
                    <w:pStyle w:val="25"/>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Z</w:t>
                  </w:r>
                </w:p>
              </w:tc>
              <w:tc>
                <w:tcPr>
                  <w:tcW w:w="889" w:type="dxa"/>
                  <w:vMerge w:val="continue"/>
                  <w:noWrap w:val="0"/>
                  <w:vAlign w:val="center"/>
                </w:tcPr>
                <w:p w14:paraId="1F8B4952">
                  <w:pPr>
                    <w:pStyle w:val="25"/>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rPr>
                  </w:pPr>
                </w:p>
              </w:tc>
              <w:tc>
                <w:tcPr>
                  <w:tcW w:w="1069" w:type="dxa"/>
                  <w:vMerge w:val="continue"/>
                  <w:noWrap w:val="0"/>
                  <w:vAlign w:val="center"/>
                </w:tcPr>
                <w:p w14:paraId="158A5ABA">
                  <w:pPr>
                    <w:pStyle w:val="25"/>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rPr>
                  </w:pPr>
                </w:p>
              </w:tc>
              <w:tc>
                <w:tcPr>
                  <w:tcW w:w="544" w:type="dxa"/>
                  <w:vMerge w:val="continue"/>
                  <w:noWrap w:val="0"/>
                  <w:vAlign w:val="center"/>
                </w:tcPr>
                <w:p w14:paraId="09CD9B35">
                  <w:pPr>
                    <w:pStyle w:val="25"/>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rPr>
                  </w:pPr>
                </w:p>
              </w:tc>
              <w:tc>
                <w:tcPr>
                  <w:tcW w:w="868" w:type="dxa"/>
                  <w:vMerge w:val="continue"/>
                  <w:noWrap w:val="0"/>
                  <w:vAlign w:val="center"/>
                </w:tcPr>
                <w:p w14:paraId="4119E40A">
                  <w:pPr>
                    <w:pStyle w:val="25"/>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rPr>
                  </w:pPr>
                </w:p>
              </w:tc>
              <w:tc>
                <w:tcPr>
                  <w:tcW w:w="701" w:type="dxa"/>
                  <w:noWrap w:val="0"/>
                  <w:vAlign w:val="center"/>
                </w:tcPr>
                <w:p w14:paraId="25A9F20E">
                  <w:pPr>
                    <w:pStyle w:val="25"/>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rPr>
                    <w:t>声压级/dB（A</w:t>
                  </w:r>
                  <w:r>
                    <w:rPr>
                      <w:rFonts w:hint="default" w:ascii="Times New Roman" w:hAnsi="Times New Roman" w:eastAsia="宋体" w:cs="Times New Roman"/>
                      <w:bCs/>
                      <w:color w:val="auto"/>
                      <w:sz w:val="21"/>
                      <w:szCs w:val="21"/>
                      <w:highlight w:val="none"/>
                      <w:lang w:eastAsia="zh-CN"/>
                    </w:rPr>
                    <w:t>）</w:t>
                  </w:r>
                </w:p>
              </w:tc>
              <w:tc>
                <w:tcPr>
                  <w:tcW w:w="746" w:type="dxa"/>
                  <w:noWrap w:val="0"/>
                  <w:vAlign w:val="center"/>
                </w:tcPr>
                <w:p w14:paraId="40CAFDF5">
                  <w:pPr>
                    <w:pStyle w:val="25"/>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建筑物外距离</w:t>
                  </w:r>
                </w:p>
              </w:tc>
            </w:tr>
            <w:tr w14:paraId="4394E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3" w:type="dxa"/>
                  <w:noWrap w:val="0"/>
                  <w:vAlign w:val="center"/>
                </w:tcPr>
                <w:p w14:paraId="2B7F5E5F">
                  <w:pPr>
                    <w:pStyle w:val="25"/>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c>
                <w:tcPr>
                  <w:tcW w:w="604" w:type="dxa"/>
                  <w:vMerge w:val="restart"/>
                  <w:noWrap w:val="0"/>
                  <w:vAlign w:val="center"/>
                </w:tcPr>
                <w:p w14:paraId="0B9488FA">
                  <w:pPr>
                    <w:pStyle w:val="25"/>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lang w:eastAsia="zh-CN"/>
                    </w:rPr>
                  </w:pPr>
                  <w:r>
                    <w:rPr>
                      <w:rFonts w:hint="eastAsia" w:ascii="Times New Roman" w:hAnsi="Times New Roman" w:eastAsia="宋体" w:cs="Times New Roman"/>
                      <w:bCs/>
                      <w:color w:val="auto"/>
                      <w:sz w:val="21"/>
                      <w:szCs w:val="21"/>
                      <w:highlight w:val="none"/>
                      <w:lang w:val="en-US" w:eastAsia="zh-CN"/>
                    </w:rPr>
                    <w:t>组装</w:t>
                  </w:r>
                  <w:r>
                    <w:rPr>
                      <w:rFonts w:hint="default" w:ascii="Times New Roman" w:hAnsi="Times New Roman" w:eastAsia="宋体" w:cs="Times New Roman"/>
                      <w:bCs/>
                      <w:color w:val="auto"/>
                      <w:sz w:val="21"/>
                      <w:szCs w:val="21"/>
                      <w:highlight w:val="none"/>
                    </w:rPr>
                    <w:t>车间</w:t>
                  </w:r>
                </w:p>
              </w:tc>
              <w:tc>
                <w:tcPr>
                  <w:tcW w:w="1180" w:type="dxa"/>
                  <w:noWrap w:val="0"/>
                  <w:vAlign w:val="center"/>
                </w:tcPr>
                <w:p w14:paraId="0814EABE">
                  <w:pPr>
                    <w:autoSpaceDE/>
                    <w:autoSpaceDN/>
                    <w:adjustRightInd w:val="0"/>
                    <w:snapToGrid w:val="0"/>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空压机</w:t>
                  </w:r>
                  <w:r>
                    <w:rPr>
                      <w:rFonts w:hint="eastAsia" w:ascii="Times New Roman" w:hAnsi="Times New Roman" w:eastAsia="宋体" w:cs="Times New Roman"/>
                      <w:color w:val="auto"/>
                      <w:sz w:val="21"/>
                      <w:szCs w:val="21"/>
                      <w:highlight w:val="none"/>
                      <w:lang w:val="en-US" w:eastAsia="zh-CN"/>
                    </w:rPr>
                    <w:t>1</w:t>
                  </w:r>
                </w:p>
              </w:tc>
              <w:tc>
                <w:tcPr>
                  <w:tcW w:w="1532" w:type="dxa"/>
                  <w:noWrap w:val="0"/>
                  <w:vAlign w:val="center"/>
                </w:tcPr>
                <w:p w14:paraId="73C808A6">
                  <w:pPr>
                    <w:pStyle w:val="25"/>
                    <w:adjustRightInd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w:t>
                  </w:r>
                </w:p>
              </w:tc>
              <w:tc>
                <w:tcPr>
                  <w:tcW w:w="1197" w:type="dxa"/>
                  <w:noWrap w:val="0"/>
                  <w:vAlign w:val="center"/>
                </w:tcPr>
                <w:p w14:paraId="78330D0D">
                  <w:pPr>
                    <w:autoSpaceDE/>
                    <w:autoSpaceDN/>
                    <w:adjustRightInd w:val="0"/>
                    <w:snapToGrid w:val="0"/>
                    <w:spacing w:line="240" w:lineRule="auto"/>
                    <w:ind w:firstLine="0" w:firstLineChars="0"/>
                    <w:jc w:val="center"/>
                    <w:rPr>
                      <w:rFonts w:hint="default" w:ascii="Times New Roman" w:hAnsi="Times New Roman" w:eastAsia="宋体" w:cs="Times New Roman"/>
                      <w:color w:val="auto"/>
                      <w:spacing w:val="7"/>
                      <w:sz w:val="21"/>
                      <w:szCs w:val="21"/>
                      <w:lang w:val="en-US" w:eastAsia="zh-CN"/>
                    </w:rPr>
                  </w:pPr>
                  <w:r>
                    <w:rPr>
                      <w:rFonts w:hint="default" w:ascii="Times New Roman" w:hAnsi="Times New Roman" w:eastAsia="宋体" w:cs="Times New Roman"/>
                      <w:color w:val="auto"/>
                      <w:spacing w:val="7"/>
                      <w:sz w:val="21"/>
                      <w:szCs w:val="21"/>
                      <w:lang w:val="en-US" w:eastAsia="zh-CN"/>
                    </w:rPr>
                    <w:t>9</w:t>
                  </w:r>
                  <w:r>
                    <w:rPr>
                      <w:rFonts w:hint="eastAsia" w:ascii="Times New Roman" w:hAnsi="Times New Roman" w:eastAsia="宋体" w:cs="Times New Roman"/>
                      <w:color w:val="auto"/>
                      <w:spacing w:val="7"/>
                      <w:sz w:val="21"/>
                      <w:szCs w:val="21"/>
                      <w:lang w:val="en-US" w:eastAsia="zh-CN"/>
                    </w:rPr>
                    <w:t>5</w:t>
                  </w:r>
                  <w:r>
                    <w:rPr>
                      <w:rFonts w:hint="default" w:ascii="Times New Roman" w:hAnsi="Times New Roman" w:eastAsia="宋体" w:cs="Times New Roman"/>
                      <w:color w:val="auto"/>
                      <w:spacing w:val="7"/>
                      <w:sz w:val="21"/>
                      <w:szCs w:val="21"/>
                      <w:lang w:val="en-US" w:eastAsia="zh-CN"/>
                    </w:rPr>
                    <w:t>/1</w:t>
                  </w:r>
                </w:p>
              </w:tc>
              <w:tc>
                <w:tcPr>
                  <w:tcW w:w="1385" w:type="dxa"/>
                  <w:vMerge w:val="restart"/>
                  <w:noWrap w:val="0"/>
                  <w:vAlign w:val="center"/>
                </w:tcPr>
                <w:p w14:paraId="0D15A958">
                  <w:pPr>
                    <w:pStyle w:val="25"/>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 w:val="0"/>
                      <w:bCs w:val="0"/>
                      <w:color w:val="auto"/>
                      <w:sz w:val="21"/>
                      <w:szCs w:val="21"/>
                      <w:u w:val="none"/>
                    </w:rPr>
                    <w:t>选用低噪声设备，基础安装</w:t>
                  </w:r>
                  <w:r>
                    <w:rPr>
                      <w:rFonts w:hint="default" w:ascii="Times New Roman" w:hAnsi="Times New Roman" w:eastAsia="宋体" w:cs="Times New Roman"/>
                      <w:b w:val="0"/>
                      <w:bCs w:val="0"/>
                      <w:color w:val="auto"/>
                      <w:sz w:val="21"/>
                      <w:szCs w:val="21"/>
                      <w:u w:val="none"/>
                      <w:lang w:eastAsia="zh-CN"/>
                    </w:rPr>
                    <w:t>减震</w:t>
                  </w:r>
                  <w:r>
                    <w:rPr>
                      <w:rFonts w:hint="default" w:ascii="Times New Roman" w:hAnsi="Times New Roman" w:eastAsia="宋体" w:cs="Times New Roman"/>
                      <w:b w:val="0"/>
                      <w:bCs w:val="0"/>
                      <w:color w:val="auto"/>
                      <w:sz w:val="21"/>
                      <w:szCs w:val="21"/>
                      <w:u w:val="none"/>
                    </w:rPr>
                    <w:t>垫，</w:t>
                  </w:r>
                  <w:r>
                    <w:rPr>
                      <w:rFonts w:hint="default" w:ascii="Times New Roman" w:hAnsi="Times New Roman" w:eastAsia="宋体" w:cs="Times New Roman"/>
                      <w:color w:val="auto"/>
                      <w:spacing w:val="7"/>
                      <w:sz w:val="21"/>
                      <w:szCs w:val="21"/>
                    </w:rPr>
                    <w:t>软接管道</w:t>
                  </w:r>
                  <w:r>
                    <w:rPr>
                      <w:rFonts w:hint="default" w:ascii="Times New Roman" w:hAnsi="Times New Roman" w:eastAsia="宋体" w:cs="Times New Roman"/>
                      <w:color w:val="auto"/>
                      <w:spacing w:val="7"/>
                      <w:sz w:val="21"/>
                      <w:szCs w:val="21"/>
                      <w:lang w:eastAsia="zh-CN"/>
                    </w:rPr>
                    <w:t>，</w:t>
                  </w:r>
                  <w:r>
                    <w:rPr>
                      <w:rFonts w:hint="default" w:ascii="Times New Roman" w:hAnsi="Times New Roman" w:eastAsia="宋体" w:cs="Times New Roman"/>
                      <w:color w:val="auto"/>
                      <w:spacing w:val="16"/>
                      <w:sz w:val="21"/>
                      <w:szCs w:val="21"/>
                    </w:rPr>
                    <w:t>加强建筑物封</w:t>
                  </w:r>
                  <w:r>
                    <w:rPr>
                      <w:rFonts w:hint="default" w:ascii="Times New Roman" w:hAnsi="Times New Roman" w:eastAsia="宋体" w:cs="Times New Roman"/>
                      <w:color w:val="auto"/>
                      <w:spacing w:val="4"/>
                      <w:sz w:val="21"/>
                      <w:szCs w:val="21"/>
                    </w:rPr>
                    <w:t>闭</w:t>
                  </w:r>
                  <w:r>
                    <w:rPr>
                      <w:rFonts w:hint="default" w:ascii="Times New Roman" w:hAnsi="Times New Roman" w:eastAsia="宋体" w:cs="Times New Roman"/>
                      <w:b w:val="0"/>
                      <w:bCs w:val="0"/>
                      <w:color w:val="auto"/>
                      <w:sz w:val="21"/>
                      <w:szCs w:val="21"/>
                      <w:u w:val="none"/>
                    </w:rPr>
                    <w:t>。</w:t>
                  </w:r>
                </w:p>
              </w:tc>
              <w:tc>
                <w:tcPr>
                  <w:tcW w:w="580" w:type="dxa"/>
                  <w:noWrap w:val="0"/>
                  <w:vAlign w:val="center"/>
                </w:tcPr>
                <w:p w14:paraId="61D17AD1">
                  <w:pPr>
                    <w:pStyle w:val="25"/>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91</w:t>
                  </w:r>
                </w:p>
              </w:tc>
              <w:tc>
                <w:tcPr>
                  <w:tcW w:w="531" w:type="dxa"/>
                  <w:noWrap w:val="0"/>
                  <w:vAlign w:val="center"/>
                </w:tcPr>
                <w:p w14:paraId="2354D6B1">
                  <w:pPr>
                    <w:pStyle w:val="25"/>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32</w:t>
                  </w:r>
                </w:p>
              </w:tc>
              <w:tc>
                <w:tcPr>
                  <w:tcW w:w="675" w:type="dxa"/>
                  <w:noWrap w:val="0"/>
                  <w:vAlign w:val="center"/>
                </w:tcPr>
                <w:p w14:paraId="7B98F9B0">
                  <w:pPr>
                    <w:pStyle w:val="25"/>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c>
                <w:tcPr>
                  <w:tcW w:w="889" w:type="dxa"/>
                  <w:noWrap w:val="0"/>
                  <w:vAlign w:val="center"/>
                </w:tcPr>
                <w:p w14:paraId="7653584D">
                  <w:pPr>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3</w:t>
                  </w:r>
                  <w:r>
                    <w:rPr>
                      <w:rFonts w:hint="eastAsia" w:cs="Times New Roman"/>
                      <w:bCs/>
                      <w:color w:val="auto"/>
                      <w:sz w:val="21"/>
                      <w:szCs w:val="21"/>
                      <w:highlight w:val="none"/>
                      <w:lang w:val="en-US" w:eastAsia="zh-CN"/>
                    </w:rPr>
                    <w:t>5</w:t>
                  </w:r>
                </w:p>
              </w:tc>
              <w:tc>
                <w:tcPr>
                  <w:tcW w:w="1069" w:type="dxa"/>
                  <w:noWrap w:val="0"/>
                  <w:vAlign w:val="center"/>
                </w:tcPr>
                <w:p w14:paraId="16917129">
                  <w:pP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65.12</w:t>
                  </w:r>
                </w:p>
              </w:tc>
              <w:tc>
                <w:tcPr>
                  <w:tcW w:w="544" w:type="dxa"/>
                  <w:vMerge w:val="restart"/>
                  <w:noWrap w:val="0"/>
                  <w:vAlign w:val="center"/>
                </w:tcPr>
                <w:p w14:paraId="3455D62D">
                  <w:pPr>
                    <w:pStyle w:val="25"/>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昼间</w:t>
                  </w:r>
                </w:p>
              </w:tc>
              <w:tc>
                <w:tcPr>
                  <w:tcW w:w="868" w:type="dxa"/>
                  <w:vMerge w:val="restart"/>
                  <w:noWrap w:val="0"/>
                  <w:vAlign w:val="center"/>
                </w:tcPr>
                <w:p w14:paraId="0CBB8455">
                  <w:pPr>
                    <w:pStyle w:val="25"/>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2</w:t>
                  </w:r>
                </w:p>
              </w:tc>
              <w:tc>
                <w:tcPr>
                  <w:tcW w:w="701" w:type="dxa"/>
                  <w:noWrap w:val="0"/>
                  <w:vAlign w:val="center"/>
                </w:tcPr>
                <w:p w14:paraId="14D0791D">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63.12</w:t>
                  </w:r>
                </w:p>
              </w:tc>
              <w:tc>
                <w:tcPr>
                  <w:tcW w:w="746" w:type="dxa"/>
                  <w:vMerge w:val="restart"/>
                  <w:noWrap w:val="0"/>
                  <w:vAlign w:val="center"/>
                </w:tcPr>
                <w:p w14:paraId="21296F1B">
                  <w:pPr>
                    <w:pStyle w:val="25"/>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1m</w:t>
                  </w:r>
                </w:p>
              </w:tc>
            </w:tr>
            <w:tr w14:paraId="622A7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3" w:type="dxa"/>
                  <w:noWrap w:val="0"/>
                  <w:vAlign w:val="center"/>
                </w:tcPr>
                <w:p w14:paraId="7BFE49EE">
                  <w:pPr>
                    <w:pStyle w:val="25"/>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val="en-US" w:eastAsia="zh-CN"/>
                    </w:rPr>
                    <w:t>2</w:t>
                  </w:r>
                </w:p>
              </w:tc>
              <w:tc>
                <w:tcPr>
                  <w:tcW w:w="604" w:type="dxa"/>
                  <w:vMerge w:val="continue"/>
                  <w:noWrap w:val="0"/>
                  <w:vAlign w:val="center"/>
                </w:tcPr>
                <w:p w14:paraId="2D9C17D6">
                  <w:pPr>
                    <w:pStyle w:val="25"/>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rPr>
                  </w:pPr>
                </w:p>
              </w:tc>
              <w:tc>
                <w:tcPr>
                  <w:tcW w:w="1180" w:type="dxa"/>
                  <w:noWrap w:val="0"/>
                  <w:vAlign w:val="center"/>
                </w:tcPr>
                <w:p w14:paraId="582CE2C8">
                  <w:pPr>
                    <w:autoSpaceDE/>
                    <w:autoSpaceDN/>
                    <w:adjustRightInd w:val="0"/>
                    <w:snapToGrid w:val="0"/>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rPr>
                    <w:t>空压机</w:t>
                  </w:r>
                  <w:r>
                    <w:rPr>
                      <w:rFonts w:hint="eastAsia" w:ascii="Times New Roman" w:hAnsi="Times New Roman" w:eastAsia="宋体" w:cs="Times New Roman"/>
                      <w:color w:val="auto"/>
                      <w:sz w:val="21"/>
                      <w:szCs w:val="21"/>
                      <w:highlight w:val="none"/>
                      <w:lang w:val="en-US" w:eastAsia="zh-CN"/>
                    </w:rPr>
                    <w:t>2</w:t>
                  </w:r>
                </w:p>
              </w:tc>
              <w:tc>
                <w:tcPr>
                  <w:tcW w:w="1532" w:type="dxa"/>
                  <w:noWrap w:val="0"/>
                  <w:vAlign w:val="center"/>
                </w:tcPr>
                <w:p w14:paraId="141D9207">
                  <w:pPr>
                    <w:pStyle w:val="25"/>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w:t>
                  </w:r>
                </w:p>
              </w:tc>
              <w:tc>
                <w:tcPr>
                  <w:tcW w:w="1197" w:type="dxa"/>
                  <w:noWrap w:val="0"/>
                  <w:vAlign w:val="center"/>
                </w:tcPr>
                <w:p w14:paraId="5A098526">
                  <w:pPr>
                    <w:autoSpaceDE/>
                    <w:autoSpaceDN/>
                    <w:adjustRightInd w:val="0"/>
                    <w:snapToGrid w:val="0"/>
                    <w:spacing w:line="240" w:lineRule="auto"/>
                    <w:ind w:firstLine="0" w:firstLineChars="0"/>
                    <w:jc w:val="center"/>
                    <w:rPr>
                      <w:rFonts w:hint="default" w:ascii="Times New Roman" w:hAnsi="Times New Roman" w:eastAsia="宋体" w:cs="Times New Roman"/>
                      <w:color w:val="auto"/>
                      <w:spacing w:val="7"/>
                      <w:sz w:val="21"/>
                      <w:szCs w:val="21"/>
                    </w:rPr>
                  </w:pPr>
                  <w:r>
                    <w:rPr>
                      <w:rFonts w:hint="default" w:ascii="Times New Roman" w:hAnsi="Times New Roman" w:eastAsia="宋体" w:cs="Times New Roman"/>
                      <w:color w:val="auto"/>
                      <w:spacing w:val="7"/>
                      <w:sz w:val="21"/>
                      <w:szCs w:val="21"/>
                      <w:lang w:val="en-US" w:eastAsia="zh-CN"/>
                    </w:rPr>
                    <w:t>9</w:t>
                  </w:r>
                  <w:r>
                    <w:rPr>
                      <w:rFonts w:hint="eastAsia" w:ascii="Times New Roman" w:hAnsi="Times New Roman" w:eastAsia="宋体" w:cs="Times New Roman"/>
                      <w:color w:val="auto"/>
                      <w:spacing w:val="7"/>
                      <w:sz w:val="21"/>
                      <w:szCs w:val="21"/>
                      <w:lang w:val="en-US" w:eastAsia="zh-CN"/>
                    </w:rPr>
                    <w:t>5</w:t>
                  </w:r>
                  <w:r>
                    <w:rPr>
                      <w:rFonts w:hint="default" w:ascii="Times New Roman" w:hAnsi="Times New Roman" w:eastAsia="宋体" w:cs="Times New Roman"/>
                      <w:color w:val="auto"/>
                      <w:spacing w:val="7"/>
                      <w:sz w:val="21"/>
                      <w:szCs w:val="21"/>
                      <w:lang w:val="en-US" w:eastAsia="zh-CN"/>
                    </w:rPr>
                    <w:t>/1</w:t>
                  </w:r>
                </w:p>
              </w:tc>
              <w:tc>
                <w:tcPr>
                  <w:tcW w:w="1385" w:type="dxa"/>
                  <w:vMerge w:val="continue"/>
                  <w:noWrap w:val="0"/>
                  <w:vAlign w:val="center"/>
                </w:tcPr>
                <w:p w14:paraId="66E17A97">
                  <w:pPr>
                    <w:pStyle w:val="25"/>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rPr>
                  </w:pPr>
                </w:p>
              </w:tc>
              <w:tc>
                <w:tcPr>
                  <w:tcW w:w="580" w:type="dxa"/>
                  <w:noWrap w:val="0"/>
                  <w:vAlign w:val="center"/>
                </w:tcPr>
                <w:p w14:paraId="19754CD4">
                  <w:pPr>
                    <w:pStyle w:val="25"/>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89</w:t>
                  </w:r>
                </w:p>
              </w:tc>
              <w:tc>
                <w:tcPr>
                  <w:tcW w:w="531" w:type="dxa"/>
                  <w:noWrap w:val="0"/>
                  <w:vAlign w:val="center"/>
                </w:tcPr>
                <w:p w14:paraId="0EE1E6A3">
                  <w:pPr>
                    <w:pStyle w:val="25"/>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lang w:val="en-US"/>
                    </w:rPr>
                  </w:pPr>
                  <w:r>
                    <w:rPr>
                      <w:rFonts w:hint="eastAsia" w:ascii="Times New Roman" w:hAnsi="Times New Roman" w:cs="Times New Roman"/>
                      <w:bCs/>
                      <w:color w:val="auto"/>
                      <w:sz w:val="21"/>
                      <w:szCs w:val="21"/>
                      <w:highlight w:val="none"/>
                      <w:lang w:val="en-US" w:eastAsia="zh-CN"/>
                    </w:rPr>
                    <w:t>35</w:t>
                  </w:r>
                </w:p>
              </w:tc>
              <w:tc>
                <w:tcPr>
                  <w:tcW w:w="675" w:type="dxa"/>
                  <w:noWrap w:val="0"/>
                  <w:vAlign w:val="center"/>
                </w:tcPr>
                <w:p w14:paraId="3D2F6DB0">
                  <w:pPr>
                    <w:pStyle w:val="25"/>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c>
                <w:tcPr>
                  <w:tcW w:w="889" w:type="dxa"/>
                  <w:noWrap w:val="0"/>
                  <w:vAlign w:val="center"/>
                </w:tcPr>
                <w:p w14:paraId="48D4D410">
                  <w:pPr>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40</w:t>
                  </w:r>
                </w:p>
              </w:tc>
              <w:tc>
                <w:tcPr>
                  <w:tcW w:w="1069" w:type="dxa"/>
                  <w:noWrap w:val="0"/>
                  <w:vAlign w:val="center"/>
                </w:tcPr>
                <w:p w14:paraId="56A4C82C">
                  <w:pP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63.98</w:t>
                  </w:r>
                </w:p>
              </w:tc>
              <w:tc>
                <w:tcPr>
                  <w:tcW w:w="544" w:type="dxa"/>
                  <w:vMerge w:val="continue"/>
                  <w:noWrap w:val="0"/>
                  <w:vAlign w:val="center"/>
                </w:tcPr>
                <w:p w14:paraId="53685C00">
                  <w:pPr>
                    <w:pStyle w:val="25"/>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rPr>
                  </w:pPr>
                </w:p>
              </w:tc>
              <w:tc>
                <w:tcPr>
                  <w:tcW w:w="868" w:type="dxa"/>
                  <w:vMerge w:val="continue"/>
                  <w:noWrap w:val="0"/>
                  <w:vAlign w:val="center"/>
                </w:tcPr>
                <w:p w14:paraId="79416EDF">
                  <w:pPr>
                    <w:pStyle w:val="25"/>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lang w:val="en-US" w:eastAsia="zh-CN"/>
                    </w:rPr>
                  </w:pPr>
                </w:p>
              </w:tc>
              <w:tc>
                <w:tcPr>
                  <w:tcW w:w="701" w:type="dxa"/>
                  <w:noWrap w:val="0"/>
                  <w:vAlign w:val="center"/>
                </w:tcPr>
                <w:p w14:paraId="6B39E809">
                  <w:pPr>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61.98</w:t>
                  </w:r>
                </w:p>
              </w:tc>
              <w:tc>
                <w:tcPr>
                  <w:tcW w:w="746" w:type="dxa"/>
                  <w:vMerge w:val="continue"/>
                  <w:noWrap w:val="0"/>
                  <w:vAlign w:val="center"/>
                </w:tcPr>
                <w:p w14:paraId="7765A176">
                  <w:pPr>
                    <w:pStyle w:val="25"/>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lang w:val="en-US" w:eastAsia="zh-CN"/>
                    </w:rPr>
                  </w:pPr>
                </w:p>
              </w:tc>
            </w:tr>
            <w:tr w14:paraId="76194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3" w:type="dxa"/>
                  <w:noWrap w:val="0"/>
                  <w:vAlign w:val="center"/>
                </w:tcPr>
                <w:p w14:paraId="7FE00335">
                  <w:pPr>
                    <w:pStyle w:val="25"/>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3</w:t>
                  </w:r>
                </w:p>
              </w:tc>
              <w:tc>
                <w:tcPr>
                  <w:tcW w:w="604" w:type="dxa"/>
                  <w:vMerge w:val="continue"/>
                  <w:noWrap w:val="0"/>
                  <w:vAlign w:val="center"/>
                </w:tcPr>
                <w:p w14:paraId="45DC347C">
                  <w:pPr>
                    <w:pStyle w:val="25"/>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lang w:val="en-US" w:eastAsia="zh-CN"/>
                    </w:rPr>
                  </w:pPr>
                </w:p>
              </w:tc>
              <w:tc>
                <w:tcPr>
                  <w:tcW w:w="1180" w:type="dxa"/>
                  <w:noWrap w:val="0"/>
                  <w:vAlign w:val="center"/>
                </w:tcPr>
                <w:p w14:paraId="5DD39739">
                  <w:pPr>
                    <w:autoSpaceDE/>
                    <w:autoSpaceDN/>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宋体" w:hAnsi="宋体" w:eastAsia="宋体" w:cs="宋体"/>
                      <w:color w:val="auto"/>
                      <w:sz w:val="21"/>
                      <w:szCs w:val="21"/>
                      <w:lang w:val="en-US" w:eastAsia="zh-CN"/>
                    </w:rPr>
                    <w:t>行吊</w:t>
                  </w:r>
                  <w:r>
                    <w:rPr>
                      <w:rFonts w:hint="eastAsia" w:ascii="Times New Roman" w:hAnsi="Times New Roman" w:eastAsia="宋体" w:cs="Times New Roman"/>
                      <w:color w:val="auto"/>
                      <w:sz w:val="21"/>
                      <w:szCs w:val="21"/>
                      <w:highlight w:val="none"/>
                      <w:lang w:val="en-US" w:eastAsia="zh-CN"/>
                    </w:rPr>
                    <w:t>1</w:t>
                  </w:r>
                </w:p>
              </w:tc>
              <w:tc>
                <w:tcPr>
                  <w:tcW w:w="1532" w:type="dxa"/>
                  <w:noWrap w:val="0"/>
                  <w:vAlign w:val="center"/>
                </w:tcPr>
                <w:p w14:paraId="13EB19EE">
                  <w:pPr>
                    <w:pStyle w:val="25"/>
                    <w:adjustRightInd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w:t>
                  </w:r>
                </w:p>
              </w:tc>
              <w:tc>
                <w:tcPr>
                  <w:tcW w:w="1197" w:type="dxa"/>
                  <w:noWrap w:val="0"/>
                  <w:vAlign w:val="center"/>
                </w:tcPr>
                <w:p w14:paraId="1F6DBE82">
                  <w:pPr>
                    <w:autoSpaceDE/>
                    <w:autoSpaceDN/>
                    <w:adjustRightInd w:val="0"/>
                    <w:snapToGrid w:val="0"/>
                    <w:spacing w:line="240" w:lineRule="auto"/>
                    <w:ind w:firstLine="0" w:firstLineChars="0"/>
                    <w:jc w:val="center"/>
                    <w:rPr>
                      <w:rFonts w:hint="default" w:ascii="Times New Roman" w:hAnsi="Times New Roman" w:eastAsia="宋体" w:cs="Times New Roman"/>
                      <w:color w:val="auto"/>
                      <w:spacing w:val="7"/>
                      <w:sz w:val="21"/>
                      <w:szCs w:val="21"/>
                      <w:lang w:val="en-US" w:eastAsia="zh-CN"/>
                    </w:rPr>
                  </w:pPr>
                  <w:r>
                    <w:rPr>
                      <w:rFonts w:hint="eastAsia" w:ascii="Times New Roman" w:hAnsi="Times New Roman" w:eastAsia="宋体" w:cs="Times New Roman"/>
                      <w:color w:val="auto"/>
                      <w:spacing w:val="7"/>
                      <w:sz w:val="21"/>
                      <w:szCs w:val="21"/>
                      <w:lang w:val="en-US" w:eastAsia="zh-CN"/>
                    </w:rPr>
                    <w:t>80</w:t>
                  </w:r>
                  <w:r>
                    <w:rPr>
                      <w:rFonts w:hint="default" w:ascii="Times New Roman" w:hAnsi="Times New Roman" w:eastAsia="宋体" w:cs="Times New Roman"/>
                      <w:color w:val="auto"/>
                      <w:spacing w:val="7"/>
                      <w:sz w:val="21"/>
                      <w:szCs w:val="21"/>
                      <w:lang w:val="en-US" w:eastAsia="zh-CN"/>
                    </w:rPr>
                    <w:t>/1</w:t>
                  </w:r>
                </w:p>
              </w:tc>
              <w:tc>
                <w:tcPr>
                  <w:tcW w:w="1385" w:type="dxa"/>
                  <w:vMerge w:val="continue"/>
                  <w:noWrap w:val="0"/>
                  <w:vAlign w:val="center"/>
                </w:tcPr>
                <w:p w14:paraId="56264ADA">
                  <w:pPr>
                    <w:pStyle w:val="25"/>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lang w:eastAsia="zh-CN"/>
                    </w:rPr>
                  </w:pPr>
                </w:p>
              </w:tc>
              <w:tc>
                <w:tcPr>
                  <w:tcW w:w="580" w:type="dxa"/>
                  <w:noWrap w:val="0"/>
                  <w:vAlign w:val="center"/>
                </w:tcPr>
                <w:p w14:paraId="652C233C">
                  <w:pPr>
                    <w:pStyle w:val="25"/>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76</w:t>
                  </w:r>
                </w:p>
              </w:tc>
              <w:tc>
                <w:tcPr>
                  <w:tcW w:w="531" w:type="dxa"/>
                  <w:noWrap w:val="0"/>
                  <w:vAlign w:val="center"/>
                </w:tcPr>
                <w:p w14:paraId="56A2985B">
                  <w:pPr>
                    <w:pStyle w:val="25"/>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35</w:t>
                  </w:r>
                </w:p>
              </w:tc>
              <w:tc>
                <w:tcPr>
                  <w:tcW w:w="675" w:type="dxa"/>
                  <w:noWrap w:val="0"/>
                  <w:vAlign w:val="center"/>
                </w:tcPr>
                <w:p w14:paraId="35FA665B">
                  <w:pPr>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9</w:t>
                  </w:r>
                </w:p>
              </w:tc>
              <w:tc>
                <w:tcPr>
                  <w:tcW w:w="889" w:type="dxa"/>
                  <w:noWrap w:val="0"/>
                  <w:vAlign w:val="center"/>
                </w:tcPr>
                <w:p w14:paraId="05990DD6">
                  <w:pPr>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20</w:t>
                  </w:r>
                </w:p>
              </w:tc>
              <w:tc>
                <w:tcPr>
                  <w:tcW w:w="1069" w:type="dxa"/>
                  <w:noWrap w:val="0"/>
                  <w:vAlign w:val="center"/>
                </w:tcPr>
                <w:p w14:paraId="74DA31A4">
                  <w:pP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54.88</w:t>
                  </w:r>
                </w:p>
              </w:tc>
              <w:tc>
                <w:tcPr>
                  <w:tcW w:w="544" w:type="dxa"/>
                  <w:vMerge w:val="continue"/>
                  <w:noWrap w:val="0"/>
                  <w:vAlign w:val="center"/>
                </w:tcPr>
                <w:p w14:paraId="66E7AA58">
                  <w:pPr>
                    <w:pStyle w:val="25"/>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rPr>
                  </w:pPr>
                </w:p>
              </w:tc>
              <w:tc>
                <w:tcPr>
                  <w:tcW w:w="868" w:type="dxa"/>
                  <w:vMerge w:val="continue"/>
                  <w:noWrap w:val="0"/>
                  <w:vAlign w:val="center"/>
                </w:tcPr>
                <w:p w14:paraId="381B183A">
                  <w:pPr>
                    <w:pStyle w:val="25"/>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rPr>
                  </w:pPr>
                </w:p>
              </w:tc>
              <w:tc>
                <w:tcPr>
                  <w:tcW w:w="701" w:type="dxa"/>
                  <w:noWrap w:val="0"/>
                  <w:vAlign w:val="center"/>
                </w:tcPr>
                <w:p w14:paraId="736AD105">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52.88</w:t>
                  </w:r>
                </w:p>
              </w:tc>
              <w:tc>
                <w:tcPr>
                  <w:tcW w:w="746" w:type="dxa"/>
                  <w:vMerge w:val="continue"/>
                  <w:noWrap w:val="0"/>
                  <w:vAlign w:val="center"/>
                </w:tcPr>
                <w:p w14:paraId="3C61C81A">
                  <w:pPr>
                    <w:pStyle w:val="25"/>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lang w:val="en-US" w:eastAsia="zh-CN"/>
                    </w:rPr>
                  </w:pPr>
                </w:p>
              </w:tc>
            </w:tr>
            <w:tr w14:paraId="4C1A7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3" w:type="dxa"/>
                  <w:noWrap w:val="0"/>
                  <w:vAlign w:val="center"/>
                </w:tcPr>
                <w:p w14:paraId="09502496">
                  <w:pPr>
                    <w:pStyle w:val="25"/>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val="en-US" w:eastAsia="zh-CN"/>
                    </w:rPr>
                    <w:t>4</w:t>
                  </w:r>
                </w:p>
              </w:tc>
              <w:tc>
                <w:tcPr>
                  <w:tcW w:w="604" w:type="dxa"/>
                  <w:vMerge w:val="continue"/>
                  <w:noWrap w:val="0"/>
                  <w:vAlign w:val="center"/>
                </w:tcPr>
                <w:p w14:paraId="78D8561C">
                  <w:pPr>
                    <w:pStyle w:val="25"/>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rPr>
                  </w:pPr>
                </w:p>
              </w:tc>
              <w:tc>
                <w:tcPr>
                  <w:tcW w:w="1180" w:type="dxa"/>
                  <w:noWrap w:val="0"/>
                  <w:vAlign w:val="center"/>
                </w:tcPr>
                <w:p w14:paraId="3A45F4B2">
                  <w:pPr>
                    <w:autoSpaceDE/>
                    <w:autoSpaceDN/>
                    <w:adjustRightInd w:val="0"/>
                    <w:snapToGrid w:val="0"/>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eastAsia" w:ascii="宋体" w:hAnsi="宋体" w:eastAsia="宋体" w:cs="宋体"/>
                      <w:color w:val="auto"/>
                      <w:sz w:val="21"/>
                      <w:szCs w:val="21"/>
                      <w:lang w:val="en-US" w:eastAsia="zh-CN"/>
                    </w:rPr>
                    <w:t>行吊</w:t>
                  </w:r>
                  <w:r>
                    <w:rPr>
                      <w:rFonts w:hint="eastAsia" w:ascii="Times New Roman" w:hAnsi="Times New Roman" w:eastAsia="宋体" w:cs="Times New Roman"/>
                      <w:color w:val="auto"/>
                      <w:sz w:val="21"/>
                      <w:szCs w:val="21"/>
                      <w:highlight w:val="none"/>
                      <w:lang w:val="en-US" w:eastAsia="zh-CN"/>
                    </w:rPr>
                    <w:t>2</w:t>
                  </w:r>
                </w:p>
              </w:tc>
              <w:tc>
                <w:tcPr>
                  <w:tcW w:w="1532" w:type="dxa"/>
                  <w:noWrap w:val="0"/>
                  <w:vAlign w:val="center"/>
                </w:tcPr>
                <w:p w14:paraId="4E7C6A9A">
                  <w:pPr>
                    <w:pStyle w:val="25"/>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w:t>
                  </w:r>
                </w:p>
              </w:tc>
              <w:tc>
                <w:tcPr>
                  <w:tcW w:w="1197" w:type="dxa"/>
                  <w:noWrap w:val="0"/>
                  <w:vAlign w:val="center"/>
                </w:tcPr>
                <w:p w14:paraId="21EF6AA2">
                  <w:pPr>
                    <w:autoSpaceDE/>
                    <w:autoSpaceDN/>
                    <w:adjustRightInd w:val="0"/>
                    <w:snapToGrid w:val="0"/>
                    <w:spacing w:line="240" w:lineRule="auto"/>
                    <w:ind w:firstLine="0" w:firstLineChars="0"/>
                    <w:jc w:val="center"/>
                    <w:rPr>
                      <w:rFonts w:hint="default" w:ascii="Times New Roman" w:hAnsi="Times New Roman" w:eastAsia="宋体" w:cs="Times New Roman"/>
                      <w:color w:val="auto"/>
                      <w:spacing w:val="7"/>
                      <w:sz w:val="21"/>
                      <w:szCs w:val="21"/>
                    </w:rPr>
                  </w:pPr>
                  <w:r>
                    <w:rPr>
                      <w:rFonts w:hint="eastAsia" w:ascii="Times New Roman" w:hAnsi="Times New Roman" w:eastAsia="宋体" w:cs="Times New Roman"/>
                      <w:color w:val="auto"/>
                      <w:spacing w:val="7"/>
                      <w:sz w:val="21"/>
                      <w:szCs w:val="21"/>
                      <w:lang w:val="en-US" w:eastAsia="zh-CN"/>
                    </w:rPr>
                    <w:t>80</w:t>
                  </w:r>
                  <w:r>
                    <w:rPr>
                      <w:rFonts w:hint="default" w:ascii="Times New Roman" w:hAnsi="Times New Roman" w:eastAsia="宋体" w:cs="Times New Roman"/>
                      <w:color w:val="auto"/>
                      <w:spacing w:val="7"/>
                      <w:sz w:val="21"/>
                      <w:szCs w:val="21"/>
                      <w:lang w:val="en-US" w:eastAsia="zh-CN"/>
                    </w:rPr>
                    <w:t>/1</w:t>
                  </w:r>
                </w:p>
              </w:tc>
              <w:tc>
                <w:tcPr>
                  <w:tcW w:w="1385" w:type="dxa"/>
                  <w:vMerge w:val="continue"/>
                  <w:noWrap w:val="0"/>
                  <w:vAlign w:val="center"/>
                </w:tcPr>
                <w:p w14:paraId="41C02979">
                  <w:pPr>
                    <w:pStyle w:val="25"/>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rPr>
                  </w:pPr>
                </w:p>
              </w:tc>
              <w:tc>
                <w:tcPr>
                  <w:tcW w:w="580" w:type="dxa"/>
                  <w:noWrap w:val="0"/>
                  <w:vAlign w:val="center"/>
                </w:tcPr>
                <w:p w14:paraId="101D1703">
                  <w:pPr>
                    <w:pStyle w:val="25"/>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76</w:t>
                  </w:r>
                </w:p>
              </w:tc>
              <w:tc>
                <w:tcPr>
                  <w:tcW w:w="531" w:type="dxa"/>
                  <w:noWrap w:val="0"/>
                  <w:vAlign w:val="center"/>
                </w:tcPr>
                <w:p w14:paraId="25ECA20F">
                  <w:pPr>
                    <w:pStyle w:val="25"/>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45</w:t>
                  </w:r>
                </w:p>
              </w:tc>
              <w:tc>
                <w:tcPr>
                  <w:tcW w:w="675" w:type="dxa"/>
                  <w:noWrap w:val="0"/>
                  <w:vAlign w:val="center"/>
                </w:tcPr>
                <w:p w14:paraId="713618C5">
                  <w:pPr>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9</w:t>
                  </w:r>
                </w:p>
              </w:tc>
              <w:tc>
                <w:tcPr>
                  <w:tcW w:w="889" w:type="dxa"/>
                  <w:noWrap w:val="0"/>
                  <w:vAlign w:val="center"/>
                </w:tcPr>
                <w:p w14:paraId="53A041B2">
                  <w:pPr>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35</w:t>
                  </w:r>
                </w:p>
              </w:tc>
              <w:tc>
                <w:tcPr>
                  <w:tcW w:w="1069" w:type="dxa"/>
                  <w:noWrap w:val="0"/>
                  <w:vAlign w:val="center"/>
                </w:tcPr>
                <w:p w14:paraId="16BB8A94">
                  <w:pPr>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50.12</w:t>
                  </w:r>
                </w:p>
              </w:tc>
              <w:tc>
                <w:tcPr>
                  <w:tcW w:w="544" w:type="dxa"/>
                  <w:vMerge w:val="continue"/>
                  <w:noWrap w:val="0"/>
                  <w:vAlign w:val="center"/>
                </w:tcPr>
                <w:p w14:paraId="7F034D23">
                  <w:pPr>
                    <w:pStyle w:val="25"/>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rPr>
                  </w:pPr>
                </w:p>
              </w:tc>
              <w:tc>
                <w:tcPr>
                  <w:tcW w:w="868" w:type="dxa"/>
                  <w:vMerge w:val="continue"/>
                  <w:noWrap w:val="0"/>
                  <w:vAlign w:val="center"/>
                </w:tcPr>
                <w:p w14:paraId="5322E889">
                  <w:pPr>
                    <w:pStyle w:val="25"/>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rPr>
                  </w:pPr>
                </w:p>
              </w:tc>
              <w:tc>
                <w:tcPr>
                  <w:tcW w:w="701" w:type="dxa"/>
                  <w:noWrap w:val="0"/>
                  <w:vAlign w:val="center"/>
                </w:tcPr>
                <w:p w14:paraId="492934C9">
                  <w:pPr>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48.12</w:t>
                  </w:r>
                </w:p>
              </w:tc>
              <w:tc>
                <w:tcPr>
                  <w:tcW w:w="746" w:type="dxa"/>
                  <w:vMerge w:val="continue"/>
                  <w:noWrap w:val="0"/>
                  <w:vAlign w:val="center"/>
                </w:tcPr>
                <w:p w14:paraId="63D57711">
                  <w:pPr>
                    <w:pStyle w:val="25"/>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rPr>
                  </w:pPr>
                </w:p>
              </w:tc>
            </w:tr>
            <w:tr w14:paraId="55FD2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3" w:type="dxa"/>
                  <w:noWrap w:val="0"/>
                  <w:vAlign w:val="center"/>
                </w:tcPr>
                <w:p w14:paraId="76376A7C">
                  <w:pPr>
                    <w:pStyle w:val="25"/>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5</w:t>
                  </w:r>
                </w:p>
              </w:tc>
              <w:tc>
                <w:tcPr>
                  <w:tcW w:w="604" w:type="dxa"/>
                  <w:vMerge w:val="continue"/>
                  <w:noWrap w:val="0"/>
                  <w:vAlign w:val="center"/>
                </w:tcPr>
                <w:p w14:paraId="26767480">
                  <w:pPr>
                    <w:pStyle w:val="25"/>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rPr>
                  </w:pPr>
                </w:p>
              </w:tc>
              <w:tc>
                <w:tcPr>
                  <w:tcW w:w="1180" w:type="dxa"/>
                  <w:noWrap w:val="0"/>
                  <w:vAlign w:val="center"/>
                </w:tcPr>
                <w:p w14:paraId="19448656">
                  <w:pPr>
                    <w:jc w:val="center"/>
                    <w:rPr>
                      <w:rFonts w:hint="default" w:ascii="Times New Roman" w:hAnsi="Times New Roman" w:eastAsia="宋体" w:cs="Times New Roman"/>
                      <w:color w:val="auto"/>
                      <w:sz w:val="21"/>
                      <w:szCs w:val="21"/>
                      <w:highlight w:val="none"/>
                      <w:lang w:val="en-US" w:eastAsia="zh-CN"/>
                    </w:rPr>
                  </w:pPr>
                  <w:r>
                    <w:rPr>
                      <w:rFonts w:hint="eastAsia" w:ascii="宋体" w:hAnsi="宋体" w:eastAsia="宋体" w:cs="宋体"/>
                      <w:color w:val="auto"/>
                      <w:sz w:val="21"/>
                      <w:szCs w:val="21"/>
                      <w:lang w:val="en-US" w:eastAsia="zh-CN"/>
                    </w:rPr>
                    <w:t>行吊</w:t>
                  </w:r>
                  <w:r>
                    <w:rPr>
                      <w:rFonts w:hint="eastAsia" w:ascii="Times New Roman" w:hAnsi="Times New Roman" w:eastAsia="宋体" w:cs="Times New Roman"/>
                      <w:color w:val="auto"/>
                      <w:sz w:val="21"/>
                      <w:szCs w:val="21"/>
                      <w:highlight w:val="none"/>
                      <w:lang w:val="en-US" w:eastAsia="zh-CN"/>
                    </w:rPr>
                    <w:t>3</w:t>
                  </w:r>
                </w:p>
              </w:tc>
              <w:tc>
                <w:tcPr>
                  <w:tcW w:w="1532" w:type="dxa"/>
                  <w:noWrap w:val="0"/>
                  <w:vAlign w:val="center"/>
                </w:tcPr>
                <w:p w14:paraId="30AD79B3">
                  <w:pPr>
                    <w:pStyle w:val="25"/>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Cs/>
                      <w:color w:val="auto"/>
                      <w:sz w:val="21"/>
                      <w:szCs w:val="21"/>
                      <w:highlight w:val="none"/>
                      <w:lang w:val="en-US" w:eastAsia="zh-CN"/>
                    </w:rPr>
                    <w:t>/</w:t>
                  </w:r>
                </w:p>
              </w:tc>
              <w:tc>
                <w:tcPr>
                  <w:tcW w:w="1197" w:type="dxa"/>
                  <w:noWrap w:val="0"/>
                  <w:vAlign w:val="center"/>
                </w:tcPr>
                <w:p w14:paraId="3AFEEB6E">
                  <w:pPr>
                    <w:autoSpaceDE/>
                    <w:autoSpaceDN/>
                    <w:adjustRightInd w:val="0"/>
                    <w:snapToGrid w:val="0"/>
                    <w:spacing w:line="240" w:lineRule="auto"/>
                    <w:ind w:firstLine="0" w:firstLineChars="0"/>
                    <w:jc w:val="center"/>
                    <w:rPr>
                      <w:rFonts w:hint="default" w:ascii="Times New Roman" w:hAnsi="Times New Roman" w:eastAsia="宋体" w:cs="Times New Roman"/>
                      <w:color w:val="auto"/>
                      <w:spacing w:val="7"/>
                      <w:sz w:val="21"/>
                      <w:szCs w:val="21"/>
                      <w:lang w:val="en-US" w:eastAsia="zh-CN"/>
                    </w:rPr>
                  </w:pPr>
                  <w:r>
                    <w:rPr>
                      <w:rFonts w:hint="eastAsia" w:ascii="Times New Roman" w:hAnsi="Times New Roman" w:eastAsia="宋体" w:cs="Times New Roman"/>
                      <w:color w:val="auto"/>
                      <w:spacing w:val="7"/>
                      <w:sz w:val="21"/>
                      <w:szCs w:val="21"/>
                      <w:lang w:val="en-US" w:eastAsia="zh-CN"/>
                    </w:rPr>
                    <w:t>80</w:t>
                  </w:r>
                  <w:r>
                    <w:rPr>
                      <w:rFonts w:hint="default" w:ascii="Times New Roman" w:hAnsi="Times New Roman" w:eastAsia="宋体" w:cs="Times New Roman"/>
                      <w:color w:val="auto"/>
                      <w:spacing w:val="7"/>
                      <w:sz w:val="21"/>
                      <w:szCs w:val="21"/>
                      <w:lang w:val="en-US" w:eastAsia="zh-CN"/>
                    </w:rPr>
                    <w:t>/1</w:t>
                  </w:r>
                </w:p>
              </w:tc>
              <w:tc>
                <w:tcPr>
                  <w:tcW w:w="1385" w:type="dxa"/>
                  <w:vMerge w:val="continue"/>
                  <w:noWrap w:val="0"/>
                  <w:vAlign w:val="center"/>
                </w:tcPr>
                <w:p w14:paraId="426E1F9A">
                  <w:pPr>
                    <w:pStyle w:val="25"/>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rPr>
                  </w:pPr>
                </w:p>
              </w:tc>
              <w:tc>
                <w:tcPr>
                  <w:tcW w:w="580" w:type="dxa"/>
                  <w:noWrap w:val="0"/>
                  <w:vAlign w:val="center"/>
                </w:tcPr>
                <w:p w14:paraId="4F0D6EBB">
                  <w:pPr>
                    <w:pStyle w:val="25"/>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lang w:val="en-US"/>
                    </w:rPr>
                  </w:pPr>
                  <w:r>
                    <w:rPr>
                      <w:rFonts w:hint="eastAsia" w:ascii="Times New Roman" w:hAnsi="Times New Roman" w:cs="Times New Roman"/>
                      <w:bCs/>
                      <w:color w:val="auto"/>
                      <w:sz w:val="21"/>
                      <w:szCs w:val="21"/>
                      <w:highlight w:val="none"/>
                      <w:lang w:val="en-US" w:eastAsia="zh-CN"/>
                    </w:rPr>
                    <w:t>76</w:t>
                  </w:r>
                </w:p>
              </w:tc>
              <w:tc>
                <w:tcPr>
                  <w:tcW w:w="531" w:type="dxa"/>
                  <w:noWrap w:val="0"/>
                  <w:vAlign w:val="center"/>
                </w:tcPr>
                <w:p w14:paraId="4FCBE7C8">
                  <w:pPr>
                    <w:pStyle w:val="25"/>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65</w:t>
                  </w:r>
                </w:p>
              </w:tc>
              <w:tc>
                <w:tcPr>
                  <w:tcW w:w="675" w:type="dxa"/>
                  <w:noWrap w:val="0"/>
                  <w:vAlign w:val="center"/>
                </w:tcPr>
                <w:p w14:paraId="6CFA4DEF">
                  <w:pPr>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9</w:t>
                  </w:r>
                </w:p>
              </w:tc>
              <w:tc>
                <w:tcPr>
                  <w:tcW w:w="889" w:type="dxa"/>
                  <w:noWrap w:val="0"/>
                  <w:vAlign w:val="center"/>
                </w:tcPr>
                <w:p w14:paraId="630DBFB0">
                  <w:pPr>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25</w:t>
                  </w:r>
                </w:p>
              </w:tc>
              <w:tc>
                <w:tcPr>
                  <w:tcW w:w="1069" w:type="dxa"/>
                  <w:noWrap w:val="0"/>
                  <w:vAlign w:val="center"/>
                </w:tcPr>
                <w:p w14:paraId="4D8CCA31">
                  <w:pPr>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53.00</w:t>
                  </w:r>
                </w:p>
              </w:tc>
              <w:tc>
                <w:tcPr>
                  <w:tcW w:w="544" w:type="dxa"/>
                  <w:vMerge w:val="continue"/>
                  <w:noWrap w:val="0"/>
                  <w:vAlign w:val="center"/>
                </w:tcPr>
                <w:p w14:paraId="548FD303">
                  <w:pPr>
                    <w:pStyle w:val="25"/>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rPr>
                  </w:pPr>
                </w:p>
              </w:tc>
              <w:tc>
                <w:tcPr>
                  <w:tcW w:w="868" w:type="dxa"/>
                  <w:vMerge w:val="continue"/>
                  <w:noWrap w:val="0"/>
                  <w:vAlign w:val="center"/>
                </w:tcPr>
                <w:p w14:paraId="2F26AFF7">
                  <w:pPr>
                    <w:pStyle w:val="25"/>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rPr>
                  </w:pPr>
                </w:p>
              </w:tc>
              <w:tc>
                <w:tcPr>
                  <w:tcW w:w="701" w:type="dxa"/>
                  <w:noWrap w:val="0"/>
                  <w:vAlign w:val="center"/>
                </w:tcPr>
                <w:p w14:paraId="031E343C">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51.00</w:t>
                  </w:r>
                </w:p>
              </w:tc>
              <w:tc>
                <w:tcPr>
                  <w:tcW w:w="746" w:type="dxa"/>
                  <w:vMerge w:val="continue"/>
                  <w:noWrap w:val="0"/>
                  <w:vAlign w:val="center"/>
                </w:tcPr>
                <w:p w14:paraId="396B1B40">
                  <w:pPr>
                    <w:pStyle w:val="25"/>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rPr>
                  </w:pPr>
                </w:p>
              </w:tc>
            </w:tr>
            <w:tr w14:paraId="42E17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3" w:type="dxa"/>
                  <w:noWrap w:val="0"/>
                  <w:vAlign w:val="center"/>
                </w:tcPr>
                <w:p w14:paraId="5EC8575A">
                  <w:pPr>
                    <w:pStyle w:val="25"/>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6</w:t>
                  </w:r>
                </w:p>
              </w:tc>
              <w:tc>
                <w:tcPr>
                  <w:tcW w:w="604" w:type="dxa"/>
                  <w:vMerge w:val="continue"/>
                  <w:noWrap w:val="0"/>
                  <w:vAlign w:val="center"/>
                </w:tcPr>
                <w:p w14:paraId="2E933F12">
                  <w:pPr>
                    <w:pStyle w:val="25"/>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rPr>
                  </w:pPr>
                </w:p>
              </w:tc>
              <w:tc>
                <w:tcPr>
                  <w:tcW w:w="1180" w:type="dxa"/>
                  <w:noWrap w:val="0"/>
                  <w:vAlign w:val="center"/>
                </w:tcPr>
                <w:p w14:paraId="4D9523DD">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叉车</w:t>
                  </w:r>
                </w:p>
              </w:tc>
              <w:tc>
                <w:tcPr>
                  <w:tcW w:w="1532" w:type="dxa"/>
                  <w:noWrap w:val="0"/>
                  <w:vAlign w:val="center"/>
                </w:tcPr>
                <w:p w14:paraId="510E98A8">
                  <w:pPr>
                    <w:pStyle w:val="25"/>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w:t>
                  </w:r>
                </w:p>
              </w:tc>
              <w:tc>
                <w:tcPr>
                  <w:tcW w:w="1197" w:type="dxa"/>
                  <w:noWrap w:val="0"/>
                  <w:vAlign w:val="center"/>
                </w:tcPr>
                <w:p w14:paraId="6A22838D">
                  <w:pPr>
                    <w:autoSpaceDE/>
                    <w:autoSpaceDN/>
                    <w:adjustRightInd w:val="0"/>
                    <w:snapToGrid w:val="0"/>
                    <w:spacing w:line="240" w:lineRule="auto"/>
                    <w:ind w:firstLine="0" w:firstLineChars="0"/>
                    <w:jc w:val="center"/>
                    <w:rPr>
                      <w:rFonts w:hint="default" w:ascii="Times New Roman" w:hAnsi="Times New Roman" w:eastAsia="宋体" w:cs="Times New Roman"/>
                      <w:color w:val="auto"/>
                      <w:spacing w:val="7"/>
                      <w:sz w:val="21"/>
                      <w:szCs w:val="21"/>
                      <w:lang w:val="en-US" w:eastAsia="zh-CN"/>
                    </w:rPr>
                  </w:pPr>
                  <w:r>
                    <w:rPr>
                      <w:rFonts w:hint="eastAsia" w:ascii="Times New Roman" w:hAnsi="Times New Roman" w:eastAsia="宋体" w:cs="Times New Roman"/>
                      <w:color w:val="auto"/>
                      <w:spacing w:val="7"/>
                      <w:sz w:val="21"/>
                      <w:szCs w:val="21"/>
                      <w:lang w:val="en-US" w:eastAsia="zh-CN"/>
                    </w:rPr>
                    <w:t>85</w:t>
                  </w:r>
                  <w:r>
                    <w:rPr>
                      <w:rFonts w:hint="default" w:ascii="Times New Roman" w:hAnsi="Times New Roman" w:eastAsia="宋体" w:cs="Times New Roman"/>
                      <w:color w:val="auto"/>
                      <w:spacing w:val="7"/>
                      <w:sz w:val="21"/>
                      <w:szCs w:val="21"/>
                      <w:lang w:val="en-US" w:eastAsia="zh-CN"/>
                    </w:rPr>
                    <w:t>/1</w:t>
                  </w:r>
                </w:p>
              </w:tc>
              <w:tc>
                <w:tcPr>
                  <w:tcW w:w="1385" w:type="dxa"/>
                  <w:vMerge w:val="continue"/>
                  <w:noWrap w:val="0"/>
                  <w:vAlign w:val="center"/>
                </w:tcPr>
                <w:p w14:paraId="7C5F579F">
                  <w:pPr>
                    <w:pStyle w:val="25"/>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rPr>
                  </w:pPr>
                </w:p>
              </w:tc>
              <w:tc>
                <w:tcPr>
                  <w:tcW w:w="580" w:type="dxa"/>
                  <w:noWrap w:val="0"/>
                  <w:vAlign w:val="center"/>
                </w:tcPr>
                <w:p w14:paraId="7768A1EE">
                  <w:pPr>
                    <w:pStyle w:val="25"/>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110</w:t>
                  </w:r>
                </w:p>
              </w:tc>
              <w:tc>
                <w:tcPr>
                  <w:tcW w:w="531" w:type="dxa"/>
                  <w:noWrap w:val="0"/>
                  <w:vAlign w:val="center"/>
                </w:tcPr>
                <w:p w14:paraId="6B5915B2">
                  <w:pPr>
                    <w:pStyle w:val="25"/>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50</w:t>
                  </w:r>
                </w:p>
              </w:tc>
              <w:tc>
                <w:tcPr>
                  <w:tcW w:w="675" w:type="dxa"/>
                  <w:noWrap w:val="0"/>
                  <w:vAlign w:val="center"/>
                </w:tcPr>
                <w:p w14:paraId="382B6028">
                  <w:pPr>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w:t>
                  </w:r>
                </w:p>
              </w:tc>
              <w:tc>
                <w:tcPr>
                  <w:tcW w:w="889" w:type="dxa"/>
                  <w:noWrap w:val="0"/>
                  <w:vAlign w:val="center"/>
                </w:tcPr>
                <w:p w14:paraId="5D3D0A9B">
                  <w:pPr>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w:t>
                  </w:r>
                  <w:r>
                    <w:rPr>
                      <w:rFonts w:hint="eastAsia" w:cs="Times New Roman"/>
                      <w:bCs/>
                      <w:color w:val="auto"/>
                      <w:sz w:val="21"/>
                      <w:szCs w:val="21"/>
                      <w:highlight w:val="none"/>
                      <w:lang w:val="en-US" w:eastAsia="zh-CN"/>
                    </w:rPr>
                    <w:t>0</w:t>
                  </w:r>
                </w:p>
              </w:tc>
              <w:tc>
                <w:tcPr>
                  <w:tcW w:w="1069" w:type="dxa"/>
                  <w:noWrap w:val="0"/>
                  <w:vAlign w:val="center"/>
                </w:tcPr>
                <w:p w14:paraId="42E02428">
                  <w:pP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65.50</w:t>
                  </w:r>
                </w:p>
              </w:tc>
              <w:tc>
                <w:tcPr>
                  <w:tcW w:w="544" w:type="dxa"/>
                  <w:vMerge w:val="continue"/>
                  <w:noWrap w:val="0"/>
                  <w:vAlign w:val="center"/>
                </w:tcPr>
                <w:p w14:paraId="278ABCEA">
                  <w:pPr>
                    <w:pStyle w:val="25"/>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rPr>
                  </w:pPr>
                </w:p>
              </w:tc>
              <w:tc>
                <w:tcPr>
                  <w:tcW w:w="868" w:type="dxa"/>
                  <w:vMerge w:val="continue"/>
                  <w:noWrap w:val="0"/>
                  <w:vAlign w:val="center"/>
                </w:tcPr>
                <w:p w14:paraId="3EC0FDCE">
                  <w:pPr>
                    <w:pStyle w:val="25"/>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rPr>
                  </w:pPr>
                </w:p>
              </w:tc>
              <w:tc>
                <w:tcPr>
                  <w:tcW w:w="701" w:type="dxa"/>
                  <w:noWrap w:val="0"/>
                  <w:vAlign w:val="center"/>
                </w:tcPr>
                <w:p w14:paraId="33E913B1">
                  <w:pPr>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63.50</w:t>
                  </w:r>
                </w:p>
              </w:tc>
              <w:tc>
                <w:tcPr>
                  <w:tcW w:w="746" w:type="dxa"/>
                  <w:vMerge w:val="continue"/>
                  <w:noWrap w:val="0"/>
                  <w:vAlign w:val="center"/>
                </w:tcPr>
                <w:p w14:paraId="4EA8A857">
                  <w:pPr>
                    <w:pStyle w:val="25"/>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rPr>
                  </w:pPr>
                </w:p>
              </w:tc>
            </w:tr>
            <w:tr w14:paraId="6A385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3" w:type="dxa"/>
                  <w:noWrap w:val="0"/>
                  <w:vAlign w:val="center"/>
                </w:tcPr>
                <w:p w14:paraId="521B39AE">
                  <w:pPr>
                    <w:pStyle w:val="25"/>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7</w:t>
                  </w:r>
                </w:p>
              </w:tc>
              <w:tc>
                <w:tcPr>
                  <w:tcW w:w="604" w:type="dxa"/>
                  <w:vMerge w:val="continue"/>
                  <w:noWrap w:val="0"/>
                  <w:vAlign w:val="center"/>
                </w:tcPr>
                <w:p w14:paraId="3A9E90E3">
                  <w:pPr>
                    <w:pStyle w:val="25"/>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rPr>
                  </w:pPr>
                </w:p>
              </w:tc>
              <w:tc>
                <w:tcPr>
                  <w:tcW w:w="1180" w:type="dxa"/>
                  <w:noWrap w:val="0"/>
                  <w:vAlign w:val="center"/>
                </w:tcPr>
                <w:p w14:paraId="306EFE9F">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电葫芦1</w:t>
                  </w:r>
                </w:p>
              </w:tc>
              <w:tc>
                <w:tcPr>
                  <w:tcW w:w="1532" w:type="dxa"/>
                  <w:noWrap w:val="0"/>
                  <w:vAlign w:val="center"/>
                </w:tcPr>
                <w:p w14:paraId="007AE804">
                  <w:pPr>
                    <w:pStyle w:val="25"/>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w:t>
                  </w:r>
                </w:p>
              </w:tc>
              <w:tc>
                <w:tcPr>
                  <w:tcW w:w="1197" w:type="dxa"/>
                  <w:noWrap w:val="0"/>
                  <w:vAlign w:val="center"/>
                </w:tcPr>
                <w:p w14:paraId="18335455">
                  <w:pPr>
                    <w:autoSpaceDE/>
                    <w:autoSpaceDN/>
                    <w:adjustRightInd w:val="0"/>
                    <w:snapToGrid w:val="0"/>
                    <w:spacing w:line="240" w:lineRule="auto"/>
                    <w:ind w:firstLine="0" w:firstLineChars="0"/>
                    <w:jc w:val="center"/>
                    <w:rPr>
                      <w:rFonts w:hint="default" w:ascii="Times New Roman" w:hAnsi="Times New Roman" w:eastAsia="宋体" w:cs="Times New Roman"/>
                      <w:color w:val="auto"/>
                      <w:spacing w:val="7"/>
                      <w:sz w:val="21"/>
                      <w:szCs w:val="21"/>
                      <w:lang w:val="en-US" w:eastAsia="zh-CN"/>
                    </w:rPr>
                  </w:pPr>
                  <w:r>
                    <w:rPr>
                      <w:rFonts w:hint="eastAsia" w:ascii="Times New Roman" w:hAnsi="Times New Roman" w:eastAsia="宋体" w:cs="Times New Roman"/>
                      <w:color w:val="auto"/>
                      <w:spacing w:val="7"/>
                      <w:sz w:val="21"/>
                      <w:szCs w:val="21"/>
                      <w:lang w:val="en-US" w:eastAsia="zh-CN"/>
                    </w:rPr>
                    <w:t>75</w:t>
                  </w:r>
                  <w:r>
                    <w:rPr>
                      <w:rFonts w:hint="default" w:ascii="Times New Roman" w:hAnsi="Times New Roman" w:eastAsia="宋体" w:cs="Times New Roman"/>
                      <w:color w:val="auto"/>
                      <w:spacing w:val="7"/>
                      <w:sz w:val="21"/>
                      <w:szCs w:val="21"/>
                      <w:lang w:val="en-US" w:eastAsia="zh-CN"/>
                    </w:rPr>
                    <w:t>/1</w:t>
                  </w:r>
                </w:p>
              </w:tc>
              <w:tc>
                <w:tcPr>
                  <w:tcW w:w="1385" w:type="dxa"/>
                  <w:vMerge w:val="continue"/>
                  <w:noWrap w:val="0"/>
                  <w:vAlign w:val="center"/>
                </w:tcPr>
                <w:p w14:paraId="48F2E5DB">
                  <w:pPr>
                    <w:pStyle w:val="25"/>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rPr>
                  </w:pPr>
                </w:p>
              </w:tc>
              <w:tc>
                <w:tcPr>
                  <w:tcW w:w="580" w:type="dxa"/>
                  <w:noWrap w:val="0"/>
                  <w:vAlign w:val="center"/>
                </w:tcPr>
                <w:p w14:paraId="49A75624">
                  <w:pPr>
                    <w:pStyle w:val="25"/>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80</w:t>
                  </w:r>
                </w:p>
              </w:tc>
              <w:tc>
                <w:tcPr>
                  <w:tcW w:w="531" w:type="dxa"/>
                  <w:noWrap w:val="0"/>
                  <w:vAlign w:val="center"/>
                </w:tcPr>
                <w:p w14:paraId="275AF353">
                  <w:pPr>
                    <w:pStyle w:val="25"/>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72</w:t>
                  </w:r>
                </w:p>
              </w:tc>
              <w:tc>
                <w:tcPr>
                  <w:tcW w:w="675" w:type="dxa"/>
                  <w:noWrap w:val="0"/>
                  <w:vAlign w:val="center"/>
                </w:tcPr>
                <w:p w14:paraId="569761B2">
                  <w:pPr>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w:t>
                  </w:r>
                </w:p>
              </w:tc>
              <w:tc>
                <w:tcPr>
                  <w:tcW w:w="889" w:type="dxa"/>
                  <w:noWrap w:val="0"/>
                  <w:vAlign w:val="center"/>
                </w:tcPr>
                <w:p w14:paraId="0BC7AC7E">
                  <w:pPr>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25</w:t>
                  </w:r>
                </w:p>
              </w:tc>
              <w:tc>
                <w:tcPr>
                  <w:tcW w:w="1069" w:type="dxa"/>
                  <w:noWrap w:val="0"/>
                  <w:vAlign w:val="center"/>
                </w:tcPr>
                <w:p w14:paraId="7AD36551">
                  <w:pP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48.00</w:t>
                  </w:r>
                </w:p>
              </w:tc>
              <w:tc>
                <w:tcPr>
                  <w:tcW w:w="544" w:type="dxa"/>
                  <w:vMerge w:val="continue"/>
                  <w:noWrap w:val="0"/>
                  <w:vAlign w:val="center"/>
                </w:tcPr>
                <w:p w14:paraId="15D4C9F3">
                  <w:pPr>
                    <w:pStyle w:val="25"/>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rPr>
                  </w:pPr>
                </w:p>
              </w:tc>
              <w:tc>
                <w:tcPr>
                  <w:tcW w:w="868" w:type="dxa"/>
                  <w:vMerge w:val="continue"/>
                  <w:noWrap w:val="0"/>
                  <w:vAlign w:val="center"/>
                </w:tcPr>
                <w:p w14:paraId="1E9930ED">
                  <w:pPr>
                    <w:pStyle w:val="25"/>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rPr>
                  </w:pPr>
                </w:p>
              </w:tc>
              <w:tc>
                <w:tcPr>
                  <w:tcW w:w="701" w:type="dxa"/>
                  <w:noWrap w:val="0"/>
                  <w:vAlign w:val="center"/>
                </w:tcPr>
                <w:p w14:paraId="2F7DDA1B">
                  <w:pPr>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46.00</w:t>
                  </w:r>
                </w:p>
              </w:tc>
              <w:tc>
                <w:tcPr>
                  <w:tcW w:w="746" w:type="dxa"/>
                  <w:vMerge w:val="continue"/>
                  <w:noWrap w:val="0"/>
                  <w:vAlign w:val="center"/>
                </w:tcPr>
                <w:p w14:paraId="39E6D99F">
                  <w:pPr>
                    <w:pStyle w:val="25"/>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rPr>
                  </w:pPr>
                </w:p>
              </w:tc>
            </w:tr>
            <w:tr w14:paraId="11B01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3" w:type="dxa"/>
                  <w:noWrap w:val="0"/>
                  <w:vAlign w:val="center"/>
                </w:tcPr>
                <w:p w14:paraId="4840B456">
                  <w:pPr>
                    <w:pStyle w:val="25"/>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8</w:t>
                  </w:r>
                </w:p>
              </w:tc>
              <w:tc>
                <w:tcPr>
                  <w:tcW w:w="604" w:type="dxa"/>
                  <w:vMerge w:val="continue"/>
                  <w:noWrap w:val="0"/>
                  <w:vAlign w:val="center"/>
                </w:tcPr>
                <w:p w14:paraId="5BCE31AB">
                  <w:pPr>
                    <w:pStyle w:val="25"/>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rPr>
                  </w:pPr>
                </w:p>
              </w:tc>
              <w:tc>
                <w:tcPr>
                  <w:tcW w:w="1180" w:type="dxa"/>
                  <w:noWrap w:val="0"/>
                  <w:vAlign w:val="center"/>
                </w:tcPr>
                <w:p w14:paraId="709D4F44">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电葫芦2</w:t>
                  </w:r>
                </w:p>
              </w:tc>
              <w:tc>
                <w:tcPr>
                  <w:tcW w:w="1532" w:type="dxa"/>
                  <w:noWrap w:val="0"/>
                  <w:vAlign w:val="center"/>
                </w:tcPr>
                <w:p w14:paraId="2358D9C5">
                  <w:pPr>
                    <w:pStyle w:val="25"/>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w:t>
                  </w:r>
                </w:p>
              </w:tc>
              <w:tc>
                <w:tcPr>
                  <w:tcW w:w="1197" w:type="dxa"/>
                  <w:noWrap w:val="0"/>
                  <w:vAlign w:val="center"/>
                </w:tcPr>
                <w:p w14:paraId="1C9E899D">
                  <w:pPr>
                    <w:autoSpaceDE/>
                    <w:autoSpaceDN/>
                    <w:adjustRightInd w:val="0"/>
                    <w:snapToGrid w:val="0"/>
                    <w:spacing w:line="240" w:lineRule="auto"/>
                    <w:ind w:firstLine="0" w:firstLineChars="0"/>
                    <w:jc w:val="center"/>
                    <w:rPr>
                      <w:rFonts w:hint="default" w:ascii="Times New Roman" w:hAnsi="Times New Roman" w:eastAsia="宋体" w:cs="Times New Roman"/>
                      <w:color w:val="auto"/>
                      <w:spacing w:val="7"/>
                      <w:sz w:val="21"/>
                      <w:szCs w:val="21"/>
                      <w:lang w:val="en-US" w:eastAsia="zh-CN"/>
                    </w:rPr>
                  </w:pPr>
                  <w:r>
                    <w:rPr>
                      <w:rFonts w:hint="eastAsia" w:ascii="Times New Roman" w:hAnsi="Times New Roman" w:eastAsia="宋体" w:cs="Times New Roman"/>
                      <w:color w:val="auto"/>
                      <w:spacing w:val="7"/>
                      <w:sz w:val="21"/>
                      <w:szCs w:val="21"/>
                      <w:lang w:val="en-US" w:eastAsia="zh-CN"/>
                    </w:rPr>
                    <w:t>75</w:t>
                  </w:r>
                  <w:r>
                    <w:rPr>
                      <w:rFonts w:hint="default" w:ascii="Times New Roman" w:hAnsi="Times New Roman" w:eastAsia="宋体" w:cs="Times New Roman"/>
                      <w:color w:val="auto"/>
                      <w:spacing w:val="7"/>
                      <w:sz w:val="21"/>
                      <w:szCs w:val="21"/>
                      <w:lang w:val="en-US" w:eastAsia="zh-CN"/>
                    </w:rPr>
                    <w:t>/1</w:t>
                  </w:r>
                </w:p>
              </w:tc>
              <w:tc>
                <w:tcPr>
                  <w:tcW w:w="1385" w:type="dxa"/>
                  <w:vMerge w:val="continue"/>
                  <w:noWrap w:val="0"/>
                  <w:vAlign w:val="center"/>
                </w:tcPr>
                <w:p w14:paraId="6D50B345">
                  <w:pPr>
                    <w:pStyle w:val="25"/>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rPr>
                  </w:pPr>
                </w:p>
              </w:tc>
              <w:tc>
                <w:tcPr>
                  <w:tcW w:w="580" w:type="dxa"/>
                  <w:noWrap w:val="0"/>
                  <w:vAlign w:val="center"/>
                </w:tcPr>
                <w:p w14:paraId="69A34F0C">
                  <w:pPr>
                    <w:pStyle w:val="25"/>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100</w:t>
                  </w:r>
                </w:p>
              </w:tc>
              <w:tc>
                <w:tcPr>
                  <w:tcW w:w="531" w:type="dxa"/>
                  <w:noWrap w:val="0"/>
                  <w:vAlign w:val="center"/>
                </w:tcPr>
                <w:p w14:paraId="095AC769">
                  <w:pPr>
                    <w:pStyle w:val="25"/>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50</w:t>
                  </w:r>
                </w:p>
              </w:tc>
              <w:tc>
                <w:tcPr>
                  <w:tcW w:w="675" w:type="dxa"/>
                  <w:noWrap w:val="0"/>
                  <w:vAlign w:val="center"/>
                </w:tcPr>
                <w:p w14:paraId="5C7BE8BE">
                  <w:pPr>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w:t>
                  </w:r>
                </w:p>
              </w:tc>
              <w:tc>
                <w:tcPr>
                  <w:tcW w:w="889" w:type="dxa"/>
                  <w:noWrap w:val="0"/>
                  <w:vAlign w:val="center"/>
                </w:tcPr>
                <w:p w14:paraId="3FC357D3">
                  <w:pPr>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23</w:t>
                  </w:r>
                </w:p>
              </w:tc>
              <w:tc>
                <w:tcPr>
                  <w:tcW w:w="1069" w:type="dxa"/>
                  <w:noWrap w:val="0"/>
                  <w:vAlign w:val="center"/>
                </w:tcPr>
                <w:p w14:paraId="1440B2BF">
                  <w:pP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48.70</w:t>
                  </w:r>
                </w:p>
              </w:tc>
              <w:tc>
                <w:tcPr>
                  <w:tcW w:w="544" w:type="dxa"/>
                  <w:vMerge w:val="continue"/>
                  <w:noWrap w:val="0"/>
                  <w:vAlign w:val="center"/>
                </w:tcPr>
                <w:p w14:paraId="5AFDD1B9">
                  <w:pPr>
                    <w:pStyle w:val="25"/>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rPr>
                  </w:pPr>
                </w:p>
              </w:tc>
              <w:tc>
                <w:tcPr>
                  <w:tcW w:w="868" w:type="dxa"/>
                  <w:vMerge w:val="continue"/>
                  <w:noWrap w:val="0"/>
                  <w:vAlign w:val="center"/>
                </w:tcPr>
                <w:p w14:paraId="5E02C670">
                  <w:pPr>
                    <w:pStyle w:val="25"/>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rPr>
                  </w:pPr>
                </w:p>
              </w:tc>
              <w:tc>
                <w:tcPr>
                  <w:tcW w:w="701" w:type="dxa"/>
                  <w:noWrap w:val="0"/>
                  <w:vAlign w:val="center"/>
                </w:tcPr>
                <w:p w14:paraId="116FDBAE">
                  <w:pPr>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46.70</w:t>
                  </w:r>
                </w:p>
              </w:tc>
              <w:tc>
                <w:tcPr>
                  <w:tcW w:w="746" w:type="dxa"/>
                  <w:vMerge w:val="continue"/>
                  <w:noWrap w:val="0"/>
                  <w:vAlign w:val="center"/>
                </w:tcPr>
                <w:p w14:paraId="0CB398F4">
                  <w:pPr>
                    <w:pStyle w:val="25"/>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rPr>
                  </w:pPr>
                </w:p>
              </w:tc>
            </w:tr>
          </w:tbl>
          <w:p w14:paraId="4FE8CBC1">
            <w:pPr>
              <w:pStyle w:val="48"/>
              <w:widowControl w:val="0"/>
              <w:numPr>
                <w:ilvl w:val="0"/>
                <w:numId w:val="0"/>
              </w:numPr>
              <w:autoSpaceDE w:val="0"/>
              <w:autoSpaceDN w:val="0"/>
              <w:adjustRightInd w:val="0"/>
              <w:rPr>
                <w:rFonts w:hint="default" w:ascii="Times New Roman" w:hAnsi="Times New Roman" w:eastAsia="宋体" w:cs="Times New Roman"/>
                <w:color w:val="auto"/>
                <w:lang w:val="en-US" w:eastAsia="zh-CN"/>
              </w:rPr>
            </w:pPr>
          </w:p>
        </w:tc>
      </w:tr>
    </w:tbl>
    <w:p w14:paraId="5F8E5305">
      <w:pPr>
        <w:pStyle w:val="36"/>
        <w:rPr>
          <w:rFonts w:hint="eastAsia"/>
          <w:color w:val="auto"/>
        </w:rPr>
        <w:sectPr>
          <w:pgSz w:w="16838" w:h="11905" w:orient="landscape"/>
          <w:pgMar w:top="1531" w:right="1701" w:bottom="1531" w:left="1701" w:header="851" w:footer="1077" w:gutter="0"/>
          <w:pgBorders>
            <w:top w:val="none" w:sz="0" w:space="0"/>
            <w:left w:val="none" w:sz="0" w:space="0"/>
            <w:bottom w:val="none" w:sz="0" w:space="0"/>
            <w:right w:val="none" w:sz="0" w:space="0"/>
          </w:pgBorders>
          <w:pgNumType w:fmt="decimal"/>
          <w:cols w:space="0" w:num="1"/>
          <w:rtlGutter w:val="0"/>
          <w:docGrid w:linePitch="312" w:charSpace="0"/>
        </w:sectPr>
      </w:pPr>
    </w:p>
    <w:tbl>
      <w:tblPr>
        <w:tblStyle w:val="30"/>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69"/>
        <w:gridCol w:w="8712"/>
      </w:tblGrid>
      <w:tr w14:paraId="70BCCE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56" w:hRule="atLeast"/>
          <w:jc w:val="center"/>
        </w:trPr>
        <w:tc>
          <w:tcPr>
            <w:tcW w:w="643" w:type="dxa"/>
            <w:noWrap w:val="0"/>
            <w:tcMar>
              <w:left w:w="28" w:type="dxa"/>
              <w:right w:w="28" w:type="dxa"/>
            </w:tcMar>
            <w:vAlign w:val="center"/>
          </w:tcPr>
          <w:p w14:paraId="6258B40E">
            <w:pPr>
              <w:adjustRightInd w:val="0"/>
              <w:snapToGrid w:val="0"/>
              <w:jc w:val="center"/>
              <w:rPr>
                <w:rFonts w:hint="eastAsia" w:ascii="宋体" w:hAnsi="宋体" w:cs="宋体"/>
                <w:bCs/>
                <w:color w:val="auto"/>
                <w:szCs w:val="21"/>
              </w:rPr>
            </w:pPr>
            <w:r>
              <w:rPr>
                <w:rFonts w:hint="eastAsia" w:ascii="宋体" w:hAnsi="宋体" w:cs="宋体"/>
                <w:bCs/>
                <w:color w:val="auto"/>
                <w:szCs w:val="21"/>
              </w:rPr>
              <w:t>运营</w:t>
            </w:r>
          </w:p>
          <w:p w14:paraId="455F2C05">
            <w:pPr>
              <w:adjustRightInd w:val="0"/>
              <w:snapToGrid w:val="0"/>
              <w:jc w:val="center"/>
              <w:rPr>
                <w:rFonts w:hint="eastAsia" w:ascii="宋体" w:hAnsi="宋体" w:cs="宋体"/>
                <w:bCs/>
                <w:color w:val="auto"/>
                <w:szCs w:val="21"/>
              </w:rPr>
            </w:pPr>
            <w:r>
              <w:rPr>
                <w:rFonts w:hint="eastAsia" w:ascii="宋体" w:hAnsi="宋体" w:cs="宋体"/>
                <w:bCs/>
                <w:color w:val="auto"/>
                <w:szCs w:val="21"/>
              </w:rPr>
              <w:t>期环</w:t>
            </w:r>
          </w:p>
          <w:p w14:paraId="04335236">
            <w:pPr>
              <w:adjustRightInd w:val="0"/>
              <w:snapToGrid w:val="0"/>
              <w:jc w:val="center"/>
              <w:rPr>
                <w:rFonts w:hint="eastAsia" w:ascii="宋体" w:hAnsi="宋体" w:cs="宋体"/>
                <w:bCs/>
                <w:color w:val="auto"/>
                <w:szCs w:val="21"/>
              </w:rPr>
            </w:pPr>
            <w:r>
              <w:rPr>
                <w:rFonts w:hint="eastAsia" w:ascii="宋体" w:hAnsi="宋体" w:cs="宋体"/>
                <w:bCs/>
                <w:color w:val="auto"/>
                <w:szCs w:val="21"/>
              </w:rPr>
              <w:t>境影</w:t>
            </w:r>
          </w:p>
          <w:p w14:paraId="61C4ED9A">
            <w:pPr>
              <w:adjustRightInd w:val="0"/>
              <w:snapToGrid w:val="0"/>
              <w:jc w:val="center"/>
              <w:rPr>
                <w:rFonts w:hint="eastAsia" w:ascii="宋体" w:hAnsi="宋体" w:cs="宋体"/>
                <w:bCs/>
                <w:color w:val="auto"/>
                <w:szCs w:val="21"/>
              </w:rPr>
            </w:pPr>
            <w:r>
              <w:rPr>
                <w:rFonts w:hint="eastAsia" w:ascii="宋体" w:hAnsi="宋体" w:cs="宋体"/>
                <w:bCs/>
                <w:color w:val="auto"/>
                <w:szCs w:val="21"/>
              </w:rPr>
              <w:t>响和</w:t>
            </w:r>
          </w:p>
          <w:p w14:paraId="5E18FF8C">
            <w:pPr>
              <w:adjustRightInd w:val="0"/>
              <w:snapToGrid w:val="0"/>
              <w:jc w:val="center"/>
              <w:rPr>
                <w:rFonts w:hint="eastAsia" w:ascii="宋体" w:hAnsi="宋体" w:cs="宋体"/>
                <w:bCs/>
                <w:color w:val="auto"/>
                <w:szCs w:val="21"/>
              </w:rPr>
            </w:pPr>
            <w:r>
              <w:rPr>
                <w:rFonts w:hint="eastAsia" w:ascii="宋体" w:hAnsi="宋体" w:cs="宋体"/>
                <w:bCs/>
                <w:color w:val="auto"/>
                <w:szCs w:val="21"/>
              </w:rPr>
              <w:t>保护</w:t>
            </w:r>
          </w:p>
          <w:p w14:paraId="3F1B818F">
            <w:pPr>
              <w:adjustRightInd w:val="0"/>
              <w:snapToGrid w:val="0"/>
              <w:jc w:val="center"/>
              <w:rPr>
                <w:rFonts w:ascii="宋体" w:hAnsi="宋体" w:cs="宋体"/>
                <w:bCs/>
                <w:color w:val="auto"/>
                <w:szCs w:val="21"/>
              </w:rPr>
            </w:pPr>
            <w:r>
              <w:rPr>
                <w:rFonts w:hint="eastAsia" w:ascii="宋体" w:hAnsi="宋体" w:cs="宋体"/>
                <w:bCs/>
                <w:color w:val="auto"/>
                <w:szCs w:val="21"/>
              </w:rPr>
              <w:t>措施</w:t>
            </w:r>
          </w:p>
        </w:tc>
        <w:tc>
          <w:tcPr>
            <w:tcW w:w="8338" w:type="dxa"/>
            <w:noWrap w:val="0"/>
            <w:vAlign w:val="center"/>
          </w:tcPr>
          <w:p w14:paraId="522303C8">
            <w:pPr>
              <w:pStyle w:val="12"/>
              <w:keepNext w:val="0"/>
              <w:keepLines w:val="0"/>
              <w:pageBreakBefore w:val="0"/>
              <w:widowControl w:val="0"/>
              <w:kinsoku/>
              <w:wordWrap/>
              <w:overflowPunct/>
              <w:topLinePunct w:val="0"/>
              <w:autoSpaceDE/>
              <w:autoSpaceDN/>
              <w:bidi w:val="0"/>
              <w:adjustRightInd/>
              <w:snapToGrid/>
              <w:spacing w:before="0" w:after="0" w:line="360" w:lineRule="auto"/>
              <w:ind w:right="0" w:firstLine="422" w:firstLineChars="200"/>
              <w:textAlignment w:val="auto"/>
              <w:outlineLvl w:val="9"/>
              <w:rPr>
                <w:rFonts w:hint="eastAsia" w:ascii="宋体" w:hAnsi="宋体" w:eastAsia="宋体" w:cs="宋体"/>
                <w:color w:val="auto"/>
                <w:sz w:val="21"/>
                <w:szCs w:val="21"/>
              </w:rPr>
            </w:pPr>
            <w:r>
              <w:rPr>
                <w:rFonts w:hint="eastAsia" w:ascii="宋体" w:hAnsi="宋体" w:eastAsia="宋体" w:cs="宋体"/>
                <w:b/>
                <w:bCs/>
                <w:color w:val="auto"/>
                <w:sz w:val="21"/>
                <w:szCs w:val="21"/>
                <w:lang w:val="en-US" w:eastAsia="zh-CN"/>
              </w:rPr>
              <w:t>拟采取措施：</w:t>
            </w:r>
            <w:r>
              <w:rPr>
                <w:rFonts w:hint="eastAsia" w:ascii="宋体" w:hAnsi="宋体" w:eastAsia="宋体" w:cs="宋体"/>
                <w:color w:val="auto"/>
                <w:sz w:val="21"/>
                <w:szCs w:val="21"/>
                <w:lang w:val="en-US" w:eastAsia="zh-CN"/>
              </w:rPr>
              <w:t xml:space="preserve"> </w:t>
            </w:r>
          </w:p>
          <w:p w14:paraId="308C07D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cs="Times New Roman"/>
                <w:color w:val="auto"/>
                <w:sz w:val="21"/>
                <w:szCs w:val="21"/>
                <w:lang w:val="en-US" w:eastAsia="zh-CN"/>
              </w:rPr>
            </w:pPr>
            <w:r>
              <w:rPr>
                <w:rFonts w:hint="eastAsia" w:ascii="宋体" w:hAnsi="宋体" w:eastAsia="宋体" w:cs="宋体"/>
                <w:color w:val="auto"/>
                <w:sz w:val="21"/>
                <w:szCs w:val="21"/>
                <w:lang w:val="en-US" w:eastAsia="zh-CN"/>
              </w:rPr>
              <w:t>①</w:t>
            </w:r>
            <w:r>
              <w:rPr>
                <w:rFonts w:hint="eastAsia" w:cs="Times New Roman"/>
                <w:color w:val="auto"/>
                <w:sz w:val="21"/>
                <w:szCs w:val="21"/>
                <w:lang w:val="en-US" w:eastAsia="zh-CN"/>
              </w:rPr>
              <w:t>设备选型上应选用先进的、噪声低、振动小的生产设备，安装时采取基础减振等措施。对于高噪声设备（空压机等）加设减震底座。</w:t>
            </w:r>
          </w:p>
          <w:p w14:paraId="5FF3A46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cs="Times New Roman"/>
                <w:color w:val="auto"/>
                <w:sz w:val="21"/>
                <w:szCs w:val="21"/>
                <w:lang w:val="en-US" w:eastAsia="zh-CN"/>
              </w:rPr>
            </w:pPr>
            <w:r>
              <w:rPr>
                <w:rFonts w:hint="eastAsia" w:ascii="宋体" w:hAnsi="宋体" w:eastAsia="宋体" w:cs="宋体"/>
                <w:color w:val="auto"/>
                <w:sz w:val="21"/>
                <w:szCs w:val="21"/>
                <w:lang w:val="en-US" w:eastAsia="zh-CN"/>
              </w:rPr>
              <w:t>②</w:t>
            </w:r>
            <w:r>
              <w:rPr>
                <w:rFonts w:hint="eastAsia" w:cs="Times New Roman"/>
                <w:color w:val="auto"/>
                <w:sz w:val="21"/>
                <w:szCs w:val="21"/>
                <w:lang w:val="en-US" w:eastAsia="zh-CN"/>
              </w:rPr>
              <w:t>合理布置产噪设备。建设单位在布设生产设备时，注意尽量将高噪声设备集中摆放，置于厂房内合理位置，以有效利用噪声距离衰减作用，同时厂房封闭，利用厂房隔声。</w:t>
            </w:r>
          </w:p>
          <w:p w14:paraId="5CB8FCAE">
            <w:pPr>
              <w:pStyle w:val="12"/>
              <w:keepNext w:val="0"/>
              <w:keepLines w:val="0"/>
              <w:pageBreakBefore w:val="0"/>
              <w:widowControl w:val="0"/>
              <w:kinsoku/>
              <w:wordWrap/>
              <w:overflowPunct/>
              <w:topLinePunct w:val="0"/>
              <w:autoSpaceDE/>
              <w:autoSpaceDN/>
              <w:bidi w:val="0"/>
              <w:adjustRightInd/>
              <w:snapToGrid/>
              <w:spacing w:before="0" w:after="0" w:line="360" w:lineRule="auto"/>
              <w:ind w:right="0" w:firstLine="420" w:firstLineChars="20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③</w:t>
            </w:r>
            <w:r>
              <w:rPr>
                <w:rFonts w:hint="eastAsia" w:cs="Times New Roman"/>
                <w:color w:val="auto"/>
                <w:sz w:val="21"/>
                <w:szCs w:val="21"/>
                <w:lang w:val="en-US" w:eastAsia="zh-CN"/>
              </w:rPr>
              <w:t>安排专人定期维护机械设备，确保其正常运转。</w:t>
            </w:r>
            <w:r>
              <w:rPr>
                <w:rFonts w:hint="eastAsia" w:ascii="宋体" w:hAnsi="宋体" w:eastAsia="宋体" w:cs="宋体"/>
                <w:color w:val="auto"/>
                <w:sz w:val="21"/>
                <w:szCs w:val="21"/>
                <w:lang w:val="en-US" w:eastAsia="zh-CN"/>
              </w:rPr>
              <w:t xml:space="preserve"> </w:t>
            </w:r>
          </w:p>
          <w:p w14:paraId="72635BF4">
            <w:pPr>
              <w:pStyle w:val="12"/>
              <w:keepNext w:val="0"/>
              <w:keepLines w:val="0"/>
              <w:pageBreakBefore w:val="0"/>
              <w:widowControl w:val="0"/>
              <w:kinsoku/>
              <w:wordWrap/>
              <w:overflowPunct/>
              <w:topLinePunct w:val="0"/>
              <w:autoSpaceDE/>
              <w:autoSpaceDN/>
              <w:bidi w:val="0"/>
              <w:adjustRightInd/>
              <w:snapToGrid/>
              <w:spacing w:before="0" w:after="0" w:line="360" w:lineRule="auto"/>
              <w:ind w:right="0" w:firstLine="420" w:firstLineChars="200"/>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④采用独立的基础，以减轻共振引起的噪声。在设计及支吊架选择上注意防震、防冲击，以减轻噪声对环境的影响；对车间墙面贴装吸声材料，采用隔音门和隔音窗等；</w:t>
            </w:r>
          </w:p>
          <w:p w14:paraId="5D7D9513">
            <w:pPr>
              <w:pStyle w:val="12"/>
              <w:keepNext w:val="0"/>
              <w:keepLines w:val="0"/>
              <w:pageBreakBefore w:val="0"/>
              <w:widowControl w:val="0"/>
              <w:kinsoku/>
              <w:wordWrap/>
              <w:overflowPunct/>
              <w:topLinePunct w:val="0"/>
              <w:autoSpaceDE/>
              <w:autoSpaceDN/>
              <w:bidi w:val="0"/>
              <w:adjustRightInd/>
              <w:snapToGrid/>
              <w:spacing w:before="0" w:after="0" w:line="360" w:lineRule="auto"/>
              <w:ind w:right="0" w:firstLine="420" w:firstLineChars="20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 xml:space="preserve">⑤加强厂区绿化，进行绿化降噪； </w:t>
            </w:r>
          </w:p>
          <w:p w14:paraId="3899D339">
            <w:pPr>
              <w:pStyle w:val="12"/>
              <w:keepNext w:val="0"/>
              <w:keepLines w:val="0"/>
              <w:pageBreakBefore w:val="0"/>
              <w:widowControl w:val="0"/>
              <w:kinsoku/>
              <w:wordWrap/>
              <w:overflowPunct/>
              <w:topLinePunct w:val="0"/>
              <w:autoSpaceDE/>
              <w:autoSpaceDN/>
              <w:bidi w:val="0"/>
              <w:adjustRightInd/>
              <w:snapToGrid/>
              <w:spacing w:before="0" w:after="0" w:line="360" w:lineRule="auto"/>
              <w:ind w:right="0" w:firstLine="420" w:firstLineChars="20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通过上述噪声防治措施治理后，本项目运营期厂界噪声能够实现达标排放，满足《工业企业厂界环境噪声排放标准》（GB12348-2008）中 3 类标准要求</w:t>
            </w:r>
            <w:r>
              <w:rPr>
                <w:rFonts w:hint="eastAsia" w:ascii="宋体" w:hAnsi="宋体" w:eastAsia="宋体" w:cs="宋体"/>
                <w:color w:val="auto"/>
                <w:sz w:val="21"/>
                <w:szCs w:val="21"/>
              </w:rPr>
              <w:t>。</w:t>
            </w:r>
          </w:p>
          <w:p w14:paraId="72425651">
            <w:pPr>
              <w:spacing w:line="360" w:lineRule="auto"/>
              <w:ind w:firstLine="422" w:firstLineChars="200"/>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◆项目噪声影响预测</w:t>
            </w:r>
          </w:p>
          <w:p w14:paraId="3BD6E29D">
            <w:pPr>
              <w:spacing w:line="360" w:lineRule="auto"/>
              <w:ind w:firstLine="420" w:firstLineChars="2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1）预测模式</w:t>
            </w:r>
          </w:p>
          <w:p w14:paraId="289AD14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固定声源的噪声向周围传播过程中，会发生反射、折射、衍射</w:t>
            </w:r>
            <w:r>
              <w:rPr>
                <w:rFonts w:hint="eastAsia" w:cs="Times New Roman"/>
                <w:color w:val="auto"/>
                <w:sz w:val="21"/>
                <w:szCs w:val="21"/>
                <w:lang w:val="en-US" w:eastAsia="zh-CN"/>
              </w:rPr>
              <w:t>以及</w:t>
            </w:r>
            <w:r>
              <w:rPr>
                <w:rFonts w:hint="eastAsia" w:ascii="Times New Roman" w:hAnsi="Times New Roman" w:eastAsia="宋体" w:cs="Times New Roman"/>
                <w:color w:val="auto"/>
                <w:sz w:val="21"/>
                <w:szCs w:val="21"/>
                <w:lang w:val="en-US" w:eastAsia="zh-CN"/>
              </w:rPr>
              <w:t>吸收等现象。因此，随传播距离的增加而产生的衰减量并不按简单的几何规律计算。</w:t>
            </w:r>
          </w:p>
          <w:p w14:paraId="0943FA1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根据</w:t>
            </w:r>
            <w:r>
              <w:rPr>
                <w:rFonts w:hint="default" w:ascii="Times New Roman" w:hAnsi="Times New Roman" w:eastAsia="宋体" w:cs="Times New Roman"/>
                <w:color w:val="auto"/>
                <w:sz w:val="21"/>
                <w:szCs w:val="21"/>
                <w:lang w:val="en-US" w:eastAsia="zh-CN"/>
              </w:rPr>
              <w:t>《环境影响评价技术导则</w:t>
            </w:r>
            <w:r>
              <w:rPr>
                <w:rFonts w:hint="eastAsia"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lang w:val="en-US" w:eastAsia="zh-CN"/>
              </w:rPr>
              <w:t>声环境》（HJ2.4-2021</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对室内声源的预测方法，声源位于室内，室内声源可采用等效室外声源声功率级法进行计算</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在不考虑空气吸收、声波反射</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而只考虑声能随距离衰减的情况下</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其噪声衰减公式如下</w:t>
            </w:r>
            <w:r>
              <w:rPr>
                <w:rFonts w:hint="eastAsia" w:cs="Times New Roman"/>
                <w:color w:val="auto"/>
                <w:sz w:val="21"/>
                <w:szCs w:val="21"/>
                <w:lang w:val="en-US" w:eastAsia="zh-CN"/>
              </w:rPr>
              <w:t>：</w:t>
            </w:r>
          </w:p>
          <w:p w14:paraId="1113C48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cs="Times New Roman"/>
                <w:color w:val="auto"/>
                <w:sz w:val="21"/>
                <w:szCs w:val="21"/>
                <w:lang w:val="en-US" w:eastAsia="zh-CN"/>
              </w:rPr>
            </w:pPr>
            <w:r>
              <w:rPr>
                <w:rFonts w:hint="eastAsia" w:cs="Times New Roman"/>
                <w:color w:val="auto"/>
                <w:sz w:val="21"/>
                <w:szCs w:val="21"/>
                <w:lang w:val="en-US" w:eastAsia="zh-CN"/>
              </w:rPr>
              <w:t>①对于室内点声源，先按下式计算其等效室外声源声功率级，然后按室外点声源预测方法计算预测点的A声级。</w:t>
            </w:r>
          </w:p>
          <w:p w14:paraId="6C91F4D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L</w:t>
            </w:r>
            <w:r>
              <w:rPr>
                <w:rFonts w:hint="eastAsia" w:cs="Times New Roman"/>
                <w:color w:val="auto"/>
                <w:sz w:val="21"/>
                <w:szCs w:val="21"/>
                <w:vertAlign w:val="subscript"/>
                <w:lang w:val="en-US" w:eastAsia="zh-CN"/>
              </w:rPr>
              <w:t>W</w:t>
            </w:r>
            <w:r>
              <w:rPr>
                <w:rFonts w:hint="eastAsia" w:cs="Times New Roman"/>
                <w:color w:val="auto"/>
                <w:sz w:val="21"/>
                <w:szCs w:val="21"/>
                <w:lang w:val="en-US" w:eastAsia="zh-CN"/>
              </w:rPr>
              <w:t>＝L</w:t>
            </w:r>
            <w:r>
              <w:rPr>
                <w:rFonts w:hint="eastAsia" w:cs="Times New Roman"/>
                <w:color w:val="auto"/>
                <w:sz w:val="21"/>
                <w:szCs w:val="21"/>
                <w:vertAlign w:val="subscript"/>
                <w:lang w:val="en-US" w:eastAsia="zh-CN"/>
              </w:rPr>
              <w:t>P2</w:t>
            </w:r>
            <w:r>
              <w:rPr>
                <w:rFonts w:hint="eastAsia" w:cs="Times New Roman"/>
                <w:color w:val="auto"/>
                <w:sz w:val="21"/>
                <w:szCs w:val="21"/>
                <w:lang w:val="en-US" w:eastAsia="zh-CN"/>
              </w:rPr>
              <w:t>+10lgS</w:t>
            </w:r>
          </w:p>
          <w:p w14:paraId="3306B03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 xml:space="preserve">    L</w:t>
            </w:r>
            <w:r>
              <w:rPr>
                <w:rFonts w:hint="eastAsia" w:cs="Times New Roman"/>
                <w:color w:val="auto"/>
                <w:sz w:val="21"/>
                <w:szCs w:val="21"/>
                <w:vertAlign w:val="subscript"/>
                <w:lang w:val="en-US" w:eastAsia="zh-CN"/>
              </w:rPr>
              <w:t>P2</w:t>
            </w:r>
            <w:r>
              <w:rPr>
                <w:rFonts w:hint="eastAsia" w:cs="Times New Roman"/>
                <w:color w:val="auto"/>
                <w:sz w:val="21"/>
                <w:szCs w:val="21"/>
                <w:lang w:val="en-US" w:eastAsia="zh-CN"/>
              </w:rPr>
              <w:t>＝L</w:t>
            </w:r>
            <w:r>
              <w:rPr>
                <w:rFonts w:hint="eastAsia" w:cs="Times New Roman"/>
                <w:color w:val="auto"/>
                <w:sz w:val="21"/>
                <w:szCs w:val="21"/>
                <w:vertAlign w:val="subscript"/>
                <w:lang w:val="en-US" w:eastAsia="zh-CN"/>
              </w:rPr>
              <w:t>P1</w:t>
            </w:r>
            <w:r>
              <w:rPr>
                <w:rFonts w:hint="eastAsia" w:cs="Times New Roman"/>
                <w:color w:val="auto"/>
                <w:sz w:val="21"/>
                <w:szCs w:val="21"/>
                <w:lang w:val="en-US" w:eastAsia="zh-CN"/>
              </w:rPr>
              <w:t>-（TL+6）</w:t>
            </w:r>
          </w:p>
          <w:p w14:paraId="03F8AE3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 xml:space="preserve">            L</w:t>
            </w:r>
            <w:r>
              <w:rPr>
                <w:rFonts w:hint="eastAsia" w:cs="Times New Roman"/>
                <w:color w:val="auto"/>
                <w:sz w:val="21"/>
                <w:szCs w:val="21"/>
                <w:vertAlign w:val="subscript"/>
                <w:lang w:val="en-US" w:eastAsia="zh-CN"/>
              </w:rPr>
              <w:t>P1</w:t>
            </w:r>
            <w:r>
              <w:rPr>
                <w:rFonts w:hint="eastAsia" w:cs="Times New Roman"/>
                <w:color w:val="auto"/>
                <w:sz w:val="21"/>
                <w:szCs w:val="21"/>
                <w:lang w:val="en-US" w:eastAsia="zh-CN"/>
              </w:rPr>
              <w:t>＝L</w:t>
            </w:r>
            <w:r>
              <w:rPr>
                <w:rFonts w:hint="eastAsia" w:cs="Times New Roman"/>
                <w:color w:val="auto"/>
                <w:sz w:val="21"/>
                <w:szCs w:val="21"/>
                <w:vertAlign w:val="subscript"/>
                <w:lang w:val="en-US" w:eastAsia="zh-CN"/>
              </w:rPr>
              <w:t>e</w:t>
            </w:r>
            <w:r>
              <w:rPr>
                <w:rFonts w:hint="eastAsia" w:cs="Times New Roman"/>
                <w:color w:val="auto"/>
                <w:sz w:val="21"/>
                <w:szCs w:val="21"/>
                <w:lang w:val="en-US" w:eastAsia="zh-CN"/>
              </w:rPr>
              <w:t>+10lg（</w:t>
            </w:r>
            <w:r>
              <w:rPr>
                <w:rFonts w:hint="eastAsia" w:cs="Times New Roman"/>
                <w:color w:val="auto"/>
                <w:position w:val="-24"/>
                <w:sz w:val="21"/>
                <w:szCs w:val="21"/>
                <w:lang w:val="en-US" w:eastAsia="zh-CN"/>
              </w:rPr>
              <w:object>
                <v:shape id="_x0000_i1026" o:spt="75" type="#_x0000_t75" style="height:31pt;width:52pt;" o:ole="t" filled="f" o:preferrelative="t" stroked="f" coordsize="21600,21600">
                  <v:path/>
                  <v:fill on="f" focussize="0,0"/>
                  <v:stroke on="f"/>
                  <v:imagedata r:id="rId21" o:title=""/>
                  <o:lock v:ext="edit" aspectratio="t"/>
                  <w10:wrap type="none"/>
                  <w10:anchorlock/>
                </v:shape>
                <o:OLEObject Type="Embed" ProgID="Equation.KSEE3" ShapeID="_x0000_i1026" DrawAspect="Content" ObjectID="_1468075726" r:id="rId20">
                  <o:LockedField>false</o:LockedField>
                </o:OLEObject>
              </w:object>
            </w:r>
            <w:r>
              <w:rPr>
                <w:rFonts w:hint="eastAsia" w:cs="Times New Roman"/>
                <w:color w:val="auto"/>
                <w:sz w:val="21"/>
                <w:szCs w:val="21"/>
                <w:lang w:val="en-US" w:eastAsia="zh-CN"/>
              </w:rPr>
              <w:t>）</w:t>
            </w:r>
          </w:p>
          <w:p w14:paraId="247E4E8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式中：L</w:t>
            </w:r>
            <w:r>
              <w:rPr>
                <w:rFonts w:hint="default" w:ascii="Times New Roman" w:hAnsi="Times New Roman" w:eastAsia="宋体" w:cs="Times New Roman"/>
                <w:color w:val="auto"/>
                <w:sz w:val="21"/>
                <w:szCs w:val="21"/>
                <w:vertAlign w:val="subscript"/>
                <w:lang w:val="en-US" w:eastAsia="zh-CN"/>
              </w:rPr>
              <w:t>w</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等效室外声源的声功率级；</w:t>
            </w:r>
          </w:p>
          <w:p w14:paraId="7BCBA23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1050" w:firstLineChars="5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L</w:t>
            </w:r>
            <w:r>
              <w:rPr>
                <w:rFonts w:hint="default" w:ascii="Times New Roman" w:hAnsi="Times New Roman" w:eastAsia="宋体" w:cs="Times New Roman"/>
                <w:color w:val="auto"/>
                <w:sz w:val="21"/>
                <w:szCs w:val="21"/>
                <w:vertAlign w:val="subscript"/>
                <w:lang w:val="en-US" w:eastAsia="zh-CN"/>
              </w:rPr>
              <w:t>e</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室内声源的声功率级；</w:t>
            </w:r>
          </w:p>
          <w:p w14:paraId="7785E47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1050" w:firstLineChars="5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透声面积；</w:t>
            </w:r>
          </w:p>
          <w:p w14:paraId="3823EBA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1050" w:firstLineChars="5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L</w:t>
            </w:r>
            <w:r>
              <w:rPr>
                <w:rFonts w:hint="default" w:ascii="Times New Roman" w:hAnsi="Times New Roman" w:eastAsia="宋体" w:cs="Times New Roman"/>
                <w:color w:val="auto"/>
                <w:sz w:val="21"/>
                <w:szCs w:val="21"/>
                <w:vertAlign w:val="subscript"/>
                <w:lang w:val="en-US" w:eastAsia="zh-CN"/>
              </w:rPr>
              <w:t>P1</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室内靠近围护结构处的声压级；</w:t>
            </w:r>
          </w:p>
          <w:p w14:paraId="70A8583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1050" w:firstLineChars="5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L</w:t>
            </w:r>
            <w:r>
              <w:rPr>
                <w:rFonts w:hint="default" w:ascii="Times New Roman" w:hAnsi="Times New Roman" w:eastAsia="宋体" w:cs="Times New Roman"/>
                <w:color w:val="auto"/>
                <w:sz w:val="21"/>
                <w:szCs w:val="21"/>
                <w:vertAlign w:val="subscript"/>
                <w:lang w:val="en-US" w:eastAsia="zh-CN"/>
              </w:rPr>
              <w:t>P2</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室外靠近围护结构处的声压级；</w:t>
            </w:r>
          </w:p>
          <w:p w14:paraId="6668D61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1050" w:firstLineChars="5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TL</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隔墙（或窗户）隔离声量；</w:t>
            </w:r>
          </w:p>
          <w:p w14:paraId="4A6CE90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1050" w:firstLineChars="5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r</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声源到靠近围护结构某点处的距离；</w:t>
            </w:r>
          </w:p>
          <w:p w14:paraId="1C54AA3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1050" w:firstLineChars="5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R</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房间常数；</w:t>
            </w:r>
          </w:p>
          <w:p w14:paraId="66F41E2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1050" w:firstLineChars="5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Q</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指向性因数。</w:t>
            </w:r>
          </w:p>
          <w:p w14:paraId="49465ED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②噪声源至某一预测点的计算公式：</w:t>
            </w:r>
          </w:p>
          <w:p w14:paraId="37A9DE2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LA</w:t>
            </w:r>
            <w:r>
              <w:rPr>
                <w:rFonts w:hint="default" w:ascii="Times New Roman" w:hAnsi="Times New Roman" w:eastAsia="宋体" w:cs="Times New Roman"/>
                <w:color w:val="auto"/>
                <w:sz w:val="21"/>
                <w:szCs w:val="21"/>
                <w:vertAlign w:val="subscript"/>
                <w:lang w:val="en-US" w:eastAsia="zh-CN"/>
              </w:rPr>
              <w:t>（r）</w:t>
            </w:r>
            <w:r>
              <w:rPr>
                <w:rFonts w:hint="default" w:ascii="Times New Roman" w:hAnsi="Times New Roman" w:eastAsia="宋体" w:cs="Times New Roman"/>
                <w:color w:val="auto"/>
                <w:sz w:val="21"/>
                <w:szCs w:val="21"/>
                <w:lang w:val="en-US" w:eastAsia="zh-CN"/>
              </w:rPr>
              <w:t>=LA</w:t>
            </w:r>
            <w:r>
              <w:rPr>
                <w:rFonts w:hint="default" w:ascii="Times New Roman" w:hAnsi="Times New Roman" w:eastAsia="宋体" w:cs="Times New Roman"/>
                <w:color w:val="auto"/>
                <w:sz w:val="21"/>
                <w:szCs w:val="21"/>
                <w:vertAlign w:val="subscript"/>
                <w:lang w:val="en-US" w:eastAsia="zh-CN"/>
              </w:rPr>
              <w:t>（r0）</w:t>
            </w:r>
            <w:r>
              <w:rPr>
                <w:rFonts w:hint="default" w:ascii="Times New Roman" w:hAnsi="Times New Roman" w:eastAsia="宋体" w:cs="Times New Roman"/>
                <w:color w:val="auto"/>
                <w:sz w:val="21"/>
                <w:szCs w:val="21"/>
                <w:lang w:val="en-US" w:eastAsia="zh-CN"/>
              </w:rPr>
              <w:t>-20lg（r/r0）-△L</w:t>
            </w:r>
          </w:p>
          <w:p w14:paraId="19B01A3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式中：LA</w:t>
            </w:r>
            <w:r>
              <w:rPr>
                <w:rFonts w:hint="eastAsia" w:cs="Times New Roman"/>
                <w:color w:val="auto"/>
                <w:sz w:val="21"/>
                <w:szCs w:val="21"/>
                <w:vertAlign w:val="subscript"/>
                <w:lang w:val="en-US" w:eastAsia="zh-CN"/>
              </w:rPr>
              <w:t>（</w:t>
            </w:r>
            <w:r>
              <w:rPr>
                <w:rFonts w:hint="default" w:ascii="Times New Roman" w:hAnsi="Times New Roman" w:eastAsia="宋体" w:cs="Times New Roman"/>
                <w:color w:val="auto"/>
                <w:sz w:val="21"/>
                <w:szCs w:val="21"/>
                <w:vertAlign w:val="subscript"/>
                <w:lang w:val="en-US" w:eastAsia="zh-CN"/>
              </w:rPr>
              <w:t>r</w:t>
            </w:r>
            <w:r>
              <w:rPr>
                <w:rFonts w:hint="eastAsia" w:cs="Times New Roman"/>
                <w:color w:val="auto"/>
                <w:sz w:val="21"/>
                <w:szCs w:val="21"/>
                <w:vertAlign w:val="subscript"/>
                <w:lang w:val="en-US" w:eastAsia="zh-CN"/>
              </w:rPr>
              <w:t>）</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距声源r</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m</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处声级，dB</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A</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w:t>
            </w:r>
          </w:p>
          <w:p w14:paraId="6488249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1050" w:firstLineChars="5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LA</w:t>
            </w:r>
            <w:r>
              <w:rPr>
                <w:rFonts w:hint="eastAsia" w:cs="Times New Roman"/>
                <w:color w:val="auto"/>
                <w:sz w:val="21"/>
                <w:szCs w:val="21"/>
                <w:vertAlign w:val="subscript"/>
                <w:lang w:val="en-US" w:eastAsia="zh-CN"/>
              </w:rPr>
              <w:t>（</w:t>
            </w:r>
            <w:r>
              <w:rPr>
                <w:rFonts w:hint="default" w:ascii="Times New Roman" w:hAnsi="Times New Roman" w:eastAsia="宋体" w:cs="Times New Roman"/>
                <w:color w:val="auto"/>
                <w:sz w:val="21"/>
                <w:szCs w:val="21"/>
                <w:vertAlign w:val="subscript"/>
                <w:lang w:val="en-US" w:eastAsia="zh-CN"/>
              </w:rPr>
              <w:t>r0</w:t>
            </w:r>
            <w:r>
              <w:rPr>
                <w:rFonts w:hint="eastAsia" w:cs="Times New Roman"/>
                <w:color w:val="auto"/>
                <w:sz w:val="21"/>
                <w:szCs w:val="21"/>
                <w:vertAlign w:val="subscript"/>
                <w:lang w:val="en-US" w:eastAsia="zh-CN"/>
              </w:rPr>
              <w:t>）</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距声源r0</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m</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处声级，dB</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A</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w:t>
            </w:r>
          </w:p>
          <w:p w14:paraId="5B3F99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1050" w:firstLineChars="5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r</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距声源的距离，m；</w:t>
            </w:r>
          </w:p>
          <w:p w14:paraId="6F847E5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1050" w:firstLineChars="5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r0</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距声源1m；</w:t>
            </w:r>
          </w:p>
          <w:p w14:paraId="4488CC8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1050" w:firstLineChars="5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△L</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各种因素引起的衰减量（包括声屏障、空气吸收等），dB</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A</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w:t>
            </w:r>
          </w:p>
          <w:p w14:paraId="58497E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③多个噪声源叠加的影响预测模式：</w:t>
            </w:r>
          </w:p>
          <w:p w14:paraId="2F0BFAD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现场有多台设备同时运转，其噪声情况应是这些设备总叠加。多个噪声源叠加后的总声压级，按下式计算：</w:t>
            </w:r>
          </w:p>
          <w:p w14:paraId="7011F21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L</w:t>
            </w:r>
            <w:r>
              <w:rPr>
                <w:rFonts w:hint="eastAsia" w:cs="Times New Roman"/>
                <w:color w:val="auto"/>
                <w:sz w:val="21"/>
                <w:szCs w:val="21"/>
                <w:vertAlign w:val="subscript"/>
                <w:lang w:val="en-US" w:eastAsia="zh-CN"/>
              </w:rPr>
              <w:t>t</w:t>
            </w:r>
            <w:r>
              <w:rPr>
                <w:rFonts w:hint="default" w:ascii="Times New Roman" w:hAnsi="Times New Roman" w:eastAsia="宋体" w:cs="Times New Roman"/>
                <w:color w:val="auto"/>
                <w:sz w:val="21"/>
                <w:szCs w:val="21"/>
                <w:lang w:val="en-US" w:eastAsia="zh-CN"/>
              </w:rPr>
              <w:t>=10lg（</w:t>
            </w:r>
            <w:r>
              <w:rPr>
                <w:rFonts w:hint="default" w:ascii="Times New Roman" w:hAnsi="Times New Roman" w:eastAsia="宋体" w:cs="Times New Roman"/>
                <w:color w:val="auto"/>
                <w:position w:val="-28"/>
                <w:sz w:val="21"/>
                <w:szCs w:val="21"/>
                <w:lang w:val="en-US" w:eastAsia="zh-CN"/>
              </w:rPr>
              <w:object>
                <v:shape id="_x0000_i1027" o:spt="75" type="#_x0000_t75" style="height:34pt;width:49pt;" o:ole="t" filled="f" o:preferrelative="t" stroked="f" coordsize="21600,21600">
                  <v:path/>
                  <v:fill on="f" focussize="0,0"/>
                  <v:stroke on="f"/>
                  <v:imagedata r:id="rId23" o:title=""/>
                  <o:lock v:ext="edit" aspectratio="t"/>
                  <w10:wrap type="none"/>
                  <w10:anchorlock/>
                </v:shape>
                <o:OLEObject Type="Embed" ProgID="Equation.KSEE3" ShapeID="_x0000_i1027" DrawAspect="Content" ObjectID="_1468075727" r:id="rId22">
                  <o:LockedField>false</o:LockedField>
                </o:OLEObject>
              </w:object>
            </w:r>
            <w:r>
              <w:rPr>
                <w:rFonts w:hint="eastAsia" w:cs="Times New Roman"/>
                <w:color w:val="auto"/>
                <w:sz w:val="21"/>
                <w:szCs w:val="21"/>
                <w:lang w:val="en-US" w:eastAsia="zh-CN"/>
              </w:rPr>
              <w:t>）</w:t>
            </w:r>
          </w:p>
          <w:p w14:paraId="0207EF2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式中：n</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声源总数；</w:t>
            </w:r>
          </w:p>
          <w:p w14:paraId="6BE17C9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1050" w:firstLineChars="5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LPi</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第i个声源对某点产生的声压级dB</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A</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w:t>
            </w:r>
          </w:p>
          <w:p w14:paraId="12FF785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1050" w:firstLineChars="500"/>
              <w:jc w:val="both"/>
              <w:textAlignment w:val="auto"/>
              <w:rPr>
                <w:rFonts w:hint="eastAsia"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Lt</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某点总的声压级dB（A）</w:t>
            </w:r>
            <w:r>
              <w:rPr>
                <w:rFonts w:hint="eastAsia" w:cs="Times New Roman"/>
                <w:color w:val="auto"/>
                <w:sz w:val="21"/>
                <w:szCs w:val="21"/>
                <w:lang w:val="en-US" w:eastAsia="zh-CN"/>
              </w:rPr>
              <w:t>。</w:t>
            </w:r>
          </w:p>
          <w:p w14:paraId="5F40A825">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20" w:firstLineChars="200"/>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预测结果</w:t>
            </w:r>
          </w:p>
          <w:p w14:paraId="3BD7083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fldChar w:fldCharType="begin"/>
            </w:r>
            <w:r>
              <w:rPr>
                <w:rFonts w:hint="eastAsia" w:ascii="宋体" w:hAnsi="宋体" w:eastAsia="宋体" w:cs="宋体"/>
                <w:color w:val="auto"/>
                <w:sz w:val="21"/>
                <w:szCs w:val="21"/>
                <w:lang w:val="en-US" w:eastAsia="zh-CN"/>
              </w:rPr>
              <w:instrText xml:space="preserve"> = 1 \* GB3 \* MERGEFORMAT </w:instrText>
            </w:r>
            <w:r>
              <w:rPr>
                <w:rFonts w:hint="eastAsia" w:ascii="宋体" w:hAnsi="宋体" w:eastAsia="宋体" w:cs="宋体"/>
                <w:color w:val="auto"/>
                <w:sz w:val="21"/>
                <w:szCs w:val="21"/>
                <w:lang w:val="en-US" w:eastAsia="zh-CN"/>
              </w:rPr>
              <w:fldChar w:fldCharType="separate"/>
            </w:r>
            <w:r>
              <w:rPr>
                <w:rFonts w:hint="eastAsia" w:ascii="宋体" w:hAnsi="宋体" w:eastAsia="宋体" w:cs="宋体"/>
                <w:color w:val="auto"/>
                <w:sz w:val="21"/>
                <w:szCs w:val="21"/>
              </w:rPr>
              <w:t>①</w:t>
            </w:r>
            <w:r>
              <w:rPr>
                <w:rFonts w:hint="eastAsia" w:ascii="宋体" w:hAnsi="宋体" w:eastAsia="宋体" w:cs="宋体"/>
                <w:color w:val="auto"/>
                <w:sz w:val="21"/>
                <w:szCs w:val="21"/>
                <w:lang w:val="en-US" w:eastAsia="zh-CN"/>
              </w:rPr>
              <w:fldChar w:fldCharType="end"/>
            </w:r>
            <w:r>
              <w:rPr>
                <w:rFonts w:hint="eastAsia" w:ascii="宋体" w:hAnsi="宋体" w:eastAsia="宋体" w:cs="宋体"/>
                <w:color w:val="auto"/>
                <w:sz w:val="21"/>
                <w:szCs w:val="21"/>
                <w:lang w:val="en-US" w:eastAsia="zh-CN"/>
              </w:rPr>
              <w:t>厂界噪声预测</w:t>
            </w:r>
          </w:p>
          <w:p w14:paraId="36F8DD8B">
            <w:pPr>
              <w:snapToGrid w:val="0"/>
              <w:spacing w:before="120" w:beforeLines="50"/>
              <w:jc w:val="center"/>
              <w:rPr>
                <w:rFonts w:hint="eastAsia"/>
                <w:b/>
                <w:color w:val="auto"/>
                <w:sz w:val="21"/>
                <w:szCs w:val="21"/>
                <w:lang w:val="en-US" w:eastAsia="zh-CN"/>
              </w:rPr>
            </w:pPr>
            <w:r>
              <w:rPr>
                <w:rFonts w:hint="eastAsia"/>
                <w:b/>
                <w:color w:val="auto"/>
                <w:sz w:val="21"/>
                <w:szCs w:val="21"/>
                <w:lang w:val="en-US" w:eastAsia="zh-CN"/>
              </w:rPr>
              <w:t>表4-9  项目噪声源对厂界贡献值</w:t>
            </w:r>
          </w:p>
          <w:tbl>
            <w:tblPr>
              <w:tblStyle w:val="3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44"/>
              <w:gridCol w:w="1189"/>
              <w:gridCol w:w="1113"/>
              <w:gridCol w:w="656"/>
              <w:gridCol w:w="656"/>
              <w:gridCol w:w="656"/>
              <w:gridCol w:w="678"/>
              <w:gridCol w:w="775"/>
              <w:gridCol w:w="775"/>
              <w:gridCol w:w="775"/>
              <w:gridCol w:w="776"/>
            </w:tblGrid>
            <w:tr w14:paraId="67C56C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262" w:type="pct"/>
                  <w:vMerge w:val="restart"/>
                  <w:tcBorders>
                    <w:tl2br w:val="nil"/>
                    <w:tr2bl w:val="nil"/>
                  </w:tcBorders>
                  <w:noWrap w:val="0"/>
                  <w:vAlign w:val="center"/>
                </w:tcPr>
                <w:p w14:paraId="27068F8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序号</w:t>
                  </w:r>
                </w:p>
              </w:tc>
              <w:tc>
                <w:tcPr>
                  <w:tcW w:w="700" w:type="pct"/>
                  <w:vMerge w:val="restart"/>
                  <w:tcBorders>
                    <w:tl2br w:val="nil"/>
                    <w:tr2bl w:val="nil"/>
                  </w:tcBorders>
                  <w:noWrap w:val="0"/>
                  <w:vAlign w:val="center"/>
                </w:tcPr>
                <w:p w14:paraId="1F5030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主要噪声源</w:t>
                  </w:r>
                </w:p>
              </w:tc>
              <w:tc>
                <w:tcPr>
                  <w:tcW w:w="655" w:type="pct"/>
                  <w:vMerge w:val="restart"/>
                  <w:tcBorders>
                    <w:tl2br w:val="nil"/>
                    <w:tr2bl w:val="nil"/>
                  </w:tcBorders>
                  <w:noWrap w:val="0"/>
                  <w:vAlign w:val="center"/>
                </w:tcPr>
                <w:p w14:paraId="7FC9071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等效室外噪声级</w:t>
                  </w:r>
                </w:p>
                <w:p w14:paraId="66CCF4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dB（A）</w:t>
                  </w:r>
                </w:p>
              </w:tc>
              <w:tc>
                <w:tcPr>
                  <w:tcW w:w="1555" w:type="pct"/>
                  <w:gridSpan w:val="4"/>
                  <w:tcBorders>
                    <w:tl2br w:val="nil"/>
                    <w:tr2bl w:val="nil"/>
                  </w:tcBorders>
                  <w:noWrap w:val="0"/>
                  <w:vAlign w:val="center"/>
                </w:tcPr>
                <w:p w14:paraId="748D2A0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噪声源离厂界距离（m）</w:t>
                  </w:r>
                </w:p>
              </w:tc>
              <w:tc>
                <w:tcPr>
                  <w:tcW w:w="1825" w:type="pct"/>
                  <w:gridSpan w:val="4"/>
                  <w:tcBorders>
                    <w:tl2br w:val="nil"/>
                    <w:tr2bl w:val="nil"/>
                  </w:tcBorders>
                  <w:noWrap w:val="0"/>
                  <w:vAlign w:val="center"/>
                </w:tcPr>
                <w:p w14:paraId="4CFF42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噪声贡献值dB(A)</w:t>
                  </w:r>
                </w:p>
              </w:tc>
            </w:tr>
            <w:tr w14:paraId="1B7A69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262" w:type="pct"/>
                  <w:vMerge w:val="continue"/>
                  <w:tcBorders>
                    <w:tl2br w:val="nil"/>
                    <w:tr2bl w:val="nil"/>
                  </w:tcBorders>
                  <w:noWrap w:val="0"/>
                  <w:vAlign w:val="center"/>
                </w:tcPr>
                <w:p w14:paraId="1A7A1A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eastAsia="宋体" w:cs="宋体"/>
                      <w:color w:val="auto"/>
                      <w:sz w:val="21"/>
                      <w:szCs w:val="21"/>
                      <w:lang w:val="en-US" w:eastAsia="zh-CN"/>
                    </w:rPr>
                  </w:pPr>
                </w:p>
              </w:tc>
              <w:tc>
                <w:tcPr>
                  <w:tcW w:w="700" w:type="pct"/>
                  <w:vMerge w:val="continue"/>
                  <w:tcBorders>
                    <w:tl2br w:val="nil"/>
                    <w:tr2bl w:val="nil"/>
                  </w:tcBorders>
                  <w:noWrap w:val="0"/>
                  <w:vAlign w:val="center"/>
                </w:tcPr>
                <w:p w14:paraId="1B09496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eastAsia="宋体" w:cs="宋体"/>
                      <w:color w:val="auto"/>
                      <w:sz w:val="21"/>
                      <w:szCs w:val="21"/>
                      <w:lang w:val="en-US" w:eastAsia="zh-CN"/>
                    </w:rPr>
                  </w:pPr>
                </w:p>
              </w:tc>
              <w:tc>
                <w:tcPr>
                  <w:tcW w:w="655" w:type="pct"/>
                  <w:vMerge w:val="continue"/>
                  <w:tcBorders>
                    <w:tl2br w:val="nil"/>
                    <w:tr2bl w:val="nil"/>
                  </w:tcBorders>
                  <w:noWrap w:val="0"/>
                  <w:vAlign w:val="center"/>
                </w:tcPr>
                <w:p w14:paraId="5C6C9A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eastAsia="宋体" w:cs="宋体"/>
                      <w:color w:val="auto"/>
                      <w:sz w:val="21"/>
                      <w:szCs w:val="21"/>
                      <w:lang w:val="en-US" w:eastAsia="zh-CN"/>
                    </w:rPr>
                  </w:pPr>
                </w:p>
              </w:tc>
              <w:tc>
                <w:tcPr>
                  <w:tcW w:w="386" w:type="pct"/>
                  <w:tcBorders>
                    <w:tl2br w:val="nil"/>
                    <w:tr2bl w:val="nil"/>
                  </w:tcBorders>
                  <w:noWrap w:val="0"/>
                  <w:vAlign w:val="center"/>
                </w:tcPr>
                <w:p w14:paraId="5FA951D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E</w:t>
                  </w:r>
                </w:p>
              </w:tc>
              <w:tc>
                <w:tcPr>
                  <w:tcW w:w="386" w:type="pct"/>
                  <w:tcBorders>
                    <w:tl2br w:val="nil"/>
                    <w:tr2bl w:val="nil"/>
                  </w:tcBorders>
                  <w:noWrap w:val="0"/>
                  <w:vAlign w:val="center"/>
                </w:tcPr>
                <w:p w14:paraId="56F7AA7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S</w:t>
                  </w:r>
                </w:p>
              </w:tc>
              <w:tc>
                <w:tcPr>
                  <w:tcW w:w="386" w:type="pct"/>
                  <w:tcBorders>
                    <w:tl2br w:val="nil"/>
                    <w:tr2bl w:val="nil"/>
                  </w:tcBorders>
                  <w:noWrap w:val="0"/>
                  <w:vAlign w:val="center"/>
                </w:tcPr>
                <w:p w14:paraId="05E511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w:t>
                  </w:r>
                </w:p>
              </w:tc>
              <w:tc>
                <w:tcPr>
                  <w:tcW w:w="397" w:type="pct"/>
                  <w:tcBorders>
                    <w:tl2br w:val="nil"/>
                    <w:tr2bl w:val="nil"/>
                  </w:tcBorders>
                  <w:noWrap w:val="0"/>
                  <w:vAlign w:val="center"/>
                </w:tcPr>
                <w:p w14:paraId="71F234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N</w:t>
                  </w:r>
                </w:p>
              </w:tc>
              <w:tc>
                <w:tcPr>
                  <w:tcW w:w="456" w:type="pct"/>
                  <w:tcBorders>
                    <w:tl2br w:val="nil"/>
                    <w:tr2bl w:val="nil"/>
                  </w:tcBorders>
                  <w:noWrap w:val="0"/>
                  <w:vAlign w:val="center"/>
                </w:tcPr>
                <w:p w14:paraId="1903BA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E</w:t>
                  </w:r>
                </w:p>
              </w:tc>
              <w:tc>
                <w:tcPr>
                  <w:tcW w:w="456" w:type="pct"/>
                  <w:tcBorders>
                    <w:tl2br w:val="nil"/>
                    <w:tr2bl w:val="nil"/>
                  </w:tcBorders>
                  <w:noWrap w:val="0"/>
                  <w:vAlign w:val="center"/>
                </w:tcPr>
                <w:p w14:paraId="064C6AF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S</w:t>
                  </w:r>
                </w:p>
              </w:tc>
              <w:tc>
                <w:tcPr>
                  <w:tcW w:w="456" w:type="pct"/>
                  <w:tcBorders>
                    <w:tl2br w:val="nil"/>
                    <w:tr2bl w:val="nil"/>
                  </w:tcBorders>
                  <w:noWrap w:val="0"/>
                  <w:vAlign w:val="center"/>
                </w:tcPr>
                <w:p w14:paraId="7051FE9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w:t>
                  </w:r>
                </w:p>
              </w:tc>
              <w:tc>
                <w:tcPr>
                  <w:tcW w:w="456" w:type="pct"/>
                  <w:tcBorders>
                    <w:tl2br w:val="nil"/>
                    <w:tr2bl w:val="nil"/>
                  </w:tcBorders>
                  <w:noWrap w:val="0"/>
                  <w:vAlign w:val="center"/>
                </w:tcPr>
                <w:p w14:paraId="76E5CCF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N</w:t>
                  </w:r>
                </w:p>
              </w:tc>
            </w:tr>
            <w:tr w14:paraId="088011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262" w:type="pct"/>
                  <w:tcBorders>
                    <w:tl2br w:val="nil"/>
                    <w:tr2bl w:val="nil"/>
                  </w:tcBorders>
                  <w:noWrap w:val="0"/>
                  <w:vAlign w:val="center"/>
                </w:tcPr>
                <w:p w14:paraId="16B5729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p>
              </w:tc>
              <w:tc>
                <w:tcPr>
                  <w:tcW w:w="700" w:type="pct"/>
                  <w:tcBorders>
                    <w:tl2br w:val="nil"/>
                    <w:tr2bl w:val="nil"/>
                  </w:tcBorders>
                  <w:noWrap w:val="0"/>
                  <w:vAlign w:val="center"/>
                </w:tcPr>
                <w:p w14:paraId="5E1C951E">
                  <w:pPr>
                    <w:autoSpaceDE/>
                    <w:autoSpaceDN/>
                    <w:adjustRightInd w:val="0"/>
                    <w:snapToGrid w:val="0"/>
                    <w:spacing w:line="240" w:lineRule="auto"/>
                    <w:ind w:firstLine="0" w:firstLineChars="0"/>
                    <w:jc w:val="center"/>
                    <w:rPr>
                      <w:rFonts w:hint="eastAsia" w:ascii="宋体" w:hAnsi="宋体" w:eastAsia="宋体" w:cs="宋体"/>
                      <w:color w:val="auto"/>
                      <w:sz w:val="21"/>
                      <w:szCs w:val="21"/>
                      <w:lang w:val="en-US" w:eastAsia="zh-CN"/>
                    </w:rPr>
                  </w:pPr>
                  <w:r>
                    <w:rPr>
                      <w:rFonts w:hint="default" w:ascii="Times New Roman" w:hAnsi="Times New Roman" w:eastAsia="宋体" w:cs="Times New Roman"/>
                      <w:color w:val="auto"/>
                      <w:sz w:val="21"/>
                      <w:szCs w:val="21"/>
                      <w:highlight w:val="none"/>
                    </w:rPr>
                    <w:t>空压机</w:t>
                  </w:r>
                  <w:r>
                    <w:rPr>
                      <w:rFonts w:hint="eastAsia" w:ascii="Times New Roman" w:hAnsi="Times New Roman" w:eastAsia="宋体" w:cs="Times New Roman"/>
                      <w:color w:val="auto"/>
                      <w:sz w:val="21"/>
                      <w:szCs w:val="21"/>
                      <w:highlight w:val="none"/>
                      <w:lang w:val="en-US" w:eastAsia="zh-CN"/>
                    </w:rPr>
                    <w:t>1</w:t>
                  </w:r>
                </w:p>
              </w:tc>
              <w:tc>
                <w:tcPr>
                  <w:tcW w:w="1063" w:type="dxa"/>
                  <w:tcBorders>
                    <w:tl2br w:val="nil"/>
                    <w:tr2bl w:val="nil"/>
                  </w:tcBorders>
                  <w:noWrap w:val="0"/>
                  <w:vAlign w:val="center"/>
                </w:tcPr>
                <w:p w14:paraId="0A59D336">
                  <w:pPr>
                    <w:jc w:val="center"/>
                    <w:rPr>
                      <w:rFonts w:hint="eastAsia" w:ascii="宋体" w:hAnsi="宋体" w:eastAsia="宋体" w:cs="宋体"/>
                      <w:color w:val="auto"/>
                      <w:sz w:val="21"/>
                      <w:szCs w:val="21"/>
                      <w:lang w:val="en-US" w:eastAsia="zh-CN"/>
                    </w:rPr>
                  </w:pPr>
                  <w:r>
                    <w:rPr>
                      <w:rFonts w:hint="eastAsia" w:cs="Times New Roman"/>
                      <w:color w:val="auto"/>
                      <w:sz w:val="21"/>
                      <w:szCs w:val="21"/>
                      <w:highlight w:val="none"/>
                      <w:lang w:val="en-US" w:eastAsia="zh-CN"/>
                    </w:rPr>
                    <w:t>63.12</w:t>
                  </w:r>
                </w:p>
              </w:tc>
              <w:tc>
                <w:tcPr>
                  <w:tcW w:w="386" w:type="pct"/>
                  <w:tcBorders>
                    <w:tl2br w:val="nil"/>
                    <w:tr2bl w:val="nil"/>
                  </w:tcBorders>
                  <w:noWrap w:val="0"/>
                  <w:vAlign w:val="center"/>
                </w:tcPr>
                <w:p w14:paraId="6E7F0FA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100</w:t>
                  </w:r>
                </w:p>
              </w:tc>
              <w:tc>
                <w:tcPr>
                  <w:tcW w:w="386" w:type="pct"/>
                  <w:tcBorders>
                    <w:tl2br w:val="nil"/>
                    <w:tr2bl w:val="nil"/>
                  </w:tcBorders>
                  <w:noWrap w:val="0"/>
                  <w:vAlign w:val="center"/>
                </w:tcPr>
                <w:p w14:paraId="43E5E39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85</w:t>
                  </w:r>
                </w:p>
              </w:tc>
              <w:tc>
                <w:tcPr>
                  <w:tcW w:w="386" w:type="pct"/>
                  <w:tcBorders>
                    <w:tl2br w:val="nil"/>
                    <w:tr2bl w:val="nil"/>
                  </w:tcBorders>
                  <w:noWrap w:val="0"/>
                  <w:vAlign w:val="center"/>
                </w:tcPr>
                <w:p w14:paraId="459B6D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20</w:t>
                  </w:r>
                </w:p>
              </w:tc>
              <w:tc>
                <w:tcPr>
                  <w:tcW w:w="397" w:type="pct"/>
                  <w:tcBorders>
                    <w:tl2br w:val="nil"/>
                    <w:tr2bl w:val="nil"/>
                  </w:tcBorders>
                  <w:noWrap w:val="0"/>
                  <w:vAlign w:val="center"/>
                </w:tcPr>
                <w:p w14:paraId="06958E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90</w:t>
                  </w:r>
                </w:p>
              </w:tc>
              <w:tc>
                <w:tcPr>
                  <w:tcW w:w="456" w:type="pct"/>
                  <w:tcBorders>
                    <w:tl2br w:val="nil"/>
                    <w:tr2bl w:val="nil"/>
                  </w:tcBorders>
                  <w:noWrap w:val="0"/>
                  <w:vAlign w:val="center"/>
                </w:tcPr>
                <w:p w14:paraId="0027A2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24.17</w:t>
                  </w:r>
                </w:p>
              </w:tc>
              <w:tc>
                <w:tcPr>
                  <w:tcW w:w="456" w:type="pct"/>
                  <w:tcBorders>
                    <w:tl2br w:val="nil"/>
                    <w:tr2bl w:val="nil"/>
                  </w:tcBorders>
                  <w:noWrap w:val="0"/>
                  <w:vAlign w:val="center"/>
                </w:tcPr>
                <w:p w14:paraId="49E4DA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25.58</w:t>
                  </w:r>
                </w:p>
              </w:tc>
              <w:tc>
                <w:tcPr>
                  <w:tcW w:w="456" w:type="pct"/>
                  <w:tcBorders>
                    <w:tl2br w:val="nil"/>
                    <w:tr2bl w:val="nil"/>
                  </w:tcBorders>
                  <w:noWrap w:val="0"/>
                  <w:vAlign w:val="center"/>
                </w:tcPr>
                <w:p w14:paraId="332FC34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38.00</w:t>
                  </w:r>
                </w:p>
              </w:tc>
              <w:tc>
                <w:tcPr>
                  <w:tcW w:w="456" w:type="pct"/>
                  <w:tcBorders>
                    <w:tl2br w:val="nil"/>
                    <w:tr2bl w:val="nil"/>
                  </w:tcBorders>
                  <w:noWrap w:val="0"/>
                  <w:vAlign w:val="center"/>
                </w:tcPr>
                <w:p w14:paraId="33DFEA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25.09</w:t>
                  </w:r>
                </w:p>
              </w:tc>
            </w:tr>
            <w:tr w14:paraId="54CE97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262" w:type="pct"/>
                  <w:tcBorders>
                    <w:tl2br w:val="nil"/>
                    <w:tr2bl w:val="nil"/>
                  </w:tcBorders>
                  <w:noWrap w:val="0"/>
                  <w:vAlign w:val="center"/>
                </w:tcPr>
                <w:p w14:paraId="059F5C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w:t>
                  </w:r>
                </w:p>
              </w:tc>
              <w:tc>
                <w:tcPr>
                  <w:tcW w:w="700" w:type="pct"/>
                  <w:tcBorders>
                    <w:tl2br w:val="nil"/>
                    <w:tr2bl w:val="nil"/>
                  </w:tcBorders>
                  <w:noWrap w:val="0"/>
                  <w:vAlign w:val="center"/>
                </w:tcPr>
                <w:p w14:paraId="508A6492">
                  <w:pPr>
                    <w:autoSpaceDE/>
                    <w:autoSpaceDN/>
                    <w:adjustRightInd w:val="0"/>
                    <w:snapToGrid w:val="0"/>
                    <w:spacing w:line="240" w:lineRule="auto"/>
                    <w:ind w:firstLine="0" w:firstLineChars="0"/>
                    <w:jc w:val="center"/>
                    <w:rPr>
                      <w:rFonts w:hint="default" w:ascii="宋体" w:hAnsi="宋体" w:eastAsia="宋体" w:cs="宋体"/>
                      <w:color w:val="auto"/>
                      <w:sz w:val="21"/>
                      <w:szCs w:val="21"/>
                      <w:lang w:val="en-US" w:eastAsia="zh-CN"/>
                    </w:rPr>
                  </w:pPr>
                  <w:r>
                    <w:rPr>
                      <w:rFonts w:hint="default" w:ascii="Times New Roman" w:hAnsi="Times New Roman" w:eastAsia="宋体" w:cs="Times New Roman"/>
                      <w:color w:val="auto"/>
                      <w:sz w:val="21"/>
                      <w:szCs w:val="21"/>
                      <w:highlight w:val="none"/>
                    </w:rPr>
                    <w:t>空压机</w:t>
                  </w:r>
                  <w:r>
                    <w:rPr>
                      <w:rFonts w:hint="eastAsia" w:ascii="Times New Roman" w:hAnsi="Times New Roman" w:eastAsia="宋体" w:cs="Times New Roman"/>
                      <w:color w:val="auto"/>
                      <w:sz w:val="21"/>
                      <w:szCs w:val="21"/>
                      <w:highlight w:val="none"/>
                      <w:lang w:val="en-US" w:eastAsia="zh-CN"/>
                    </w:rPr>
                    <w:t>2</w:t>
                  </w:r>
                </w:p>
              </w:tc>
              <w:tc>
                <w:tcPr>
                  <w:tcW w:w="1063" w:type="dxa"/>
                  <w:tcBorders>
                    <w:tl2br w:val="nil"/>
                    <w:tr2bl w:val="nil"/>
                  </w:tcBorders>
                  <w:noWrap w:val="0"/>
                  <w:vAlign w:val="center"/>
                </w:tcPr>
                <w:p w14:paraId="18174968">
                  <w:pPr>
                    <w:jc w:val="center"/>
                    <w:rPr>
                      <w:rFonts w:hint="default" w:ascii="宋体" w:hAnsi="宋体" w:eastAsia="宋体" w:cs="宋体"/>
                      <w:color w:val="auto"/>
                      <w:sz w:val="21"/>
                      <w:szCs w:val="21"/>
                      <w:lang w:val="en-US" w:eastAsia="zh-CN"/>
                    </w:rPr>
                  </w:pPr>
                  <w:r>
                    <w:rPr>
                      <w:rFonts w:hint="eastAsia" w:cs="Times New Roman"/>
                      <w:bCs/>
                      <w:color w:val="auto"/>
                      <w:sz w:val="21"/>
                      <w:szCs w:val="21"/>
                      <w:highlight w:val="none"/>
                      <w:lang w:val="en-US" w:eastAsia="zh-CN"/>
                    </w:rPr>
                    <w:t>61.98</w:t>
                  </w:r>
                </w:p>
              </w:tc>
              <w:tc>
                <w:tcPr>
                  <w:tcW w:w="386" w:type="pct"/>
                  <w:tcBorders>
                    <w:tl2br w:val="nil"/>
                    <w:tr2bl w:val="nil"/>
                  </w:tcBorders>
                  <w:noWrap w:val="0"/>
                  <w:vAlign w:val="center"/>
                </w:tcPr>
                <w:p w14:paraId="10E5486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95</w:t>
                  </w:r>
                </w:p>
              </w:tc>
              <w:tc>
                <w:tcPr>
                  <w:tcW w:w="386" w:type="pct"/>
                  <w:tcBorders>
                    <w:tl2br w:val="nil"/>
                    <w:tr2bl w:val="nil"/>
                  </w:tcBorders>
                  <w:noWrap w:val="0"/>
                  <w:vAlign w:val="center"/>
                </w:tcPr>
                <w:p w14:paraId="778C59E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100</w:t>
                  </w:r>
                </w:p>
              </w:tc>
              <w:tc>
                <w:tcPr>
                  <w:tcW w:w="386" w:type="pct"/>
                  <w:tcBorders>
                    <w:tl2br w:val="nil"/>
                    <w:tr2bl w:val="nil"/>
                  </w:tcBorders>
                  <w:noWrap w:val="0"/>
                  <w:vAlign w:val="center"/>
                </w:tcPr>
                <w:p w14:paraId="7A2168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25</w:t>
                  </w:r>
                </w:p>
              </w:tc>
              <w:tc>
                <w:tcPr>
                  <w:tcW w:w="397" w:type="pct"/>
                  <w:tcBorders>
                    <w:tl2br w:val="nil"/>
                    <w:tr2bl w:val="nil"/>
                  </w:tcBorders>
                  <w:noWrap w:val="0"/>
                  <w:vAlign w:val="center"/>
                </w:tcPr>
                <w:p w14:paraId="26D4A1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75</w:t>
                  </w:r>
                </w:p>
              </w:tc>
              <w:tc>
                <w:tcPr>
                  <w:tcW w:w="456" w:type="pct"/>
                  <w:tcBorders>
                    <w:tl2br w:val="nil"/>
                    <w:tr2bl w:val="nil"/>
                  </w:tcBorders>
                  <w:noWrap w:val="0"/>
                  <w:vAlign w:val="center"/>
                </w:tcPr>
                <w:p w14:paraId="40E1B9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23.48</w:t>
                  </w:r>
                </w:p>
              </w:tc>
              <w:tc>
                <w:tcPr>
                  <w:tcW w:w="456" w:type="pct"/>
                  <w:tcBorders>
                    <w:tl2br w:val="nil"/>
                    <w:tr2bl w:val="nil"/>
                  </w:tcBorders>
                  <w:noWrap w:val="0"/>
                  <w:vAlign w:val="center"/>
                </w:tcPr>
                <w:p w14:paraId="3E728EC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23.03</w:t>
                  </w:r>
                </w:p>
              </w:tc>
              <w:tc>
                <w:tcPr>
                  <w:tcW w:w="456" w:type="pct"/>
                  <w:tcBorders>
                    <w:tl2br w:val="nil"/>
                    <w:tr2bl w:val="nil"/>
                  </w:tcBorders>
                  <w:noWrap w:val="0"/>
                  <w:vAlign w:val="center"/>
                </w:tcPr>
                <w:p w14:paraId="742BBFB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34.98</w:t>
                  </w:r>
                </w:p>
              </w:tc>
              <w:tc>
                <w:tcPr>
                  <w:tcW w:w="456" w:type="pct"/>
                  <w:tcBorders>
                    <w:tl2br w:val="nil"/>
                    <w:tr2bl w:val="nil"/>
                  </w:tcBorders>
                  <w:noWrap w:val="0"/>
                  <w:vAlign w:val="center"/>
                </w:tcPr>
                <w:p w14:paraId="0EC6244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25.53</w:t>
                  </w:r>
                </w:p>
              </w:tc>
            </w:tr>
            <w:tr w14:paraId="73EE90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262" w:type="pct"/>
                  <w:tcBorders>
                    <w:tl2br w:val="nil"/>
                    <w:tr2bl w:val="nil"/>
                  </w:tcBorders>
                  <w:noWrap w:val="0"/>
                  <w:vAlign w:val="center"/>
                </w:tcPr>
                <w:p w14:paraId="5CAE4C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w:t>
                  </w:r>
                </w:p>
              </w:tc>
              <w:tc>
                <w:tcPr>
                  <w:tcW w:w="700" w:type="pct"/>
                  <w:tcBorders>
                    <w:tl2br w:val="nil"/>
                    <w:tr2bl w:val="nil"/>
                  </w:tcBorders>
                  <w:noWrap w:val="0"/>
                  <w:vAlign w:val="center"/>
                </w:tcPr>
                <w:p w14:paraId="57ABB438">
                  <w:pPr>
                    <w:autoSpaceDE/>
                    <w:autoSpaceDN/>
                    <w:adjustRightInd w:val="0"/>
                    <w:snapToGrid w:val="0"/>
                    <w:spacing w:line="240" w:lineRule="auto"/>
                    <w:ind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行吊</w:t>
                  </w:r>
                  <w:r>
                    <w:rPr>
                      <w:rFonts w:hint="eastAsia" w:ascii="Times New Roman" w:hAnsi="Times New Roman" w:eastAsia="宋体" w:cs="Times New Roman"/>
                      <w:color w:val="auto"/>
                      <w:sz w:val="21"/>
                      <w:szCs w:val="21"/>
                      <w:highlight w:val="none"/>
                      <w:lang w:val="en-US" w:eastAsia="zh-CN"/>
                    </w:rPr>
                    <w:t>1</w:t>
                  </w:r>
                </w:p>
              </w:tc>
              <w:tc>
                <w:tcPr>
                  <w:tcW w:w="1063" w:type="dxa"/>
                  <w:tcBorders>
                    <w:tl2br w:val="nil"/>
                    <w:tr2bl w:val="nil"/>
                  </w:tcBorders>
                  <w:noWrap w:val="0"/>
                  <w:vAlign w:val="center"/>
                </w:tcPr>
                <w:p w14:paraId="7DA628D7">
                  <w:pPr>
                    <w:jc w:val="center"/>
                    <w:rPr>
                      <w:rFonts w:hint="default" w:ascii="宋体" w:hAnsi="宋体" w:eastAsia="宋体" w:cs="宋体"/>
                      <w:color w:val="auto"/>
                      <w:sz w:val="21"/>
                      <w:szCs w:val="21"/>
                      <w:lang w:val="en-US" w:eastAsia="zh-CN"/>
                    </w:rPr>
                  </w:pPr>
                  <w:r>
                    <w:rPr>
                      <w:rFonts w:hint="eastAsia" w:cs="Times New Roman"/>
                      <w:color w:val="auto"/>
                      <w:sz w:val="21"/>
                      <w:szCs w:val="21"/>
                      <w:highlight w:val="none"/>
                      <w:lang w:val="en-US" w:eastAsia="zh-CN"/>
                    </w:rPr>
                    <w:t>52.88</w:t>
                  </w:r>
                </w:p>
              </w:tc>
              <w:tc>
                <w:tcPr>
                  <w:tcW w:w="386" w:type="pct"/>
                  <w:tcBorders>
                    <w:tl2br w:val="nil"/>
                    <w:tr2bl w:val="nil"/>
                  </w:tcBorders>
                  <w:noWrap w:val="0"/>
                  <w:vAlign w:val="center"/>
                </w:tcPr>
                <w:p w14:paraId="39D463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20</w:t>
                  </w:r>
                </w:p>
              </w:tc>
              <w:tc>
                <w:tcPr>
                  <w:tcW w:w="386" w:type="pct"/>
                  <w:tcBorders>
                    <w:tl2br w:val="nil"/>
                    <w:tr2bl w:val="nil"/>
                  </w:tcBorders>
                  <w:noWrap w:val="0"/>
                  <w:vAlign w:val="center"/>
                </w:tcPr>
                <w:p w14:paraId="5AB2BC6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80</w:t>
                  </w:r>
                </w:p>
              </w:tc>
              <w:tc>
                <w:tcPr>
                  <w:tcW w:w="386" w:type="pct"/>
                  <w:tcBorders>
                    <w:tl2br w:val="nil"/>
                    <w:tr2bl w:val="nil"/>
                  </w:tcBorders>
                  <w:noWrap w:val="0"/>
                  <w:vAlign w:val="center"/>
                </w:tcPr>
                <w:p w14:paraId="6ED5CD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100</w:t>
                  </w:r>
                </w:p>
              </w:tc>
              <w:tc>
                <w:tcPr>
                  <w:tcW w:w="397" w:type="pct"/>
                  <w:tcBorders>
                    <w:tl2br w:val="nil"/>
                    <w:tr2bl w:val="nil"/>
                  </w:tcBorders>
                  <w:noWrap w:val="0"/>
                  <w:vAlign w:val="center"/>
                </w:tcPr>
                <w:p w14:paraId="005AE5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95</w:t>
                  </w:r>
                </w:p>
              </w:tc>
              <w:tc>
                <w:tcPr>
                  <w:tcW w:w="456" w:type="pct"/>
                  <w:tcBorders>
                    <w:tl2br w:val="nil"/>
                    <w:tr2bl w:val="nil"/>
                  </w:tcBorders>
                  <w:noWrap w:val="0"/>
                  <w:vAlign w:val="center"/>
                </w:tcPr>
                <w:p w14:paraId="0BF12CA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27.76</w:t>
                  </w:r>
                </w:p>
              </w:tc>
              <w:tc>
                <w:tcPr>
                  <w:tcW w:w="456" w:type="pct"/>
                  <w:tcBorders>
                    <w:tl2br w:val="nil"/>
                    <w:tr2bl w:val="nil"/>
                  </w:tcBorders>
                  <w:noWrap w:val="0"/>
                  <w:vAlign w:val="center"/>
                </w:tcPr>
                <w:p w14:paraId="4CF7EE0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15.87</w:t>
                  </w:r>
                </w:p>
              </w:tc>
              <w:tc>
                <w:tcPr>
                  <w:tcW w:w="456" w:type="pct"/>
                  <w:tcBorders>
                    <w:tl2br w:val="nil"/>
                    <w:tr2bl w:val="nil"/>
                  </w:tcBorders>
                  <w:noWrap w:val="0"/>
                  <w:vAlign w:val="center"/>
                </w:tcPr>
                <w:p w14:paraId="7626BC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13.93</w:t>
                  </w:r>
                </w:p>
              </w:tc>
              <w:tc>
                <w:tcPr>
                  <w:tcW w:w="456" w:type="pct"/>
                  <w:tcBorders>
                    <w:tl2br w:val="nil"/>
                    <w:tr2bl w:val="nil"/>
                  </w:tcBorders>
                  <w:noWrap w:val="0"/>
                  <w:vAlign w:val="center"/>
                </w:tcPr>
                <w:p w14:paraId="2CA0B7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14.38</w:t>
                  </w:r>
                </w:p>
              </w:tc>
            </w:tr>
            <w:tr w14:paraId="691B32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262" w:type="pct"/>
                  <w:tcBorders>
                    <w:tl2br w:val="nil"/>
                    <w:tr2bl w:val="nil"/>
                  </w:tcBorders>
                  <w:noWrap w:val="0"/>
                  <w:vAlign w:val="center"/>
                </w:tcPr>
                <w:p w14:paraId="19E020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w:t>
                  </w:r>
                </w:p>
              </w:tc>
              <w:tc>
                <w:tcPr>
                  <w:tcW w:w="700" w:type="pct"/>
                  <w:tcBorders>
                    <w:tl2br w:val="nil"/>
                    <w:tr2bl w:val="nil"/>
                  </w:tcBorders>
                  <w:noWrap w:val="0"/>
                  <w:vAlign w:val="center"/>
                </w:tcPr>
                <w:p w14:paraId="77EBEA07">
                  <w:pPr>
                    <w:autoSpaceDE/>
                    <w:autoSpaceDN/>
                    <w:adjustRightInd w:val="0"/>
                    <w:snapToGrid w:val="0"/>
                    <w:spacing w:line="240" w:lineRule="auto"/>
                    <w:ind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行吊</w:t>
                  </w:r>
                  <w:r>
                    <w:rPr>
                      <w:rFonts w:hint="eastAsia" w:ascii="Times New Roman" w:hAnsi="Times New Roman" w:eastAsia="宋体" w:cs="Times New Roman"/>
                      <w:color w:val="auto"/>
                      <w:sz w:val="21"/>
                      <w:szCs w:val="21"/>
                      <w:highlight w:val="none"/>
                      <w:lang w:val="en-US" w:eastAsia="zh-CN"/>
                    </w:rPr>
                    <w:t>2</w:t>
                  </w:r>
                </w:p>
              </w:tc>
              <w:tc>
                <w:tcPr>
                  <w:tcW w:w="1063" w:type="dxa"/>
                  <w:tcBorders>
                    <w:tl2br w:val="nil"/>
                    <w:tr2bl w:val="nil"/>
                  </w:tcBorders>
                  <w:noWrap w:val="0"/>
                  <w:vAlign w:val="center"/>
                </w:tcPr>
                <w:p w14:paraId="65F5C16C">
                  <w:pPr>
                    <w:jc w:val="center"/>
                    <w:rPr>
                      <w:rFonts w:hint="default" w:ascii="宋体" w:hAnsi="宋体" w:eastAsia="宋体" w:cs="宋体"/>
                      <w:color w:val="auto"/>
                      <w:sz w:val="21"/>
                      <w:szCs w:val="21"/>
                      <w:lang w:val="en-US" w:eastAsia="zh-CN"/>
                    </w:rPr>
                  </w:pPr>
                  <w:r>
                    <w:rPr>
                      <w:rFonts w:hint="eastAsia" w:cs="Times New Roman"/>
                      <w:bCs/>
                      <w:color w:val="auto"/>
                      <w:sz w:val="21"/>
                      <w:szCs w:val="21"/>
                      <w:highlight w:val="none"/>
                      <w:lang w:val="en-US" w:eastAsia="zh-CN"/>
                    </w:rPr>
                    <w:t>48.12</w:t>
                  </w:r>
                </w:p>
              </w:tc>
              <w:tc>
                <w:tcPr>
                  <w:tcW w:w="386" w:type="pct"/>
                  <w:tcBorders>
                    <w:tl2br w:val="nil"/>
                    <w:tr2bl w:val="nil"/>
                  </w:tcBorders>
                  <w:noWrap w:val="0"/>
                  <w:vAlign w:val="center"/>
                </w:tcPr>
                <w:p w14:paraId="1BA4599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20</w:t>
                  </w:r>
                </w:p>
              </w:tc>
              <w:tc>
                <w:tcPr>
                  <w:tcW w:w="386" w:type="pct"/>
                  <w:tcBorders>
                    <w:tl2br w:val="nil"/>
                    <w:tr2bl w:val="nil"/>
                  </w:tcBorders>
                  <w:noWrap w:val="0"/>
                  <w:vAlign w:val="center"/>
                </w:tcPr>
                <w:p w14:paraId="4B0D921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80</w:t>
                  </w:r>
                </w:p>
              </w:tc>
              <w:tc>
                <w:tcPr>
                  <w:tcW w:w="386" w:type="pct"/>
                  <w:tcBorders>
                    <w:tl2br w:val="nil"/>
                    <w:tr2bl w:val="nil"/>
                  </w:tcBorders>
                  <w:noWrap w:val="0"/>
                  <w:vAlign w:val="center"/>
                </w:tcPr>
                <w:p w14:paraId="0ABCBB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85</w:t>
                  </w:r>
                </w:p>
              </w:tc>
              <w:tc>
                <w:tcPr>
                  <w:tcW w:w="397" w:type="pct"/>
                  <w:tcBorders>
                    <w:tl2br w:val="nil"/>
                    <w:tr2bl w:val="nil"/>
                  </w:tcBorders>
                  <w:noWrap w:val="0"/>
                  <w:vAlign w:val="center"/>
                </w:tcPr>
                <w:p w14:paraId="65B2C7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90</w:t>
                  </w:r>
                </w:p>
              </w:tc>
              <w:tc>
                <w:tcPr>
                  <w:tcW w:w="456" w:type="pct"/>
                  <w:tcBorders>
                    <w:tl2br w:val="nil"/>
                    <w:tr2bl w:val="nil"/>
                  </w:tcBorders>
                  <w:noWrap w:val="0"/>
                  <w:vAlign w:val="center"/>
                </w:tcPr>
                <w:p w14:paraId="464B331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23.00</w:t>
                  </w:r>
                </w:p>
              </w:tc>
              <w:tc>
                <w:tcPr>
                  <w:tcW w:w="456" w:type="pct"/>
                  <w:tcBorders>
                    <w:tl2br w:val="nil"/>
                    <w:tr2bl w:val="nil"/>
                  </w:tcBorders>
                  <w:noWrap w:val="0"/>
                  <w:vAlign w:val="center"/>
                </w:tcPr>
                <w:p w14:paraId="08D9EB7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11.11</w:t>
                  </w:r>
                </w:p>
              </w:tc>
              <w:tc>
                <w:tcPr>
                  <w:tcW w:w="456" w:type="pct"/>
                  <w:tcBorders>
                    <w:tl2br w:val="nil"/>
                    <w:tr2bl w:val="nil"/>
                  </w:tcBorders>
                  <w:noWrap w:val="0"/>
                  <w:vAlign w:val="center"/>
                </w:tcPr>
                <w:p w14:paraId="3B583DD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10.58</w:t>
                  </w:r>
                </w:p>
              </w:tc>
              <w:tc>
                <w:tcPr>
                  <w:tcW w:w="456" w:type="pct"/>
                  <w:tcBorders>
                    <w:tl2br w:val="nil"/>
                    <w:tr2bl w:val="nil"/>
                  </w:tcBorders>
                  <w:noWrap w:val="0"/>
                  <w:vAlign w:val="center"/>
                </w:tcPr>
                <w:p w14:paraId="6B6FC80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10.09</w:t>
                  </w:r>
                </w:p>
              </w:tc>
            </w:tr>
            <w:tr w14:paraId="13B707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262" w:type="pct"/>
                  <w:tcBorders>
                    <w:tl2br w:val="nil"/>
                    <w:tr2bl w:val="nil"/>
                  </w:tcBorders>
                  <w:noWrap w:val="0"/>
                  <w:vAlign w:val="center"/>
                </w:tcPr>
                <w:p w14:paraId="1A35E3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w:t>
                  </w:r>
                </w:p>
              </w:tc>
              <w:tc>
                <w:tcPr>
                  <w:tcW w:w="700" w:type="pct"/>
                  <w:tcBorders>
                    <w:tl2br w:val="nil"/>
                    <w:tr2bl w:val="nil"/>
                  </w:tcBorders>
                  <w:noWrap w:val="0"/>
                  <w:vAlign w:val="center"/>
                </w:tcPr>
                <w:p w14:paraId="5160CB64">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行吊</w:t>
                  </w:r>
                  <w:r>
                    <w:rPr>
                      <w:rFonts w:hint="eastAsia" w:ascii="Times New Roman" w:hAnsi="Times New Roman" w:eastAsia="宋体" w:cs="Times New Roman"/>
                      <w:color w:val="auto"/>
                      <w:sz w:val="21"/>
                      <w:szCs w:val="21"/>
                      <w:highlight w:val="none"/>
                      <w:lang w:val="en-US" w:eastAsia="zh-CN"/>
                    </w:rPr>
                    <w:t>3</w:t>
                  </w:r>
                </w:p>
              </w:tc>
              <w:tc>
                <w:tcPr>
                  <w:tcW w:w="1063" w:type="dxa"/>
                  <w:tcBorders>
                    <w:tl2br w:val="nil"/>
                    <w:tr2bl w:val="nil"/>
                  </w:tcBorders>
                  <w:noWrap w:val="0"/>
                  <w:vAlign w:val="center"/>
                </w:tcPr>
                <w:p w14:paraId="6E6E958F">
                  <w:pPr>
                    <w:jc w:val="center"/>
                    <w:rPr>
                      <w:rFonts w:hint="default" w:ascii="宋体" w:hAnsi="宋体" w:eastAsia="宋体" w:cs="宋体"/>
                      <w:color w:val="auto"/>
                      <w:sz w:val="21"/>
                      <w:szCs w:val="21"/>
                      <w:lang w:val="en-US" w:eastAsia="zh-CN"/>
                    </w:rPr>
                  </w:pPr>
                  <w:r>
                    <w:rPr>
                      <w:rFonts w:hint="eastAsia" w:cs="Times New Roman"/>
                      <w:color w:val="auto"/>
                      <w:sz w:val="21"/>
                      <w:szCs w:val="21"/>
                      <w:highlight w:val="none"/>
                      <w:lang w:val="en-US" w:eastAsia="zh-CN"/>
                    </w:rPr>
                    <w:t>51.00</w:t>
                  </w:r>
                </w:p>
              </w:tc>
              <w:tc>
                <w:tcPr>
                  <w:tcW w:w="386" w:type="pct"/>
                  <w:tcBorders>
                    <w:tl2br w:val="nil"/>
                    <w:tr2bl w:val="nil"/>
                  </w:tcBorders>
                  <w:noWrap w:val="0"/>
                  <w:vAlign w:val="center"/>
                </w:tcPr>
                <w:p w14:paraId="4B0F43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90</w:t>
                  </w:r>
                </w:p>
              </w:tc>
              <w:tc>
                <w:tcPr>
                  <w:tcW w:w="386" w:type="pct"/>
                  <w:tcBorders>
                    <w:tl2br w:val="nil"/>
                    <w:tr2bl w:val="nil"/>
                  </w:tcBorders>
                  <w:noWrap w:val="0"/>
                  <w:vAlign w:val="center"/>
                </w:tcPr>
                <w:p w14:paraId="41AD6C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85</w:t>
                  </w:r>
                </w:p>
              </w:tc>
              <w:tc>
                <w:tcPr>
                  <w:tcW w:w="386" w:type="pct"/>
                  <w:tcBorders>
                    <w:tl2br w:val="nil"/>
                    <w:tr2bl w:val="nil"/>
                  </w:tcBorders>
                  <w:noWrap w:val="0"/>
                  <w:vAlign w:val="center"/>
                </w:tcPr>
                <w:p w14:paraId="674C304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20</w:t>
                  </w:r>
                </w:p>
              </w:tc>
              <w:tc>
                <w:tcPr>
                  <w:tcW w:w="397" w:type="pct"/>
                  <w:tcBorders>
                    <w:tl2br w:val="nil"/>
                    <w:tr2bl w:val="nil"/>
                  </w:tcBorders>
                  <w:noWrap w:val="0"/>
                  <w:vAlign w:val="center"/>
                </w:tcPr>
                <w:p w14:paraId="0FF913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95</w:t>
                  </w:r>
                </w:p>
              </w:tc>
              <w:tc>
                <w:tcPr>
                  <w:tcW w:w="456" w:type="pct"/>
                  <w:tcBorders>
                    <w:tl2br w:val="nil"/>
                    <w:tr2bl w:val="nil"/>
                  </w:tcBorders>
                  <w:noWrap w:val="0"/>
                  <w:vAlign w:val="center"/>
                </w:tcPr>
                <w:p w14:paraId="08468C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cs="宋体"/>
                      <w:color w:val="auto"/>
                      <w:sz w:val="21"/>
                      <w:szCs w:val="21"/>
                      <w:lang w:val="en-US" w:eastAsia="zh-CN"/>
                    </w:rPr>
                  </w:pPr>
                  <w:r>
                    <w:rPr>
                      <w:rFonts w:hint="default" w:ascii="宋体" w:hAnsi="宋体" w:cs="宋体"/>
                      <w:color w:val="auto"/>
                      <w:sz w:val="21"/>
                      <w:szCs w:val="21"/>
                      <w:lang w:val="en-US" w:eastAsia="zh-CN"/>
                    </w:rPr>
                    <w:t>12.97</w:t>
                  </w:r>
                </w:p>
              </w:tc>
              <w:tc>
                <w:tcPr>
                  <w:tcW w:w="456" w:type="pct"/>
                  <w:tcBorders>
                    <w:tl2br w:val="nil"/>
                    <w:tr2bl w:val="nil"/>
                  </w:tcBorders>
                  <w:noWrap w:val="0"/>
                  <w:vAlign w:val="center"/>
                </w:tcPr>
                <w:p w14:paraId="6FBB264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13.46</w:t>
                  </w:r>
                </w:p>
              </w:tc>
              <w:tc>
                <w:tcPr>
                  <w:tcW w:w="456" w:type="pct"/>
                  <w:tcBorders>
                    <w:tl2br w:val="nil"/>
                    <w:tr2bl w:val="nil"/>
                  </w:tcBorders>
                  <w:noWrap w:val="0"/>
                  <w:vAlign w:val="center"/>
                </w:tcPr>
                <w:p w14:paraId="645958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25.88</w:t>
                  </w:r>
                </w:p>
              </w:tc>
              <w:tc>
                <w:tcPr>
                  <w:tcW w:w="456" w:type="pct"/>
                  <w:tcBorders>
                    <w:tl2br w:val="nil"/>
                    <w:tr2bl w:val="nil"/>
                  </w:tcBorders>
                  <w:noWrap w:val="0"/>
                  <w:vAlign w:val="center"/>
                </w:tcPr>
                <w:p w14:paraId="49D853F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12.50</w:t>
                  </w:r>
                </w:p>
              </w:tc>
            </w:tr>
            <w:tr w14:paraId="1C0A8B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262" w:type="pct"/>
                  <w:tcBorders>
                    <w:tl2br w:val="nil"/>
                    <w:tr2bl w:val="nil"/>
                  </w:tcBorders>
                  <w:noWrap w:val="0"/>
                  <w:vAlign w:val="center"/>
                </w:tcPr>
                <w:p w14:paraId="2E8312F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w:t>
                  </w:r>
                </w:p>
              </w:tc>
              <w:tc>
                <w:tcPr>
                  <w:tcW w:w="700" w:type="pct"/>
                  <w:tcBorders>
                    <w:tl2br w:val="nil"/>
                    <w:tr2bl w:val="nil"/>
                  </w:tcBorders>
                  <w:noWrap w:val="0"/>
                  <w:vAlign w:val="center"/>
                </w:tcPr>
                <w:p w14:paraId="631DEA14">
                  <w:pPr>
                    <w:jc w:val="center"/>
                    <w:rPr>
                      <w:rFonts w:hint="eastAsia" w:ascii="宋体" w:hAnsi="宋体" w:eastAsia="宋体" w:cs="宋体"/>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叉车</w:t>
                  </w:r>
                </w:p>
              </w:tc>
              <w:tc>
                <w:tcPr>
                  <w:tcW w:w="1063" w:type="dxa"/>
                  <w:tcBorders>
                    <w:tl2br w:val="nil"/>
                    <w:tr2bl w:val="nil"/>
                  </w:tcBorders>
                  <w:noWrap w:val="0"/>
                  <w:vAlign w:val="center"/>
                </w:tcPr>
                <w:p w14:paraId="2FE89AA3">
                  <w:pPr>
                    <w:jc w:val="center"/>
                    <w:rPr>
                      <w:rFonts w:hint="default" w:ascii="宋体" w:hAnsi="宋体" w:eastAsia="宋体" w:cs="宋体"/>
                      <w:color w:val="auto"/>
                      <w:sz w:val="21"/>
                      <w:szCs w:val="21"/>
                      <w:lang w:val="en-US" w:eastAsia="zh-CN"/>
                    </w:rPr>
                  </w:pPr>
                  <w:r>
                    <w:rPr>
                      <w:rFonts w:hint="eastAsia" w:cs="Times New Roman"/>
                      <w:bCs/>
                      <w:color w:val="auto"/>
                      <w:sz w:val="21"/>
                      <w:szCs w:val="21"/>
                      <w:highlight w:val="none"/>
                      <w:lang w:val="en-US" w:eastAsia="zh-CN"/>
                    </w:rPr>
                    <w:t>63.50</w:t>
                  </w:r>
                </w:p>
              </w:tc>
              <w:tc>
                <w:tcPr>
                  <w:tcW w:w="386" w:type="pct"/>
                  <w:tcBorders>
                    <w:tl2br w:val="nil"/>
                    <w:tr2bl w:val="nil"/>
                  </w:tcBorders>
                  <w:noWrap w:val="0"/>
                  <w:vAlign w:val="center"/>
                </w:tcPr>
                <w:p w14:paraId="0565BE7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20</w:t>
                  </w:r>
                </w:p>
              </w:tc>
              <w:tc>
                <w:tcPr>
                  <w:tcW w:w="386" w:type="pct"/>
                  <w:tcBorders>
                    <w:tl2br w:val="nil"/>
                    <w:tr2bl w:val="nil"/>
                  </w:tcBorders>
                  <w:noWrap w:val="0"/>
                  <w:vAlign w:val="center"/>
                </w:tcPr>
                <w:p w14:paraId="6E611B4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75</w:t>
                  </w:r>
                </w:p>
              </w:tc>
              <w:tc>
                <w:tcPr>
                  <w:tcW w:w="386" w:type="pct"/>
                  <w:tcBorders>
                    <w:tl2br w:val="nil"/>
                    <w:tr2bl w:val="nil"/>
                  </w:tcBorders>
                  <w:noWrap w:val="0"/>
                  <w:vAlign w:val="center"/>
                </w:tcPr>
                <w:p w14:paraId="0668DA0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100</w:t>
                  </w:r>
                </w:p>
              </w:tc>
              <w:tc>
                <w:tcPr>
                  <w:tcW w:w="397" w:type="pct"/>
                  <w:tcBorders>
                    <w:tl2br w:val="nil"/>
                    <w:tr2bl w:val="nil"/>
                  </w:tcBorders>
                  <w:noWrap w:val="0"/>
                  <w:vAlign w:val="center"/>
                </w:tcPr>
                <w:p w14:paraId="434947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100</w:t>
                  </w:r>
                </w:p>
              </w:tc>
              <w:tc>
                <w:tcPr>
                  <w:tcW w:w="456" w:type="pct"/>
                  <w:tcBorders>
                    <w:tl2br w:val="nil"/>
                    <w:tr2bl w:val="nil"/>
                  </w:tcBorders>
                  <w:noWrap w:val="0"/>
                  <w:vAlign w:val="center"/>
                </w:tcPr>
                <w:p w14:paraId="5F62E5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cs="宋体"/>
                      <w:color w:val="auto"/>
                      <w:sz w:val="21"/>
                      <w:szCs w:val="21"/>
                      <w:lang w:val="en-US" w:eastAsia="zh-CN"/>
                    </w:rPr>
                  </w:pPr>
                  <w:r>
                    <w:rPr>
                      <w:rFonts w:hint="default" w:ascii="宋体" w:hAnsi="宋体" w:cs="宋体"/>
                      <w:color w:val="auto"/>
                      <w:sz w:val="21"/>
                      <w:szCs w:val="21"/>
                      <w:lang w:val="en-US" w:eastAsia="zh-CN"/>
                    </w:rPr>
                    <w:t>38.38</w:t>
                  </w:r>
                </w:p>
              </w:tc>
              <w:tc>
                <w:tcPr>
                  <w:tcW w:w="456" w:type="pct"/>
                  <w:tcBorders>
                    <w:tl2br w:val="nil"/>
                    <w:tr2bl w:val="nil"/>
                  </w:tcBorders>
                  <w:noWrap w:val="0"/>
                  <w:vAlign w:val="center"/>
                </w:tcPr>
                <w:p w14:paraId="3599A8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27.05</w:t>
                  </w:r>
                </w:p>
              </w:tc>
              <w:tc>
                <w:tcPr>
                  <w:tcW w:w="456" w:type="pct"/>
                  <w:tcBorders>
                    <w:tl2br w:val="nil"/>
                    <w:tr2bl w:val="nil"/>
                  </w:tcBorders>
                  <w:noWrap w:val="0"/>
                  <w:vAlign w:val="center"/>
                </w:tcPr>
                <w:p w14:paraId="44F942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24.55</w:t>
                  </w:r>
                </w:p>
              </w:tc>
              <w:tc>
                <w:tcPr>
                  <w:tcW w:w="456" w:type="pct"/>
                  <w:tcBorders>
                    <w:tl2br w:val="nil"/>
                    <w:tr2bl w:val="nil"/>
                  </w:tcBorders>
                  <w:noWrap w:val="0"/>
                  <w:vAlign w:val="center"/>
                </w:tcPr>
                <w:p w14:paraId="1C06349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24.55</w:t>
                  </w:r>
                </w:p>
              </w:tc>
            </w:tr>
            <w:tr w14:paraId="1AD3D8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262" w:type="pct"/>
                  <w:tcBorders>
                    <w:tl2br w:val="nil"/>
                    <w:tr2bl w:val="nil"/>
                  </w:tcBorders>
                  <w:noWrap w:val="0"/>
                  <w:vAlign w:val="center"/>
                </w:tcPr>
                <w:p w14:paraId="5B2B26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w:t>
                  </w:r>
                </w:p>
              </w:tc>
              <w:tc>
                <w:tcPr>
                  <w:tcW w:w="700" w:type="pct"/>
                  <w:tcBorders>
                    <w:tl2br w:val="nil"/>
                    <w:tr2bl w:val="nil"/>
                  </w:tcBorders>
                  <w:noWrap w:val="0"/>
                  <w:vAlign w:val="center"/>
                </w:tcPr>
                <w:p w14:paraId="59DF332B">
                  <w:pPr>
                    <w:jc w:val="center"/>
                    <w:rPr>
                      <w:rFonts w:hint="eastAsia" w:ascii="宋体" w:hAnsi="宋体" w:eastAsia="宋体" w:cs="宋体"/>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电葫芦1</w:t>
                  </w:r>
                </w:p>
              </w:tc>
              <w:tc>
                <w:tcPr>
                  <w:tcW w:w="1063" w:type="dxa"/>
                  <w:tcBorders>
                    <w:tl2br w:val="nil"/>
                    <w:tr2bl w:val="nil"/>
                  </w:tcBorders>
                  <w:noWrap w:val="0"/>
                  <w:vAlign w:val="center"/>
                </w:tcPr>
                <w:p w14:paraId="0CECC451">
                  <w:pPr>
                    <w:jc w:val="center"/>
                    <w:rPr>
                      <w:rFonts w:hint="default" w:ascii="宋体" w:hAnsi="宋体" w:eastAsia="宋体" w:cs="宋体"/>
                      <w:color w:val="auto"/>
                      <w:sz w:val="21"/>
                      <w:szCs w:val="21"/>
                      <w:lang w:val="en-US" w:eastAsia="zh-CN"/>
                    </w:rPr>
                  </w:pPr>
                  <w:r>
                    <w:rPr>
                      <w:rFonts w:hint="eastAsia" w:cs="Times New Roman"/>
                      <w:bCs/>
                      <w:color w:val="auto"/>
                      <w:sz w:val="21"/>
                      <w:szCs w:val="21"/>
                      <w:highlight w:val="none"/>
                      <w:lang w:val="en-US" w:eastAsia="zh-CN"/>
                    </w:rPr>
                    <w:t>46.00</w:t>
                  </w:r>
                </w:p>
              </w:tc>
              <w:tc>
                <w:tcPr>
                  <w:tcW w:w="386" w:type="pct"/>
                  <w:tcBorders>
                    <w:tl2br w:val="nil"/>
                    <w:tr2bl w:val="nil"/>
                  </w:tcBorders>
                  <w:noWrap w:val="0"/>
                  <w:vAlign w:val="center"/>
                </w:tcPr>
                <w:p w14:paraId="273EE6F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100</w:t>
                  </w:r>
                </w:p>
              </w:tc>
              <w:tc>
                <w:tcPr>
                  <w:tcW w:w="386" w:type="pct"/>
                  <w:tcBorders>
                    <w:tl2br w:val="nil"/>
                    <w:tr2bl w:val="nil"/>
                  </w:tcBorders>
                  <w:noWrap w:val="0"/>
                  <w:vAlign w:val="center"/>
                </w:tcPr>
                <w:p w14:paraId="783C18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60</w:t>
                  </w:r>
                </w:p>
              </w:tc>
              <w:tc>
                <w:tcPr>
                  <w:tcW w:w="386" w:type="pct"/>
                  <w:tcBorders>
                    <w:tl2br w:val="nil"/>
                    <w:tr2bl w:val="nil"/>
                  </w:tcBorders>
                  <w:noWrap w:val="0"/>
                  <w:vAlign w:val="center"/>
                </w:tcPr>
                <w:p w14:paraId="5589AC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15</w:t>
                  </w:r>
                </w:p>
              </w:tc>
              <w:tc>
                <w:tcPr>
                  <w:tcW w:w="397" w:type="pct"/>
                  <w:tcBorders>
                    <w:tl2br w:val="nil"/>
                    <w:tr2bl w:val="nil"/>
                  </w:tcBorders>
                  <w:noWrap w:val="0"/>
                  <w:vAlign w:val="center"/>
                </w:tcPr>
                <w:p w14:paraId="5864E1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60</w:t>
                  </w:r>
                </w:p>
              </w:tc>
              <w:tc>
                <w:tcPr>
                  <w:tcW w:w="456" w:type="pct"/>
                  <w:tcBorders>
                    <w:tl2br w:val="nil"/>
                    <w:tr2bl w:val="nil"/>
                  </w:tcBorders>
                  <w:noWrap w:val="0"/>
                  <w:vAlign w:val="center"/>
                </w:tcPr>
                <w:p w14:paraId="1F83DF9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7.05</w:t>
                  </w:r>
                </w:p>
              </w:tc>
              <w:tc>
                <w:tcPr>
                  <w:tcW w:w="456" w:type="pct"/>
                  <w:tcBorders>
                    <w:tl2br w:val="nil"/>
                    <w:tr2bl w:val="nil"/>
                  </w:tcBorders>
                  <w:noWrap w:val="0"/>
                  <w:vAlign w:val="center"/>
                </w:tcPr>
                <w:p w14:paraId="71F047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11.48</w:t>
                  </w:r>
                </w:p>
              </w:tc>
              <w:tc>
                <w:tcPr>
                  <w:tcW w:w="456" w:type="pct"/>
                  <w:tcBorders>
                    <w:tl2br w:val="nil"/>
                    <w:tr2bl w:val="nil"/>
                  </w:tcBorders>
                  <w:noWrap w:val="0"/>
                  <w:vAlign w:val="center"/>
                </w:tcPr>
                <w:p w14:paraId="7272228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23.26</w:t>
                  </w:r>
                </w:p>
              </w:tc>
              <w:tc>
                <w:tcPr>
                  <w:tcW w:w="456" w:type="pct"/>
                  <w:tcBorders>
                    <w:tl2br w:val="nil"/>
                    <w:tr2bl w:val="nil"/>
                  </w:tcBorders>
                  <w:noWrap w:val="0"/>
                  <w:vAlign w:val="center"/>
                </w:tcPr>
                <w:p w14:paraId="0CA85C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11.48</w:t>
                  </w:r>
                </w:p>
              </w:tc>
            </w:tr>
            <w:tr w14:paraId="00B434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262" w:type="pct"/>
                  <w:tcBorders>
                    <w:tl2br w:val="nil"/>
                    <w:tr2bl w:val="nil"/>
                  </w:tcBorders>
                  <w:noWrap w:val="0"/>
                  <w:vAlign w:val="center"/>
                </w:tcPr>
                <w:p w14:paraId="54EB2F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w:t>
                  </w:r>
                </w:p>
              </w:tc>
              <w:tc>
                <w:tcPr>
                  <w:tcW w:w="700" w:type="pct"/>
                  <w:tcBorders>
                    <w:tl2br w:val="nil"/>
                    <w:tr2bl w:val="nil"/>
                  </w:tcBorders>
                  <w:noWrap w:val="0"/>
                  <w:vAlign w:val="center"/>
                </w:tcPr>
                <w:p w14:paraId="4AF5925A">
                  <w:pPr>
                    <w:jc w:val="center"/>
                    <w:rPr>
                      <w:rFonts w:hint="eastAsia" w:ascii="宋体" w:hAnsi="宋体" w:eastAsia="宋体" w:cs="宋体"/>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电葫芦2</w:t>
                  </w:r>
                </w:p>
              </w:tc>
              <w:tc>
                <w:tcPr>
                  <w:tcW w:w="1063" w:type="dxa"/>
                  <w:tcBorders>
                    <w:tl2br w:val="nil"/>
                    <w:tr2bl w:val="nil"/>
                  </w:tcBorders>
                  <w:noWrap w:val="0"/>
                  <w:vAlign w:val="center"/>
                </w:tcPr>
                <w:p w14:paraId="74B8F50E">
                  <w:pPr>
                    <w:jc w:val="center"/>
                    <w:rPr>
                      <w:rFonts w:hint="default" w:ascii="宋体" w:hAnsi="宋体" w:eastAsia="宋体" w:cs="宋体"/>
                      <w:color w:val="auto"/>
                      <w:sz w:val="21"/>
                      <w:szCs w:val="21"/>
                      <w:lang w:val="en-US" w:eastAsia="zh-CN"/>
                    </w:rPr>
                  </w:pPr>
                  <w:r>
                    <w:rPr>
                      <w:rFonts w:hint="eastAsia" w:cs="Times New Roman"/>
                      <w:bCs/>
                      <w:color w:val="auto"/>
                      <w:sz w:val="21"/>
                      <w:szCs w:val="21"/>
                      <w:highlight w:val="none"/>
                      <w:lang w:val="en-US" w:eastAsia="zh-CN"/>
                    </w:rPr>
                    <w:t>46.70</w:t>
                  </w:r>
                </w:p>
              </w:tc>
              <w:tc>
                <w:tcPr>
                  <w:tcW w:w="386" w:type="pct"/>
                  <w:tcBorders>
                    <w:tl2br w:val="nil"/>
                    <w:tr2bl w:val="nil"/>
                  </w:tcBorders>
                  <w:noWrap w:val="0"/>
                  <w:vAlign w:val="center"/>
                </w:tcPr>
                <w:p w14:paraId="3FA124F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16</w:t>
                  </w:r>
                </w:p>
              </w:tc>
              <w:tc>
                <w:tcPr>
                  <w:tcW w:w="386" w:type="pct"/>
                  <w:tcBorders>
                    <w:tl2br w:val="nil"/>
                    <w:tr2bl w:val="nil"/>
                  </w:tcBorders>
                  <w:noWrap w:val="0"/>
                  <w:vAlign w:val="center"/>
                </w:tcPr>
                <w:p w14:paraId="3A2533A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60</w:t>
                  </w:r>
                </w:p>
              </w:tc>
              <w:tc>
                <w:tcPr>
                  <w:tcW w:w="386" w:type="pct"/>
                  <w:tcBorders>
                    <w:tl2br w:val="nil"/>
                    <w:tr2bl w:val="nil"/>
                  </w:tcBorders>
                  <w:noWrap w:val="0"/>
                  <w:vAlign w:val="center"/>
                </w:tcPr>
                <w:p w14:paraId="6139497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90</w:t>
                  </w:r>
                </w:p>
              </w:tc>
              <w:tc>
                <w:tcPr>
                  <w:tcW w:w="397" w:type="pct"/>
                  <w:tcBorders>
                    <w:tl2br w:val="nil"/>
                    <w:tr2bl w:val="nil"/>
                  </w:tcBorders>
                  <w:noWrap w:val="0"/>
                  <w:vAlign w:val="center"/>
                </w:tcPr>
                <w:p w14:paraId="77D799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60</w:t>
                  </w:r>
                </w:p>
              </w:tc>
              <w:tc>
                <w:tcPr>
                  <w:tcW w:w="456" w:type="pct"/>
                  <w:tcBorders>
                    <w:tl2br w:val="nil"/>
                    <w:tr2bl w:val="nil"/>
                  </w:tcBorders>
                  <w:noWrap w:val="0"/>
                  <w:vAlign w:val="center"/>
                </w:tcPr>
                <w:p w14:paraId="6F62C9F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23.43</w:t>
                  </w:r>
                </w:p>
              </w:tc>
              <w:tc>
                <w:tcPr>
                  <w:tcW w:w="456" w:type="pct"/>
                  <w:tcBorders>
                    <w:tl2br w:val="nil"/>
                    <w:tr2bl w:val="nil"/>
                  </w:tcBorders>
                  <w:noWrap w:val="0"/>
                  <w:vAlign w:val="center"/>
                </w:tcPr>
                <w:p w14:paraId="20D69AB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12.18</w:t>
                  </w:r>
                </w:p>
              </w:tc>
              <w:tc>
                <w:tcPr>
                  <w:tcW w:w="456" w:type="pct"/>
                  <w:tcBorders>
                    <w:tl2br w:val="nil"/>
                    <w:tr2bl w:val="nil"/>
                  </w:tcBorders>
                  <w:noWrap w:val="0"/>
                  <w:vAlign w:val="center"/>
                </w:tcPr>
                <w:p w14:paraId="3EABE1D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8.67</w:t>
                  </w:r>
                </w:p>
              </w:tc>
              <w:tc>
                <w:tcPr>
                  <w:tcW w:w="456" w:type="pct"/>
                  <w:tcBorders>
                    <w:tl2br w:val="nil"/>
                    <w:tr2bl w:val="nil"/>
                  </w:tcBorders>
                  <w:noWrap w:val="0"/>
                  <w:vAlign w:val="center"/>
                </w:tcPr>
                <w:p w14:paraId="7763300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12.18</w:t>
                  </w:r>
                </w:p>
              </w:tc>
            </w:tr>
            <w:tr w14:paraId="5ADC0C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3174" w:type="pct"/>
                  <w:gridSpan w:val="7"/>
                  <w:tcBorders>
                    <w:tl2br w:val="nil"/>
                    <w:tr2bl w:val="nil"/>
                  </w:tcBorders>
                  <w:noWrap w:val="0"/>
                  <w:vAlign w:val="center"/>
                </w:tcPr>
                <w:p w14:paraId="3E3631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总贡献值</w:t>
                  </w:r>
                </w:p>
              </w:tc>
              <w:tc>
                <w:tcPr>
                  <w:tcW w:w="456" w:type="pct"/>
                  <w:tcBorders>
                    <w:tl2br w:val="nil"/>
                    <w:tr2bl w:val="nil"/>
                  </w:tcBorders>
                  <w:noWrap w:val="0"/>
                  <w:vAlign w:val="center"/>
                </w:tcPr>
                <w:p w14:paraId="34A46E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39.25</w:t>
                  </w:r>
                </w:p>
              </w:tc>
              <w:tc>
                <w:tcPr>
                  <w:tcW w:w="456" w:type="pct"/>
                  <w:tcBorders>
                    <w:tl2br w:val="nil"/>
                    <w:tr2bl w:val="nil"/>
                  </w:tcBorders>
                  <w:noWrap w:val="0"/>
                  <w:vAlign w:val="center"/>
                </w:tcPr>
                <w:p w14:paraId="47CF204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30.70</w:t>
                  </w:r>
                </w:p>
              </w:tc>
              <w:tc>
                <w:tcPr>
                  <w:tcW w:w="456" w:type="pct"/>
                  <w:tcBorders>
                    <w:tl2br w:val="nil"/>
                    <w:tr2bl w:val="nil"/>
                  </w:tcBorders>
                  <w:noWrap w:val="0"/>
                  <w:vAlign w:val="center"/>
                </w:tcPr>
                <w:p w14:paraId="0F1B54A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40.16</w:t>
                  </w:r>
                </w:p>
              </w:tc>
              <w:tc>
                <w:tcPr>
                  <w:tcW w:w="456" w:type="pct"/>
                  <w:tcBorders>
                    <w:tl2br w:val="nil"/>
                    <w:tr2bl w:val="nil"/>
                  </w:tcBorders>
                  <w:noWrap w:val="0"/>
                  <w:vAlign w:val="center"/>
                </w:tcPr>
                <w:p w14:paraId="765D873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30.22</w:t>
                  </w:r>
                </w:p>
              </w:tc>
            </w:tr>
          </w:tbl>
          <w:p w14:paraId="1B3B938D">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宋体" w:hAnsi="宋体" w:eastAsia="宋体" w:cs="宋体"/>
                <w:color w:val="auto"/>
                <w:lang w:val="en-US" w:eastAsia="zh-CN"/>
              </w:rPr>
            </w:pPr>
            <w:r>
              <w:rPr>
                <w:rFonts w:hint="eastAsia" w:ascii="宋体" w:hAnsi="宋体" w:eastAsia="宋体" w:cs="宋体"/>
                <w:color w:val="auto"/>
                <w:lang w:val="en-US" w:eastAsia="zh-CN"/>
              </w:rPr>
              <w:t>根据预测分析，项目运营期项目厂界噪声能够达到《工业企业厂界环境噪声排放标准》（GB12348-2008）3类标准。项目建成运行后，设备噪声经过有效措施治理后能够达标排放。</w:t>
            </w:r>
          </w:p>
          <w:p w14:paraId="346027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textAlignment w:val="auto"/>
              <w:rPr>
                <w:rFonts w:hint="eastAsia" w:ascii="宋体" w:hAnsi="宋体" w:eastAsia="宋体" w:cs="宋体"/>
                <w:b/>
                <w:bCs/>
                <w:color w:val="auto"/>
                <w:lang w:val="en-US" w:eastAsia="zh-CN"/>
              </w:rPr>
            </w:pPr>
            <w:r>
              <w:rPr>
                <w:rFonts w:hint="eastAsia" w:ascii="宋体" w:hAnsi="宋体" w:eastAsia="宋体" w:cs="宋体"/>
                <w:b/>
                <w:bCs/>
                <w:color w:val="auto"/>
                <w:lang w:val="en-US" w:eastAsia="zh-CN"/>
              </w:rPr>
              <w:t>4、固体废物</w:t>
            </w:r>
          </w:p>
          <w:p w14:paraId="1B9961C8">
            <w:pPr>
              <w:pStyle w:val="12"/>
              <w:keepNext w:val="0"/>
              <w:keepLines w:val="0"/>
              <w:pageBreakBefore w:val="0"/>
              <w:widowControl w:val="0"/>
              <w:kinsoku/>
              <w:wordWrap/>
              <w:overflowPunct/>
              <w:topLinePunct w:val="0"/>
              <w:autoSpaceDE/>
              <w:autoSpaceDN/>
              <w:bidi w:val="0"/>
              <w:adjustRightInd/>
              <w:snapToGrid/>
              <w:spacing w:before="0" w:after="0" w:line="360" w:lineRule="auto"/>
              <w:ind w:right="0" w:firstLine="422" w:firstLineChars="200"/>
              <w:textAlignment w:val="auto"/>
              <w:outlineLvl w:val="9"/>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4.1固废来源、属性及产生量</w:t>
            </w:r>
          </w:p>
          <w:p w14:paraId="21AF0632">
            <w:pPr>
              <w:pStyle w:val="12"/>
              <w:keepNext w:val="0"/>
              <w:keepLines w:val="0"/>
              <w:pageBreakBefore w:val="0"/>
              <w:widowControl w:val="0"/>
              <w:kinsoku/>
              <w:wordWrap/>
              <w:overflowPunct/>
              <w:topLinePunct w:val="0"/>
              <w:autoSpaceDE/>
              <w:autoSpaceDN/>
              <w:bidi w:val="0"/>
              <w:adjustRightInd/>
              <w:snapToGrid/>
              <w:spacing w:before="0" w:after="0" w:line="360" w:lineRule="auto"/>
              <w:ind w:right="0" w:firstLine="420" w:firstLineChars="200"/>
              <w:textAlignment w:val="auto"/>
              <w:outlineLvl w:val="9"/>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本项目运营期固废主要为</w:t>
            </w:r>
            <w:r>
              <w:rPr>
                <w:rFonts w:hint="eastAsia" w:ascii="宋体" w:hAnsi="宋体" w:eastAsia="宋体" w:cs="宋体"/>
                <w:b w:val="0"/>
                <w:bCs w:val="0"/>
                <w:color w:val="auto"/>
                <w:sz w:val="21"/>
                <w:szCs w:val="21"/>
                <w:lang w:val="en-US" w:eastAsia="zh-CN"/>
              </w:rPr>
              <w:t>有废包装材料、生活垃圾、</w:t>
            </w:r>
            <w:r>
              <w:rPr>
                <w:rFonts w:hint="eastAsia"/>
                <w:b w:val="0"/>
                <w:bCs w:val="0"/>
                <w:color w:val="auto"/>
                <w:sz w:val="21"/>
                <w:szCs w:val="21"/>
                <w:lang w:val="en-US" w:eastAsia="zh-CN"/>
              </w:rPr>
              <w:t>化粪池污泥、</w:t>
            </w:r>
            <w:r>
              <w:rPr>
                <w:rFonts w:hint="eastAsia" w:ascii="宋体" w:hAnsi="宋体" w:eastAsia="宋体" w:cs="宋体"/>
                <w:b w:val="0"/>
                <w:bCs w:val="0"/>
                <w:color w:val="auto"/>
                <w:sz w:val="21"/>
                <w:szCs w:val="21"/>
                <w:lang w:val="en-US" w:eastAsia="zh-CN"/>
              </w:rPr>
              <w:t>废机油机油桶、含油抹布手套</w:t>
            </w:r>
            <w:r>
              <w:rPr>
                <w:rFonts w:hint="eastAsia" w:ascii="宋体" w:hAnsi="宋体" w:cs="宋体"/>
                <w:b w:val="0"/>
                <w:bCs w:val="0"/>
                <w:color w:val="auto"/>
                <w:sz w:val="21"/>
                <w:szCs w:val="21"/>
                <w:lang w:val="en-US" w:eastAsia="zh-CN"/>
              </w:rPr>
              <w:t>和废测试酸铅电池</w:t>
            </w:r>
            <w:r>
              <w:rPr>
                <w:rFonts w:hint="eastAsia" w:ascii="宋体" w:hAnsi="宋体" w:eastAsia="宋体" w:cs="宋体"/>
                <w:b w:val="0"/>
                <w:bCs w:val="0"/>
                <w:color w:val="auto"/>
                <w:sz w:val="21"/>
                <w:szCs w:val="21"/>
                <w:lang w:val="en-US" w:eastAsia="zh-CN"/>
              </w:rPr>
              <w:t>等。</w:t>
            </w:r>
          </w:p>
          <w:p w14:paraId="7F30203E">
            <w:pPr>
              <w:pStyle w:val="12"/>
              <w:keepNext w:val="0"/>
              <w:keepLines w:val="0"/>
              <w:pageBreakBefore w:val="0"/>
              <w:widowControl w:val="0"/>
              <w:kinsoku/>
              <w:wordWrap/>
              <w:overflowPunct/>
              <w:topLinePunct w:val="0"/>
              <w:autoSpaceDE/>
              <w:autoSpaceDN/>
              <w:bidi w:val="0"/>
              <w:adjustRightInd/>
              <w:snapToGrid/>
              <w:spacing w:before="0" w:after="0" w:line="360" w:lineRule="auto"/>
              <w:ind w:right="0" w:firstLine="422" w:firstLineChars="200"/>
              <w:textAlignment w:val="auto"/>
              <w:outlineLvl w:val="9"/>
              <w:rPr>
                <w:rFonts w:hint="default"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一般固废：</w:t>
            </w:r>
          </w:p>
          <w:p w14:paraId="20C9D76C">
            <w:pPr>
              <w:pStyle w:val="12"/>
              <w:keepNext w:val="0"/>
              <w:keepLines w:val="0"/>
              <w:pageBreakBefore w:val="0"/>
              <w:widowControl w:val="0"/>
              <w:kinsoku/>
              <w:wordWrap/>
              <w:overflowPunct/>
              <w:topLinePunct w:val="0"/>
              <w:autoSpaceDE/>
              <w:autoSpaceDN/>
              <w:bidi w:val="0"/>
              <w:adjustRightInd/>
              <w:snapToGrid/>
              <w:spacing w:before="0" w:after="0" w:line="360" w:lineRule="auto"/>
              <w:ind w:right="0" w:firstLine="420" w:firstLineChars="200"/>
              <w:textAlignment w:val="auto"/>
              <w:outlineLvl w:val="9"/>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（1）生活垃圾</w:t>
            </w:r>
          </w:p>
          <w:p w14:paraId="5E0D4A8E">
            <w:pPr>
              <w:pStyle w:val="12"/>
              <w:keepNext w:val="0"/>
              <w:keepLines w:val="0"/>
              <w:pageBreakBefore w:val="0"/>
              <w:widowControl w:val="0"/>
              <w:kinsoku/>
              <w:wordWrap/>
              <w:overflowPunct/>
              <w:topLinePunct w:val="0"/>
              <w:autoSpaceDE/>
              <w:autoSpaceDN/>
              <w:bidi w:val="0"/>
              <w:adjustRightInd/>
              <w:snapToGrid/>
              <w:spacing w:before="0" w:after="0" w:line="360" w:lineRule="auto"/>
              <w:ind w:right="0" w:firstLine="420" w:firstLineChars="200"/>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本项目劳动定员</w:t>
            </w:r>
            <w:r>
              <w:rPr>
                <w:rFonts w:hint="eastAsia" w:ascii="宋体" w:hAnsi="宋体" w:cs="宋体"/>
                <w:color w:val="auto"/>
                <w:sz w:val="21"/>
                <w:szCs w:val="21"/>
                <w:lang w:val="en-US" w:eastAsia="zh-CN"/>
              </w:rPr>
              <w:t>12</w:t>
            </w:r>
            <w:r>
              <w:rPr>
                <w:rFonts w:hint="eastAsia" w:ascii="宋体" w:hAnsi="宋体" w:eastAsia="宋体" w:cs="宋体"/>
                <w:color w:val="auto"/>
                <w:sz w:val="21"/>
                <w:szCs w:val="21"/>
                <w:lang w:val="en-US" w:eastAsia="zh-CN"/>
              </w:rPr>
              <w:t>0人，生活垃圾产生量 0.4kg/d•人计，则项目运营期间职工生活垃圾产生量为，生活垃圾产生量为</w:t>
            </w:r>
            <w:r>
              <w:rPr>
                <w:rFonts w:hint="eastAsia" w:ascii="宋体" w:hAnsi="宋体" w:cs="宋体"/>
                <w:color w:val="auto"/>
                <w:sz w:val="21"/>
                <w:szCs w:val="21"/>
                <w:lang w:val="en-US" w:eastAsia="zh-CN"/>
              </w:rPr>
              <w:t>48</w:t>
            </w:r>
            <w:r>
              <w:rPr>
                <w:rFonts w:hint="eastAsia" w:ascii="宋体" w:hAnsi="宋体" w:eastAsia="宋体" w:cs="宋体"/>
                <w:color w:val="auto"/>
                <w:sz w:val="21"/>
                <w:szCs w:val="21"/>
                <w:lang w:val="en-US" w:eastAsia="zh-CN"/>
              </w:rPr>
              <w:t>kg/d，即</w:t>
            </w:r>
            <w:r>
              <w:rPr>
                <w:rFonts w:hint="eastAsia" w:ascii="宋体" w:hAnsi="宋体" w:cs="宋体"/>
                <w:color w:val="auto"/>
                <w:sz w:val="21"/>
                <w:szCs w:val="21"/>
                <w:lang w:val="en-US" w:eastAsia="zh-CN"/>
              </w:rPr>
              <w:t>14.4</w:t>
            </w:r>
            <w:r>
              <w:rPr>
                <w:rFonts w:hint="eastAsia" w:ascii="宋体" w:hAnsi="宋体" w:eastAsia="宋体" w:cs="宋体"/>
                <w:color w:val="auto"/>
                <w:sz w:val="21"/>
                <w:szCs w:val="21"/>
                <w:lang w:val="en-US" w:eastAsia="zh-CN"/>
              </w:rPr>
              <w:t>t/a，生活垃圾集中收集后由环卫部门统一处理。</w:t>
            </w:r>
          </w:p>
          <w:p w14:paraId="32D9838C">
            <w:pPr>
              <w:pStyle w:val="12"/>
              <w:keepNext w:val="0"/>
              <w:keepLines w:val="0"/>
              <w:pageBreakBefore w:val="0"/>
              <w:widowControl w:val="0"/>
              <w:kinsoku/>
              <w:wordWrap/>
              <w:overflowPunct/>
              <w:topLinePunct w:val="0"/>
              <w:autoSpaceDE/>
              <w:autoSpaceDN/>
              <w:bidi w:val="0"/>
              <w:adjustRightInd/>
              <w:snapToGrid/>
              <w:spacing w:before="0" w:after="0" w:line="360" w:lineRule="auto"/>
              <w:ind w:right="0" w:firstLine="420" w:firstLineChars="200"/>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（2）包装废弃物</w:t>
            </w:r>
          </w:p>
          <w:p w14:paraId="1562D230">
            <w:pPr>
              <w:pStyle w:val="12"/>
              <w:keepNext w:val="0"/>
              <w:keepLines w:val="0"/>
              <w:pageBreakBefore w:val="0"/>
              <w:widowControl w:val="0"/>
              <w:kinsoku/>
              <w:wordWrap/>
              <w:overflowPunct/>
              <w:topLinePunct w:val="0"/>
              <w:autoSpaceDE/>
              <w:autoSpaceDN/>
              <w:bidi w:val="0"/>
              <w:adjustRightInd/>
              <w:snapToGrid/>
              <w:spacing w:before="0" w:after="0" w:line="360" w:lineRule="auto"/>
              <w:ind w:right="0" w:firstLine="420" w:firstLineChars="200"/>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项目原料拆包及包装将产生废包装材料，产生量约为</w:t>
            </w:r>
            <w:r>
              <w:rPr>
                <w:rFonts w:hint="eastAsia" w:ascii="宋体" w:hAnsi="宋体" w:cs="宋体"/>
                <w:color w:val="auto"/>
                <w:sz w:val="21"/>
                <w:szCs w:val="21"/>
                <w:lang w:val="en-US" w:eastAsia="zh-CN"/>
              </w:rPr>
              <w:t>2</w:t>
            </w:r>
            <w:r>
              <w:rPr>
                <w:rFonts w:hint="eastAsia" w:ascii="宋体" w:hAnsi="宋体" w:eastAsia="宋体" w:cs="宋体"/>
                <w:color w:val="auto"/>
                <w:sz w:val="21"/>
                <w:szCs w:val="21"/>
                <w:lang w:val="en-US" w:eastAsia="zh-CN"/>
              </w:rPr>
              <w:t>t/a，属于一般性固体废弃物，通过统一收集后外售废品回收站。</w:t>
            </w:r>
          </w:p>
          <w:p w14:paraId="29F40D65">
            <w:pPr>
              <w:pStyle w:val="12"/>
              <w:keepNext w:val="0"/>
              <w:keepLines w:val="0"/>
              <w:pageBreakBefore w:val="0"/>
              <w:widowControl w:val="0"/>
              <w:kinsoku/>
              <w:wordWrap/>
              <w:overflowPunct/>
              <w:topLinePunct w:val="0"/>
              <w:autoSpaceDE/>
              <w:autoSpaceDN/>
              <w:bidi w:val="0"/>
              <w:adjustRightInd/>
              <w:snapToGrid/>
              <w:spacing w:before="0" w:after="0" w:line="360" w:lineRule="auto"/>
              <w:ind w:right="0" w:firstLine="420" w:firstLineChars="200"/>
              <w:textAlignment w:val="auto"/>
              <w:outlineLvl w:val="9"/>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（3）化粪池污泥</w:t>
            </w:r>
          </w:p>
          <w:p w14:paraId="5AC9603A">
            <w:pPr>
              <w:pStyle w:val="12"/>
              <w:keepNext w:val="0"/>
              <w:keepLines w:val="0"/>
              <w:pageBreakBefore w:val="0"/>
              <w:widowControl w:val="0"/>
              <w:kinsoku/>
              <w:wordWrap/>
              <w:overflowPunct/>
              <w:topLinePunct w:val="0"/>
              <w:autoSpaceDE/>
              <w:autoSpaceDN/>
              <w:bidi w:val="0"/>
              <w:adjustRightInd/>
              <w:snapToGrid/>
              <w:spacing w:before="0" w:after="0" w:line="360" w:lineRule="auto"/>
              <w:ind w:right="0" w:firstLine="420" w:firstLineChars="200"/>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参考《集中式污染治理设施产排污系数手册》（2010修订），污泥产生系数取6吨/万吨－污水处理量，本项目废水产生量为</w:t>
            </w:r>
            <w:r>
              <w:rPr>
                <w:rFonts w:hint="eastAsia" w:cs="Times New Roman"/>
                <w:color w:val="auto"/>
                <w:sz w:val="21"/>
                <w:szCs w:val="21"/>
                <w:lang w:val="en-US" w:eastAsia="zh-CN"/>
              </w:rPr>
              <w:t>144</w:t>
            </w:r>
            <w:r>
              <w:rPr>
                <w:rFonts w:hint="eastAsia"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lang w:val="en-US" w:eastAsia="zh-CN"/>
              </w:rPr>
              <w:t>t/a，因此污泥产生量约为</w:t>
            </w:r>
            <w:r>
              <w:rPr>
                <w:rFonts w:hint="eastAsia" w:cs="Times New Roman"/>
                <w:color w:val="auto"/>
                <w:sz w:val="21"/>
                <w:szCs w:val="21"/>
                <w:lang w:val="en-US" w:eastAsia="zh-CN"/>
              </w:rPr>
              <w:t>0.864</w:t>
            </w:r>
            <w:r>
              <w:rPr>
                <w:rFonts w:hint="default" w:ascii="Times New Roman" w:hAnsi="Times New Roman" w:eastAsia="宋体" w:cs="Times New Roman"/>
                <w:color w:val="auto"/>
                <w:sz w:val="21"/>
                <w:szCs w:val="21"/>
                <w:lang w:val="en-US" w:eastAsia="zh-CN"/>
              </w:rPr>
              <w:t>t/a（手册中的污泥产生系数已按80%含水率折算）。</w:t>
            </w:r>
            <w:r>
              <w:rPr>
                <w:rFonts w:hint="eastAsia" w:ascii="Times New Roman" w:hAnsi="Times New Roman" w:eastAsia="宋体" w:cs="Times New Roman"/>
                <w:color w:val="auto"/>
                <w:sz w:val="21"/>
                <w:szCs w:val="21"/>
                <w:lang w:val="en-US" w:eastAsia="zh-CN"/>
              </w:rPr>
              <w:t>定期由环卫</w:t>
            </w:r>
            <w:r>
              <w:rPr>
                <w:rFonts w:hint="eastAsia" w:cs="Times New Roman"/>
                <w:color w:val="auto"/>
                <w:sz w:val="21"/>
                <w:szCs w:val="21"/>
                <w:lang w:val="en-US" w:eastAsia="zh-CN"/>
              </w:rPr>
              <w:t>部门</w:t>
            </w:r>
            <w:r>
              <w:rPr>
                <w:rFonts w:hint="eastAsia" w:ascii="Times New Roman" w:hAnsi="Times New Roman" w:eastAsia="宋体" w:cs="Times New Roman"/>
                <w:color w:val="auto"/>
                <w:sz w:val="21"/>
                <w:szCs w:val="21"/>
                <w:lang w:val="en-US" w:eastAsia="zh-CN"/>
              </w:rPr>
              <w:t>负责清掏处理。</w:t>
            </w:r>
          </w:p>
          <w:p w14:paraId="59974F31">
            <w:pPr>
              <w:pStyle w:val="12"/>
              <w:keepNext w:val="0"/>
              <w:keepLines w:val="0"/>
              <w:pageBreakBefore w:val="0"/>
              <w:widowControl w:val="0"/>
              <w:kinsoku/>
              <w:wordWrap/>
              <w:overflowPunct/>
              <w:topLinePunct w:val="0"/>
              <w:autoSpaceDE/>
              <w:autoSpaceDN/>
              <w:bidi w:val="0"/>
              <w:adjustRightInd/>
              <w:snapToGrid/>
              <w:spacing w:before="0" w:after="0" w:line="360" w:lineRule="auto"/>
              <w:ind w:right="0" w:firstLine="422" w:firstLineChars="200"/>
              <w:textAlignment w:val="auto"/>
              <w:outlineLvl w:val="9"/>
              <w:rPr>
                <w:rFonts w:hint="default"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危险废物：</w:t>
            </w:r>
          </w:p>
          <w:p w14:paraId="0D8DBAF4">
            <w:pPr>
              <w:pStyle w:val="12"/>
              <w:keepNext w:val="0"/>
              <w:keepLines w:val="0"/>
              <w:pageBreakBefore w:val="0"/>
              <w:widowControl w:val="0"/>
              <w:kinsoku/>
              <w:wordWrap/>
              <w:overflowPunct/>
              <w:topLinePunct w:val="0"/>
              <w:autoSpaceDE/>
              <w:autoSpaceDN/>
              <w:bidi w:val="0"/>
              <w:adjustRightInd/>
              <w:snapToGrid/>
              <w:spacing w:before="0" w:after="0" w:line="360" w:lineRule="auto"/>
              <w:ind w:right="0" w:firstLine="420" w:firstLineChars="200"/>
              <w:textAlignment w:val="auto"/>
              <w:outlineLvl w:val="9"/>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（1）废机油及废油桶</w:t>
            </w:r>
          </w:p>
          <w:p w14:paraId="48F123B5">
            <w:pPr>
              <w:pStyle w:val="12"/>
              <w:keepNext w:val="0"/>
              <w:keepLines w:val="0"/>
              <w:pageBreakBefore w:val="0"/>
              <w:widowControl w:val="0"/>
              <w:kinsoku/>
              <w:wordWrap/>
              <w:overflowPunct/>
              <w:topLinePunct w:val="0"/>
              <w:autoSpaceDE/>
              <w:autoSpaceDN/>
              <w:bidi w:val="0"/>
              <w:adjustRightInd/>
              <w:snapToGrid/>
              <w:spacing w:before="0" w:after="0" w:line="360" w:lineRule="auto"/>
              <w:ind w:right="0" w:firstLine="420" w:firstLineChars="200"/>
              <w:textAlignment w:val="auto"/>
              <w:outlineLvl w:val="9"/>
              <w:rPr>
                <w:rFonts w:hint="eastAsia" w:ascii="宋体" w:hAnsi="宋体" w:eastAsia="宋体" w:cs="宋体"/>
                <w:color w:val="auto"/>
                <w:sz w:val="21"/>
                <w:szCs w:val="21"/>
                <w:lang w:val="en-US" w:eastAsia="zh-CN"/>
              </w:rPr>
            </w:pPr>
            <w:r>
              <w:rPr>
                <w:rFonts w:hint="default" w:ascii="Times New Roman" w:hAnsi="Times New Roman" w:eastAsia="宋体" w:cs="Times New Roman"/>
                <w:i w:val="0"/>
                <w:iCs w:val="0"/>
                <w:color w:val="auto"/>
                <w:sz w:val="21"/>
                <w:szCs w:val="21"/>
                <w:lang w:val="en-US" w:eastAsia="zh-CN"/>
              </w:rPr>
              <w:t>本项目设备维护过程中产生</w:t>
            </w:r>
            <w:r>
              <w:rPr>
                <w:rFonts w:hint="default" w:ascii="Times New Roman" w:hAnsi="Times New Roman" w:eastAsia="宋体" w:cs="Times New Roman"/>
                <w:b w:val="0"/>
                <w:bCs/>
                <w:i w:val="0"/>
                <w:iCs w:val="0"/>
                <w:color w:val="auto"/>
                <w:sz w:val="21"/>
                <w:szCs w:val="21"/>
                <w:lang w:val="en-US" w:eastAsia="zh-CN"/>
              </w:rPr>
              <w:t>废机油、废油桶</w:t>
            </w:r>
            <w:r>
              <w:rPr>
                <w:rFonts w:hint="default" w:ascii="Times New Roman" w:hAnsi="Times New Roman" w:eastAsia="宋体" w:cs="Times New Roman"/>
                <w:i w:val="0"/>
                <w:iCs w:val="0"/>
                <w:color w:val="auto"/>
                <w:sz w:val="21"/>
                <w:szCs w:val="21"/>
                <w:lang w:val="en-US" w:eastAsia="zh-CN"/>
              </w:rPr>
              <w:t>。</w:t>
            </w:r>
            <w:r>
              <w:rPr>
                <w:rFonts w:hint="default" w:ascii="Times New Roman" w:hAnsi="Times New Roman" w:eastAsia="宋体" w:cs="Times New Roman"/>
                <w:b w:val="0"/>
                <w:bCs/>
                <w:i w:val="0"/>
                <w:iCs w:val="0"/>
                <w:color w:val="auto"/>
                <w:sz w:val="21"/>
                <w:szCs w:val="21"/>
                <w:lang w:val="en-US" w:eastAsia="zh-CN"/>
              </w:rPr>
              <w:t>属于危险废物，危险类别分别为废HW08矿物油与含矿物油废物（900-249-08）</w:t>
            </w:r>
            <w:r>
              <w:rPr>
                <w:rFonts w:hint="default" w:ascii="Times New Roman" w:hAnsi="Times New Roman" w:eastAsia="宋体" w:cs="Times New Roman"/>
                <w:i w:val="0"/>
                <w:iCs w:val="0"/>
                <w:color w:val="auto"/>
                <w:sz w:val="21"/>
                <w:szCs w:val="21"/>
                <w:lang w:val="en-US" w:eastAsia="zh-CN"/>
              </w:rPr>
              <w:t>“</w:t>
            </w:r>
            <w:r>
              <w:rPr>
                <w:rFonts w:hint="default" w:ascii="Times New Roman" w:hAnsi="Times New Roman" w:eastAsia="宋体" w:cs="Times New Roman"/>
                <w:b w:val="0"/>
                <w:bCs w:val="0"/>
                <w:i w:val="0"/>
                <w:iCs w:val="0"/>
                <w:color w:val="auto"/>
                <w:sz w:val="21"/>
                <w:szCs w:val="21"/>
                <w:u w:val="none"/>
                <w:lang w:val="en-US" w:eastAsia="zh-CN"/>
              </w:rPr>
              <w:t>其他生产、销售、使用过程中产生的废矿物油及沾染矿物油的废弃包装物</w:t>
            </w:r>
            <w:r>
              <w:rPr>
                <w:rFonts w:hint="default" w:ascii="Times New Roman" w:hAnsi="Times New Roman" w:eastAsia="宋体" w:cs="Times New Roman"/>
                <w:i w:val="0"/>
                <w:iCs w:val="0"/>
                <w:color w:val="auto"/>
                <w:sz w:val="21"/>
                <w:szCs w:val="21"/>
                <w:lang w:val="en-US" w:eastAsia="zh-CN"/>
              </w:rPr>
              <w:t>”</w:t>
            </w:r>
            <w:r>
              <w:rPr>
                <w:rFonts w:hint="default" w:ascii="Times New Roman" w:hAnsi="Times New Roman" w:eastAsia="宋体" w:cs="Times New Roman"/>
                <w:b w:val="0"/>
                <w:bCs/>
                <w:i w:val="0"/>
                <w:iCs w:val="0"/>
                <w:color w:val="auto"/>
                <w:sz w:val="21"/>
                <w:szCs w:val="21"/>
                <w:lang w:val="en-US" w:eastAsia="zh-CN"/>
              </w:rPr>
              <w:t>，产生量约为0.</w:t>
            </w:r>
            <w:r>
              <w:rPr>
                <w:rFonts w:hint="eastAsia" w:cs="Times New Roman"/>
                <w:b w:val="0"/>
                <w:bCs/>
                <w:i w:val="0"/>
                <w:iCs w:val="0"/>
                <w:color w:val="auto"/>
                <w:sz w:val="21"/>
                <w:szCs w:val="21"/>
                <w:lang w:val="en-US" w:eastAsia="zh-CN"/>
              </w:rPr>
              <w:t>02</w:t>
            </w:r>
            <w:r>
              <w:rPr>
                <w:rFonts w:hint="default" w:ascii="Times New Roman" w:hAnsi="Times New Roman" w:eastAsia="宋体" w:cs="Times New Roman"/>
                <w:i w:val="0"/>
                <w:iCs w:val="0"/>
                <w:color w:val="auto"/>
                <w:sz w:val="21"/>
                <w:szCs w:val="21"/>
                <w:lang w:val="en-US" w:eastAsia="zh-CN"/>
              </w:rPr>
              <w:t>t/a</w:t>
            </w:r>
            <w:r>
              <w:rPr>
                <w:rFonts w:hint="default" w:ascii="Times New Roman" w:hAnsi="Times New Roman" w:eastAsia="宋体" w:cs="Times New Roman"/>
                <w:b w:val="0"/>
                <w:bCs/>
                <w:i w:val="0"/>
                <w:iCs w:val="0"/>
                <w:color w:val="auto"/>
                <w:sz w:val="21"/>
                <w:szCs w:val="21"/>
                <w:lang w:val="en-US" w:eastAsia="zh-CN"/>
              </w:rPr>
              <w:t>，统一收集后暂存于厂区危废贮存库委托有资质的单位处置。</w:t>
            </w:r>
          </w:p>
          <w:p w14:paraId="7ABB519C">
            <w:pPr>
              <w:pStyle w:val="12"/>
              <w:keepNext w:val="0"/>
              <w:keepLines w:val="0"/>
              <w:pageBreakBefore w:val="0"/>
              <w:widowControl w:val="0"/>
              <w:kinsoku/>
              <w:wordWrap/>
              <w:overflowPunct/>
              <w:topLinePunct w:val="0"/>
              <w:autoSpaceDE/>
              <w:autoSpaceDN/>
              <w:bidi w:val="0"/>
              <w:adjustRightInd/>
              <w:snapToGrid/>
              <w:spacing w:before="0" w:after="0" w:line="360" w:lineRule="auto"/>
              <w:ind w:right="0" w:firstLine="420" w:firstLineChars="200"/>
              <w:textAlignment w:val="auto"/>
              <w:outlineLvl w:val="9"/>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w:t>
            </w:r>
            <w:r>
              <w:rPr>
                <w:rFonts w:hint="eastAsia" w:ascii="宋体" w:hAnsi="宋体" w:cs="宋体"/>
                <w:color w:val="auto"/>
                <w:sz w:val="21"/>
                <w:szCs w:val="21"/>
                <w:lang w:val="en-US" w:eastAsia="zh-CN"/>
              </w:rPr>
              <w:t>废酸铅电池</w:t>
            </w:r>
          </w:p>
          <w:p w14:paraId="1CB38D7F">
            <w:pPr>
              <w:pStyle w:val="12"/>
              <w:keepNext w:val="0"/>
              <w:keepLines w:val="0"/>
              <w:pageBreakBefore w:val="0"/>
              <w:widowControl w:val="0"/>
              <w:kinsoku/>
              <w:wordWrap/>
              <w:overflowPunct/>
              <w:topLinePunct w:val="0"/>
              <w:autoSpaceDE/>
              <w:autoSpaceDN/>
              <w:bidi w:val="0"/>
              <w:adjustRightInd/>
              <w:snapToGrid/>
              <w:spacing w:before="0" w:after="0" w:line="360" w:lineRule="auto"/>
              <w:ind w:right="0" w:firstLine="420" w:firstLineChars="200"/>
              <w:textAlignment w:val="auto"/>
              <w:outlineLvl w:val="9"/>
              <w:rPr>
                <w:rFonts w:hint="eastAsia" w:ascii="Times New Roman" w:hAnsi="Times New Roman" w:eastAsia="宋体" w:cs="Times New Roman"/>
                <w:i w:val="0"/>
                <w:iCs w:val="0"/>
                <w:color w:val="auto"/>
                <w:sz w:val="21"/>
                <w:szCs w:val="21"/>
                <w:lang w:val="en-US" w:eastAsia="zh-CN"/>
              </w:rPr>
            </w:pPr>
            <w:r>
              <w:rPr>
                <w:rFonts w:hint="eastAsia" w:ascii="Times New Roman" w:hAnsi="Times New Roman" w:eastAsia="宋体" w:cs="Times New Roman"/>
                <w:i w:val="0"/>
                <w:iCs w:val="0"/>
                <w:color w:val="auto"/>
                <w:sz w:val="21"/>
                <w:szCs w:val="21"/>
                <w:lang w:val="en-US" w:eastAsia="zh-CN"/>
              </w:rPr>
              <w:t>本项目在对组装好的电动三轮摩托车进行测试时用到酸铅电池，根据建设单位提供的数据，每年将产生2组废酸铅电池，约为0.</w:t>
            </w:r>
            <w:r>
              <w:rPr>
                <w:rFonts w:hint="eastAsia" w:cs="Times New Roman"/>
                <w:i w:val="0"/>
                <w:iCs w:val="0"/>
                <w:color w:val="auto"/>
                <w:sz w:val="21"/>
                <w:szCs w:val="21"/>
                <w:lang w:val="en-US" w:eastAsia="zh-CN"/>
              </w:rPr>
              <w:t>08</w:t>
            </w:r>
            <w:r>
              <w:rPr>
                <w:rFonts w:hint="eastAsia" w:ascii="Times New Roman" w:hAnsi="Times New Roman" w:eastAsia="宋体" w:cs="Times New Roman"/>
                <w:i w:val="0"/>
                <w:iCs w:val="0"/>
                <w:color w:val="auto"/>
                <w:sz w:val="21"/>
                <w:szCs w:val="21"/>
                <w:lang w:val="en-US" w:eastAsia="zh-CN"/>
              </w:rPr>
              <w:t>t/a，废酸铅电池</w:t>
            </w:r>
            <w:r>
              <w:rPr>
                <w:rFonts w:hint="default" w:ascii="Times New Roman" w:hAnsi="Times New Roman" w:eastAsia="宋体" w:cs="Times New Roman"/>
                <w:i w:val="0"/>
                <w:iCs w:val="0"/>
                <w:color w:val="auto"/>
                <w:sz w:val="21"/>
                <w:szCs w:val="21"/>
                <w:lang w:val="en-US" w:eastAsia="zh-CN"/>
              </w:rPr>
              <w:t>属于危险废物，危险类别分别为废HW</w:t>
            </w:r>
            <w:r>
              <w:rPr>
                <w:rFonts w:hint="eastAsia" w:ascii="Times New Roman" w:hAnsi="Times New Roman" w:eastAsia="宋体" w:cs="Times New Roman"/>
                <w:i w:val="0"/>
                <w:iCs w:val="0"/>
                <w:color w:val="auto"/>
                <w:sz w:val="21"/>
                <w:szCs w:val="21"/>
                <w:lang w:val="en-US" w:eastAsia="zh-CN"/>
              </w:rPr>
              <w:t>31含铅废物</w:t>
            </w:r>
            <w:r>
              <w:rPr>
                <w:rFonts w:hint="default" w:ascii="Times New Roman" w:hAnsi="Times New Roman" w:eastAsia="宋体" w:cs="Times New Roman"/>
                <w:i w:val="0"/>
                <w:iCs w:val="0"/>
                <w:color w:val="auto"/>
                <w:sz w:val="21"/>
                <w:szCs w:val="21"/>
                <w:lang w:val="en-US" w:eastAsia="zh-CN"/>
              </w:rPr>
              <w:t>（900-</w:t>
            </w:r>
            <w:r>
              <w:rPr>
                <w:rFonts w:hint="eastAsia" w:ascii="Times New Roman" w:hAnsi="Times New Roman" w:eastAsia="宋体" w:cs="Times New Roman"/>
                <w:i w:val="0"/>
                <w:iCs w:val="0"/>
                <w:color w:val="auto"/>
                <w:sz w:val="21"/>
                <w:szCs w:val="21"/>
                <w:lang w:val="en-US" w:eastAsia="zh-CN"/>
              </w:rPr>
              <w:t>052</w:t>
            </w:r>
            <w:r>
              <w:rPr>
                <w:rFonts w:hint="default" w:ascii="Times New Roman" w:hAnsi="Times New Roman" w:eastAsia="宋体" w:cs="Times New Roman"/>
                <w:i w:val="0"/>
                <w:iCs w:val="0"/>
                <w:color w:val="auto"/>
                <w:sz w:val="21"/>
                <w:szCs w:val="21"/>
                <w:lang w:val="en-US" w:eastAsia="zh-CN"/>
              </w:rPr>
              <w:t>-</w:t>
            </w:r>
            <w:r>
              <w:rPr>
                <w:rFonts w:hint="eastAsia" w:ascii="Times New Roman" w:hAnsi="Times New Roman" w:eastAsia="宋体" w:cs="Times New Roman"/>
                <w:i w:val="0"/>
                <w:iCs w:val="0"/>
                <w:color w:val="auto"/>
                <w:sz w:val="21"/>
                <w:szCs w:val="21"/>
                <w:lang w:val="en-US" w:eastAsia="zh-CN"/>
              </w:rPr>
              <w:t>31</w:t>
            </w:r>
            <w:r>
              <w:rPr>
                <w:rFonts w:hint="default" w:ascii="Times New Roman" w:hAnsi="Times New Roman" w:eastAsia="宋体" w:cs="Times New Roman"/>
                <w:i w:val="0"/>
                <w:iCs w:val="0"/>
                <w:color w:val="auto"/>
                <w:sz w:val="21"/>
                <w:szCs w:val="21"/>
                <w:lang w:val="en-US" w:eastAsia="zh-CN"/>
              </w:rPr>
              <w:t>）“</w:t>
            </w:r>
            <w:r>
              <w:rPr>
                <w:rFonts w:hint="eastAsia" w:ascii="Times New Roman" w:hAnsi="Times New Roman" w:eastAsia="宋体" w:cs="Times New Roman"/>
                <w:i w:val="0"/>
                <w:iCs w:val="0"/>
                <w:color w:val="auto"/>
                <w:sz w:val="21"/>
                <w:szCs w:val="21"/>
                <w:lang w:val="en-US" w:eastAsia="zh-CN"/>
              </w:rPr>
              <w:t>废铅蓄电池及废铅蓄电池拆解过程中产生的废铅板、废铅膏和酸液</w:t>
            </w:r>
            <w:r>
              <w:rPr>
                <w:rFonts w:hint="default" w:ascii="Times New Roman" w:hAnsi="Times New Roman" w:eastAsia="宋体" w:cs="Times New Roman"/>
                <w:i w:val="0"/>
                <w:iCs w:val="0"/>
                <w:color w:val="auto"/>
                <w:sz w:val="21"/>
                <w:szCs w:val="21"/>
                <w:lang w:val="en-US" w:eastAsia="zh-CN"/>
              </w:rPr>
              <w:t>”，</w:t>
            </w:r>
            <w:r>
              <w:rPr>
                <w:rFonts w:hint="eastAsia" w:ascii="Times New Roman" w:hAnsi="Times New Roman" w:eastAsia="宋体" w:cs="Times New Roman"/>
                <w:i w:val="0"/>
                <w:iCs w:val="0"/>
                <w:color w:val="auto"/>
                <w:sz w:val="21"/>
                <w:szCs w:val="21"/>
                <w:lang w:val="en-US" w:eastAsia="zh-CN"/>
              </w:rPr>
              <w:t>废酸铅电池</w:t>
            </w:r>
            <w:r>
              <w:rPr>
                <w:rFonts w:hint="default" w:ascii="Times New Roman" w:hAnsi="Times New Roman" w:eastAsia="宋体" w:cs="Times New Roman"/>
                <w:i w:val="0"/>
                <w:iCs w:val="0"/>
                <w:color w:val="auto"/>
                <w:sz w:val="21"/>
                <w:szCs w:val="21"/>
                <w:lang w:val="en-US" w:eastAsia="zh-CN"/>
              </w:rPr>
              <w:t>统一收集后暂存于厂区危废贮存库委托有资质的单位处置。</w:t>
            </w:r>
          </w:p>
          <w:p w14:paraId="2D985EA3">
            <w:pPr>
              <w:pStyle w:val="12"/>
              <w:keepNext w:val="0"/>
              <w:keepLines w:val="0"/>
              <w:pageBreakBefore w:val="0"/>
              <w:widowControl w:val="0"/>
              <w:kinsoku/>
              <w:wordWrap/>
              <w:overflowPunct/>
              <w:topLinePunct w:val="0"/>
              <w:autoSpaceDE/>
              <w:autoSpaceDN/>
              <w:bidi w:val="0"/>
              <w:adjustRightInd/>
              <w:snapToGrid/>
              <w:spacing w:before="0" w:after="0" w:line="360" w:lineRule="auto"/>
              <w:ind w:right="0" w:firstLine="420" w:firstLineChars="200"/>
              <w:textAlignment w:val="auto"/>
              <w:outlineLvl w:val="9"/>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w:t>
            </w:r>
            <w:r>
              <w:rPr>
                <w:rFonts w:hint="eastAsia" w:ascii="宋体" w:hAnsi="宋体" w:eastAsia="宋体" w:cs="宋体"/>
                <w:b w:val="0"/>
                <w:bCs w:val="0"/>
                <w:color w:val="auto"/>
                <w:sz w:val="21"/>
                <w:szCs w:val="21"/>
                <w:lang w:val="en-US" w:eastAsia="zh-CN"/>
              </w:rPr>
              <w:t>含油抹布手套</w:t>
            </w:r>
          </w:p>
          <w:p w14:paraId="52C13336">
            <w:pPr>
              <w:pStyle w:val="12"/>
              <w:keepNext w:val="0"/>
              <w:keepLines w:val="0"/>
              <w:pageBreakBefore w:val="0"/>
              <w:widowControl w:val="0"/>
              <w:kinsoku/>
              <w:wordWrap/>
              <w:overflowPunct/>
              <w:topLinePunct w:val="0"/>
              <w:autoSpaceDE/>
              <w:autoSpaceDN/>
              <w:bidi w:val="0"/>
              <w:adjustRightInd/>
              <w:snapToGrid/>
              <w:spacing w:before="0" w:after="0" w:line="360" w:lineRule="auto"/>
              <w:ind w:right="0" w:firstLine="420" w:firstLineChars="200"/>
              <w:textAlignment w:val="auto"/>
              <w:outlineLvl w:val="9"/>
              <w:rPr>
                <w:rFonts w:hint="default" w:ascii="宋体" w:hAnsi="宋体" w:eastAsia="宋体" w:cs="宋体"/>
                <w:color w:val="auto"/>
                <w:sz w:val="21"/>
                <w:szCs w:val="21"/>
                <w:lang w:val="en-US" w:eastAsia="zh-CN"/>
              </w:rPr>
            </w:pPr>
            <w:r>
              <w:rPr>
                <w:rFonts w:hint="default" w:ascii="Times New Roman" w:hAnsi="Times New Roman" w:eastAsia="宋体" w:cs="Times New Roman"/>
                <w:b w:val="0"/>
                <w:bCs/>
                <w:color w:val="auto"/>
                <w:sz w:val="21"/>
                <w:szCs w:val="21"/>
                <w:lang w:val="en-US" w:eastAsia="zh-CN"/>
              </w:rPr>
              <w:t>本项目在生产运行和设备保养维护时，产生含油抹布手套。属于危险废物，</w:t>
            </w:r>
            <w:r>
              <w:rPr>
                <w:rFonts w:hint="default" w:ascii="Times New Roman" w:hAnsi="Times New Roman" w:eastAsia="宋体" w:cs="Times New Roman"/>
                <w:color w:val="auto"/>
                <w:sz w:val="21"/>
                <w:szCs w:val="21"/>
                <w:lang w:val="en-US" w:eastAsia="zh-CN"/>
              </w:rPr>
              <w:t>危废类别</w:t>
            </w:r>
            <w:r>
              <w:rPr>
                <w:rFonts w:hint="default" w:ascii="Times New Roman" w:hAnsi="Times New Roman" w:eastAsia="宋体" w:cs="Times New Roman"/>
                <w:b w:val="0"/>
                <w:bCs/>
                <w:color w:val="auto"/>
                <w:sz w:val="21"/>
                <w:szCs w:val="21"/>
                <w:lang w:val="en-US" w:eastAsia="zh-CN"/>
              </w:rPr>
              <w:t>HW49</w:t>
            </w:r>
            <w:r>
              <w:rPr>
                <w:rFonts w:hint="eastAsia" w:ascii="Times New Roman" w:hAnsi="Times New Roman" w:eastAsia="宋体" w:cs="Times New Roman"/>
                <w:color w:val="auto"/>
                <w:sz w:val="21"/>
                <w:szCs w:val="21"/>
                <w:lang w:val="en-US" w:eastAsia="zh-CN"/>
              </w:rPr>
              <w:t>其他废物</w:t>
            </w:r>
            <w:r>
              <w:rPr>
                <w:rFonts w:hint="default" w:ascii="Times New Roman" w:hAnsi="Times New Roman" w:eastAsia="宋体" w:cs="Times New Roman"/>
                <w:b w:val="0"/>
                <w:bCs/>
                <w:color w:val="auto"/>
                <w:sz w:val="21"/>
                <w:szCs w:val="21"/>
                <w:lang w:val="en-US" w:eastAsia="zh-CN"/>
              </w:rPr>
              <w:t>(900-041- 49</w:t>
            </w:r>
            <w:r>
              <w:rPr>
                <w:rFonts w:hint="default" w:ascii="Times New Roman" w:hAnsi="Times New Roman" w:eastAsia="宋体" w:cs="Times New Roman"/>
                <w:b w:val="0"/>
                <w:bCs/>
                <w:i w:val="0"/>
                <w:iCs w:val="0"/>
                <w:color w:val="auto"/>
                <w:sz w:val="21"/>
                <w:szCs w:val="21"/>
                <w:lang w:val="en-US" w:eastAsia="zh-CN"/>
              </w:rPr>
              <w:t>)“含有或沾染毒性、感染性危险废物的废弃包装物、容器、过滤吸附介质”，</w:t>
            </w:r>
            <w:r>
              <w:rPr>
                <w:rFonts w:hint="default" w:ascii="Times New Roman" w:hAnsi="Times New Roman" w:eastAsia="宋体" w:cs="Times New Roman"/>
                <w:b w:val="0"/>
                <w:bCs/>
                <w:color w:val="auto"/>
                <w:sz w:val="21"/>
                <w:szCs w:val="21"/>
                <w:lang w:val="en-US" w:eastAsia="zh-CN"/>
              </w:rPr>
              <w:t>产生量约为0.01</w:t>
            </w:r>
            <w:r>
              <w:rPr>
                <w:rFonts w:hint="default" w:ascii="Times New Roman" w:hAnsi="Times New Roman" w:eastAsia="宋体" w:cs="Times New Roman"/>
                <w:color w:val="auto"/>
                <w:sz w:val="21"/>
                <w:szCs w:val="21"/>
                <w:lang w:val="en-US" w:eastAsia="zh-CN"/>
              </w:rPr>
              <w:t>t/a，统一收集后暂存于厂区危废贮存库，后委托资质单位处置。</w:t>
            </w:r>
          </w:p>
          <w:p w14:paraId="7B886868">
            <w:pPr>
              <w:pStyle w:val="12"/>
              <w:keepNext w:val="0"/>
              <w:keepLines w:val="0"/>
              <w:pageBreakBefore w:val="0"/>
              <w:widowControl w:val="0"/>
              <w:kinsoku/>
              <w:wordWrap/>
              <w:overflowPunct/>
              <w:topLinePunct w:val="0"/>
              <w:autoSpaceDE/>
              <w:autoSpaceDN/>
              <w:bidi w:val="0"/>
              <w:adjustRightInd/>
              <w:snapToGrid/>
              <w:spacing w:before="0" w:after="0" w:line="360" w:lineRule="auto"/>
              <w:ind w:right="0" w:firstLine="420" w:firstLineChars="200"/>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固体废物产生排放情况一览见表4-10。</w:t>
            </w:r>
          </w:p>
          <w:p w14:paraId="65D24FA2">
            <w:pPr>
              <w:snapToGrid w:val="0"/>
              <w:spacing w:before="120" w:beforeLines="50"/>
              <w:jc w:val="center"/>
              <w:rPr>
                <w:rFonts w:hint="eastAsia"/>
                <w:b/>
                <w:color w:val="auto"/>
                <w:sz w:val="21"/>
                <w:szCs w:val="21"/>
                <w:lang w:val="en-US" w:eastAsia="zh-CN"/>
              </w:rPr>
            </w:pPr>
            <w:r>
              <w:rPr>
                <w:rFonts w:hint="eastAsia"/>
                <w:b/>
                <w:color w:val="auto"/>
                <w:sz w:val="21"/>
                <w:szCs w:val="21"/>
                <w:lang w:val="en-US" w:eastAsia="zh-CN"/>
              </w:rPr>
              <w:t>表4-10 固体废物产生及处理处置情况</w:t>
            </w:r>
          </w:p>
          <w:tbl>
            <w:tblPr>
              <w:tblStyle w:val="74"/>
              <w:tblW w:w="499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12"/>
              <w:gridCol w:w="1571"/>
              <w:gridCol w:w="940"/>
              <w:gridCol w:w="1831"/>
              <w:gridCol w:w="1103"/>
              <w:gridCol w:w="938"/>
              <w:gridCol w:w="1583"/>
            </w:tblGrid>
            <w:tr w14:paraId="1315F9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exact"/>
                <w:jc w:val="center"/>
              </w:trPr>
              <w:tc>
                <w:tcPr>
                  <w:tcW w:w="302" w:type="pct"/>
                  <w:noWrap w:val="0"/>
                  <w:vAlign w:val="center"/>
                </w:tcPr>
                <w:p w14:paraId="4EA7F3D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类型</w:t>
                  </w:r>
                </w:p>
              </w:tc>
              <w:tc>
                <w:tcPr>
                  <w:tcW w:w="926" w:type="pct"/>
                  <w:noWrap w:val="0"/>
                  <w:vAlign w:val="center"/>
                </w:tcPr>
                <w:p w14:paraId="441D857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名称</w:t>
                  </w:r>
                </w:p>
              </w:tc>
              <w:tc>
                <w:tcPr>
                  <w:tcW w:w="554" w:type="pct"/>
                  <w:noWrap w:val="0"/>
                  <w:vAlign w:val="center"/>
                </w:tcPr>
                <w:p w14:paraId="5B6FB36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形态</w:t>
                  </w:r>
                </w:p>
              </w:tc>
              <w:tc>
                <w:tcPr>
                  <w:tcW w:w="1079" w:type="pct"/>
                  <w:noWrap w:val="0"/>
                  <w:vAlign w:val="center"/>
                </w:tcPr>
                <w:p w14:paraId="7758E9E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主要成分</w:t>
                  </w:r>
                </w:p>
              </w:tc>
              <w:tc>
                <w:tcPr>
                  <w:tcW w:w="650" w:type="pct"/>
                  <w:noWrap w:val="0"/>
                  <w:vAlign w:val="center"/>
                </w:tcPr>
                <w:p w14:paraId="16FFB8A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产生量</w:t>
                  </w:r>
                </w:p>
                <w:p w14:paraId="75B9761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（t/a）</w:t>
                  </w:r>
                </w:p>
              </w:tc>
              <w:tc>
                <w:tcPr>
                  <w:tcW w:w="553" w:type="pct"/>
                  <w:noWrap w:val="0"/>
                  <w:vAlign w:val="center"/>
                </w:tcPr>
                <w:p w14:paraId="28925C7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危废类别代码</w:t>
                  </w:r>
                </w:p>
              </w:tc>
              <w:tc>
                <w:tcPr>
                  <w:tcW w:w="932" w:type="pct"/>
                  <w:noWrap w:val="0"/>
                  <w:vAlign w:val="center"/>
                </w:tcPr>
                <w:p w14:paraId="598A8F9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处理措施</w:t>
                  </w:r>
                </w:p>
              </w:tc>
            </w:tr>
            <w:tr w14:paraId="467077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exact"/>
                <w:jc w:val="center"/>
              </w:trPr>
              <w:tc>
                <w:tcPr>
                  <w:tcW w:w="302" w:type="pct"/>
                  <w:vMerge w:val="restart"/>
                  <w:noWrap w:val="0"/>
                  <w:vAlign w:val="center"/>
                </w:tcPr>
                <w:p w14:paraId="6793007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一般 固废</w:t>
                  </w:r>
                </w:p>
              </w:tc>
              <w:tc>
                <w:tcPr>
                  <w:tcW w:w="926" w:type="pct"/>
                  <w:noWrap w:val="0"/>
                  <w:vAlign w:val="center"/>
                </w:tcPr>
                <w:p w14:paraId="5C3132B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生活垃圾</w:t>
                  </w:r>
                </w:p>
              </w:tc>
              <w:tc>
                <w:tcPr>
                  <w:tcW w:w="554" w:type="pct"/>
                  <w:noWrap w:val="0"/>
                  <w:vAlign w:val="center"/>
                </w:tcPr>
                <w:p w14:paraId="5E61668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固态</w:t>
                  </w:r>
                </w:p>
              </w:tc>
              <w:tc>
                <w:tcPr>
                  <w:tcW w:w="1079" w:type="pct"/>
                  <w:noWrap w:val="0"/>
                  <w:vAlign w:val="center"/>
                </w:tcPr>
                <w:p w14:paraId="021B9DC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废塑料、废纸、垃圾</w:t>
                  </w:r>
                </w:p>
              </w:tc>
              <w:tc>
                <w:tcPr>
                  <w:tcW w:w="650" w:type="pct"/>
                  <w:noWrap w:val="0"/>
                  <w:vAlign w:val="center"/>
                </w:tcPr>
                <w:p w14:paraId="7D79B1E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14.4</w:t>
                  </w:r>
                </w:p>
              </w:tc>
              <w:tc>
                <w:tcPr>
                  <w:tcW w:w="553" w:type="pct"/>
                  <w:noWrap w:val="0"/>
                  <w:vAlign w:val="center"/>
                </w:tcPr>
                <w:p w14:paraId="3CC2D81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c>
                <w:tcPr>
                  <w:tcW w:w="932" w:type="pct"/>
                  <w:noWrap w:val="0"/>
                  <w:vAlign w:val="center"/>
                </w:tcPr>
                <w:p w14:paraId="3ED516E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环卫清运</w:t>
                  </w:r>
                </w:p>
              </w:tc>
            </w:tr>
            <w:tr w14:paraId="70EDED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exact"/>
                <w:jc w:val="center"/>
              </w:trPr>
              <w:tc>
                <w:tcPr>
                  <w:tcW w:w="302" w:type="pct"/>
                  <w:vMerge w:val="continue"/>
                  <w:noWrap w:val="0"/>
                  <w:vAlign w:val="center"/>
                </w:tcPr>
                <w:p w14:paraId="18D1F02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p>
              </w:tc>
              <w:tc>
                <w:tcPr>
                  <w:tcW w:w="926" w:type="pct"/>
                  <w:noWrap w:val="0"/>
                  <w:vAlign w:val="center"/>
                </w:tcPr>
                <w:p w14:paraId="4CEC59F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包装废弃物</w:t>
                  </w:r>
                </w:p>
              </w:tc>
              <w:tc>
                <w:tcPr>
                  <w:tcW w:w="554" w:type="pct"/>
                  <w:noWrap w:val="0"/>
                  <w:vAlign w:val="center"/>
                </w:tcPr>
                <w:p w14:paraId="0B7ED8E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固态</w:t>
                  </w:r>
                </w:p>
              </w:tc>
              <w:tc>
                <w:tcPr>
                  <w:tcW w:w="1079" w:type="pct"/>
                  <w:noWrap w:val="0"/>
                  <w:vAlign w:val="center"/>
                </w:tcPr>
                <w:p w14:paraId="57CB8FC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纸板、塑料袋等</w:t>
                  </w:r>
                </w:p>
              </w:tc>
              <w:tc>
                <w:tcPr>
                  <w:tcW w:w="650" w:type="pct"/>
                  <w:noWrap w:val="0"/>
                  <w:vAlign w:val="center"/>
                </w:tcPr>
                <w:p w14:paraId="244D47A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2</w:t>
                  </w:r>
                </w:p>
              </w:tc>
              <w:tc>
                <w:tcPr>
                  <w:tcW w:w="553" w:type="pct"/>
                  <w:noWrap w:val="0"/>
                  <w:vAlign w:val="center"/>
                </w:tcPr>
                <w:p w14:paraId="711E06E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c>
                <w:tcPr>
                  <w:tcW w:w="932" w:type="pct"/>
                  <w:noWrap w:val="0"/>
                  <w:vAlign w:val="center"/>
                </w:tcPr>
                <w:p w14:paraId="5FA78A9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外卖废品收购站</w:t>
                  </w:r>
                </w:p>
              </w:tc>
            </w:tr>
            <w:tr w14:paraId="3BBE07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exact"/>
                <w:jc w:val="center"/>
              </w:trPr>
              <w:tc>
                <w:tcPr>
                  <w:tcW w:w="302" w:type="pct"/>
                  <w:vMerge w:val="continue"/>
                  <w:noWrap w:val="0"/>
                  <w:vAlign w:val="center"/>
                </w:tcPr>
                <w:p w14:paraId="265155F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p>
              </w:tc>
              <w:tc>
                <w:tcPr>
                  <w:tcW w:w="926" w:type="pct"/>
                  <w:noWrap w:val="0"/>
                  <w:vAlign w:val="center"/>
                </w:tcPr>
                <w:p w14:paraId="2233992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化粪池污泥</w:t>
                  </w:r>
                </w:p>
              </w:tc>
              <w:tc>
                <w:tcPr>
                  <w:tcW w:w="554" w:type="pct"/>
                  <w:noWrap w:val="0"/>
                  <w:vAlign w:val="center"/>
                </w:tcPr>
                <w:p w14:paraId="7C982D6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固态</w:t>
                  </w:r>
                </w:p>
              </w:tc>
              <w:tc>
                <w:tcPr>
                  <w:tcW w:w="1079" w:type="pct"/>
                  <w:noWrap w:val="0"/>
                  <w:vAlign w:val="center"/>
                </w:tcPr>
                <w:p w14:paraId="58A5AB5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污泥</w:t>
                  </w:r>
                </w:p>
              </w:tc>
              <w:tc>
                <w:tcPr>
                  <w:tcW w:w="650" w:type="pct"/>
                  <w:noWrap w:val="0"/>
                  <w:vAlign w:val="center"/>
                </w:tcPr>
                <w:p w14:paraId="05F8E0E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0.864</w:t>
                  </w:r>
                </w:p>
              </w:tc>
              <w:tc>
                <w:tcPr>
                  <w:tcW w:w="553" w:type="pct"/>
                  <w:noWrap w:val="0"/>
                  <w:vAlign w:val="center"/>
                </w:tcPr>
                <w:p w14:paraId="0261242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c>
                <w:tcPr>
                  <w:tcW w:w="932" w:type="pct"/>
                  <w:noWrap w:val="0"/>
                  <w:vAlign w:val="center"/>
                </w:tcPr>
                <w:p w14:paraId="0B5FA14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环卫清运</w:t>
                  </w:r>
                </w:p>
              </w:tc>
            </w:tr>
            <w:tr w14:paraId="327AB6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exact"/>
                <w:jc w:val="center"/>
              </w:trPr>
              <w:tc>
                <w:tcPr>
                  <w:tcW w:w="302" w:type="pct"/>
                  <w:vMerge w:val="restart"/>
                  <w:noWrap w:val="0"/>
                  <w:vAlign w:val="center"/>
                </w:tcPr>
                <w:p w14:paraId="760D56D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危险 废物</w:t>
                  </w:r>
                </w:p>
              </w:tc>
              <w:tc>
                <w:tcPr>
                  <w:tcW w:w="926" w:type="pct"/>
                  <w:noWrap w:val="0"/>
                  <w:vAlign w:val="center"/>
                </w:tcPr>
                <w:p w14:paraId="10367BA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废机油及废油桶</w:t>
                  </w:r>
                </w:p>
              </w:tc>
              <w:tc>
                <w:tcPr>
                  <w:tcW w:w="554" w:type="pct"/>
                  <w:noWrap w:val="0"/>
                  <w:vAlign w:val="center"/>
                </w:tcPr>
                <w:p w14:paraId="1B5F440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液态</w:t>
                  </w:r>
                  <w:r>
                    <w:rPr>
                      <w:rFonts w:hint="eastAsia" w:ascii="宋体" w:hAnsi="宋体" w:cs="宋体"/>
                      <w:color w:val="auto"/>
                      <w:sz w:val="21"/>
                      <w:szCs w:val="21"/>
                      <w:lang w:val="en-US" w:eastAsia="zh-CN"/>
                    </w:rPr>
                    <w:t>、固态</w:t>
                  </w:r>
                </w:p>
              </w:tc>
              <w:tc>
                <w:tcPr>
                  <w:tcW w:w="1079" w:type="pct"/>
                  <w:noWrap w:val="0"/>
                  <w:vAlign w:val="center"/>
                </w:tcPr>
                <w:p w14:paraId="29D05DB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废矿物油</w:t>
                  </w:r>
                </w:p>
              </w:tc>
              <w:tc>
                <w:tcPr>
                  <w:tcW w:w="650" w:type="pct"/>
                  <w:tcBorders>
                    <w:top w:val="single" w:color="auto" w:sz="4" w:space="0"/>
                    <w:bottom w:val="single" w:color="auto" w:sz="4" w:space="0"/>
                  </w:tcBorders>
                  <w:noWrap w:val="0"/>
                  <w:vAlign w:val="center"/>
                </w:tcPr>
                <w:p w14:paraId="621DDB7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w:t>
                  </w:r>
                  <w:r>
                    <w:rPr>
                      <w:rFonts w:hint="eastAsia" w:ascii="宋体" w:hAnsi="宋体" w:cs="宋体"/>
                      <w:color w:val="auto"/>
                      <w:sz w:val="21"/>
                      <w:szCs w:val="21"/>
                      <w:lang w:val="en-US" w:eastAsia="zh-CN"/>
                    </w:rPr>
                    <w:t>02</w:t>
                  </w:r>
                </w:p>
              </w:tc>
              <w:tc>
                <w:tcPr>
                  <w:tcW w:w="553" w:type="pct"/>
                  <w:tcBorders>
                    <w:top w:val="single" w:color="auto" w:sz="4" w:space="0"/>
                    <w:bottom w:val="single" w:color="auto" w:sz="4" w:space="0"/>
                  </w:tcBorders>
                  <w:noWrap w:val="0"/>
                  <w:vAlign w:val="center"/>
                </w:tcPr>
                <w:p w14:paraId="524D7C1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HW08</w:t>
                  </w:r>
                </w:p>
              </w:tc>
              <w:tc>
                <w:tcPr>
                  <w:tcW w:w="932" w:type="pct"/>
                  <w:vMerge w:val="restart"/>
                  <w:noWrap w:val="0"/>
                  <w:vAlign w:val="center"/>
                </w:tcPr>
                <w:p w14:paraId="6AF55FF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暂存危废贮存库，定期交由</w:t>
                  </w:r>
                  <w:r>
                    <w:rPr>
                      <w:rFonts w:hint="eastAsia" w:ascii="宋体" w:hAnsi="宋体" w:eastAsia="宋体" w:cs="宋体"/>
                      <w:bCs/>
                      <w:color w:val="auto"/>
                      <w:sz w:val="21"/>
                      <w:szCs w:val="21"/>
                      <w:lang w:val="en-US" w:eastAsia="zh-CN"/>
                    </w:rPr>
                    <w:t>有资质公司</w:t>
                  </w:r>
                  <w:r>
                    <w:rPr>
                      <w:rFonts w:hint="eastAsia" w:ascii="宋体" w:hAnsi="宋体" w:eastAsia="宋体" w:cs="宋体"/>
                      <w:color w:val="auto"/>
                      <w:sz w:val="21"/>
                      <w:szCs w:val="21"/>
                      <w:lang w:val="en-US" w:eastAsia="zh-CN"/>
                    </w:rPr>
                    <w:t xml:space="preserve">处置 </w:t>
                  </w:r>
                </w:p>
              </w:tc>
            </w:tr>
            <w:tr w14:paraId="356995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2" w:hRule="exact"/>
                <w:jc w:val="center"/>
              </w:trPr>
              <w:tc>
                <w:tcPr>
                  <w:tcW w:w="302" w:type="pct"/>
                  <w:vMerge w:val="continue"/>
                  <w:noWrap w:val="0"/>
                  <w:vAlign w:val="center"/>
                </w:tcPr>
                <w:p w14:paraId="23C095F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p>
              </w:tc>
              <w:tc>
                <w:tcPr>
                  <w:tcW w:w="926" w:type="pct"/>
                  <w:noWrap w:val="0"/>
                  <w:vAlign w:val="center"/>
                </w:tcPr>
                <w:p w14:paraId="2B08BAA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Times New Roman" w:hAnsi="Times New Roman" w:eastAsia="宋体" w:cs="Times New Roman"/>
                      <w:i w:val="0"/>
                      <w:iCs w:val="0"/>
                      <w:color w:val="auto"/>
                      <w:sz w:val="21"/>
                      <w:szCs w:val="21"/>
                      <w:lang w:val="en-US" w:eastAsia="zh-CN"/>
                    </w:rPr>
                    <w:t>废</w:t>
                  </w:r>
                  <w:r>
                    <w:rPr>
                      <w:rFonts w:hint="eastAsia" w:cs="Times New Roman"/>
                      <w:i w:val="0"/>
                      <w:iCs w:val="0"/>
                      <w:color w:val="auto"/>
                      <w:sz w:val="21"/>
                      <w:szCs w:val="21"/>
                      <w:lang w:val="en-US" w:eastAsia="zh-CN"/>
                    </w:rPr>
                    <w:t>铅酸</w:t>
                  </w:r>
                  <w:r>
                    <w:rPr>
                      <w:rFonts w:hint="eastAsia" w:ascii="Times New Roman" w:hAnsi="Times New Roman" w:eastAsia="宋体" w:cs="Times New Roman"/>
                      <w:i w:val="0"/>
                      <w:iCs w:val="0"/>
                      <w:color w:val="auto"/>
                      <w:sz w:val="21"/>
                      <w:szCs w:val="21"/>
                      <w:lang w:val="en-US" w:eastAsia="zh-CN"/>
                    </w:rPr>
                    <w:t>电池</w:t>
                  </w:r>
                </w:p>
              </w:tc>
              <w:tc>
                <w:tcPr>
                  <w:tcW w:w="554" w:type="pct"/>
                  <w:noWrap w:val="0"/>
                  <w:vAlign w:val="center"/>
                </w:tcPr>
                <w:p w14:paraId="130532D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固态</w:t>
                  </w:r>
                </w:p>
              </w:tc>
              <w:tc>
                <w:tcPr>
                  <w:tcW w:w="1079" w:type="pct"/>
                  <w:noWrap w:val="0"/>
                  <w:vAlign w:val="center"/>
                </w:tcPr>
                <w:p w14:paraId="6E7C74A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废矿物油</w:t>
                  </w:r>
                </w:p>
              </w:tc>
              <w:tc>
                <w:tcPr>
                  <w:tcW w:w="650" w:type="pct"/>
                  <w:tcBorders>
                    <w:top w:val="single" w:color="auto" w:sz="4" w:space="0"/>
                    <w:bottom w:val="single" w:color="auto" w:sz="4" w:space="0"/>
                  </w:tcBorders>
                  <w:noWrap w:val="0"/>
                  <w:vAlign w:val="center"/>
                </w:tcPr>
                <w:p w14:paraId="1021F6E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w:t>
                  </w:r>
                  <w:r>
                    <w:rPr>
                      <w:rFonts w:hint="eastAsia" w:ascii="宋体" w:hAnsi="宋体" w:cs="宋体"/>
                      <w:color w:val="auto"/>
                      <w:sz w:val="21"/>
                      <w:szCs w:val="21"/>
                      <w:lang w:val="en-US" w:eastAsia="zh-CN"/>
                    </w:rPr>
                    <w:t>8</w:t>
                  </w:r>
                </w:p>
              </w:tc>
              <w:tc>
                <w:tcPr>
                  <w:tcW w:w="553" w:type="pct"/>
                  <w:tcBorders>
                    <w:top w:val="single" w:color="auto" w:sz="4" w:space="0"/>
                    <w:bottom w:val="single" w:color="auto" w:sz="4" w:space="0"/>
                  </w:tcBorders>
                  <w:noWrap w:val="0"/>
                  <w:vAlign w:val="center"/>
                </w:tcPr>
                <w:p w14:paraId="6A404AF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HW</w:t>
                  </w:r>
                  <w:r>
                    <w:rPr>
                      <w:rFonts w:hint="eastAsia" w:ascii="宋体" w:hAnsi="宋体" w:cs="宋体"/>
                      <w:color w:val="auto"/>
                      <w:sz w:val="21"/>
                      <w:szCs w:val="21"/>
                      <w:lang w:val="en-US" w:eastAsia="zh-CN"/>
                    </w:rPr>
                    <w:t>31</w:t>
                  </w:r>
                </w:p>
              </w:tc>
              <w:tc>
                <w:tcPr>
                  <w:tcW w:w="932" w:type="pct"/>
                  <w:vMerge w:val="continue"/>
                  <w:noWrap w:val="0"/>
                  <w:vAlign w:val="center"/>
                </w:tcPr>
                <w:p w14:paraId="6507A93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p>
              </w:tc>
            </w:tr>
            <w:tr w14:paraId="3142B2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2" w:hRule="exact"/>
                <w:jc w:val="center"/>
              </w:trPr>
              <w:tc>
                <w:tcPr>
                  <w:tcW w:w="302" w:type="pct"/>
                  <w:vMerge w:val="continue"/>
                  <w:noWrap w:val="0"/>
                  <w:vAlign w:val="center"/>
                </w:tcPr>
                <w:p w14:paraId="524A4A8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p>
              </w:tc>
              <w:tc>
                <w:tcPr>
                  <w:tcW w:w="926" w:type="pct"/>
                  <w:noWrap w:val="0"/>
                  <w:vAlign w:val="center"/>
                </w:tcPr>
                <w:p w14:paraId="1C85635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b w:val="0"/>
                      <w:bCs w:val="0"/>
                      <w:color w:val="auto"/>
                      <w:sz w:val="21"/>
                      <w:szCs w:val="21"/>
                      <w:lang w:val="en-US" w:eastAsia="zh-CN"/>
                    </w:rPr>
                    <w:t>含油抹布手套</w:t>
                  </w:r>
                </w:p>
              </w:tc>
              <w:tc>
                <w:tcPr>
                  <w:tcW w:w="554" w:type="pct"/>
                  <w:noWrap w:val="0"/>
                  <w:vAlign w:val="center"/>
                </w:tcPr>
                <w:p w14:paraId="4E748C5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固态</w:t>
                  </w:r>
                </w:p>
              </w:tc>
              <w:tc>
                <w:tcPr>
                  <w:tcW w:w="1079" w:type="pct"/>
                  <w:noWrap w:val="0"/>
                  <w:vAlign w:val="center"/>
                </w:tcPr>
                <w:p w14:paraId="494D95D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含汞废弃物</w:t>
                  </w:r>
                </w:p>
              </w:tc>
              <w:tc>
                <w:tcPr>
                  <w:tcW w:w="650" w:type="pct"/>
                  <w:tcBorders>
                    <w:top w:val="single" w:color="auto" w:sz="4" w:space="0"/>
                    <w:bottom w:val="single" w:color="auto" w:sz="4" w:space="0"/>
                  </w:tcBorders>
                  <w:noWrap w:val="0"/>
                  <w:vAlign w:val="center"/>
                </w:tcPr>
                <w:p w14:paraId="3DC5CA6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0.01</w:t>
                  </w:r>
                </w:p>
              </w:tc>
              <w:tc>
                <w:tcPr>
                  <w:tcW w:w="553" w:type="pct"/>
                  <w:tcBorders>
                    <w:top w:val="single" w:color="auto" w:sz="4" w:space="0"/>
                    <w:bottom w:val="single" w:color="auto" w:sz="4" w:space="0"/>
                  </w:tcBorders>
                  <w:noWrap w:val="0"/>
                  <w:vAlign w:val="center"/>
                </w:tcPr>
                <w:p w14:paraId="2D07840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HW49</w:t>
                  </w:r>
                </w:p>
              </w:tc>
              <w:tc>
                <w:tcPr>
                  <w:tcW w:w="932" w:type="pct"/>
                  <w:vMerge w:val="continue"/>
                  <w:noWrap w:val="0"/>
                  <w:vAlign w:val="center"/>
                </w:tcPr>
                <w:p w14:paraId="5750EE5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p>
              </w:tc>
            </w:tr>
          </w:tbl>
          <w:p w14:paraId="1CD5E1E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p>
          <w:p w14:paraId="5BC5770C">
            <w:pPr>
              <w:pStyle w:val="12"/>
              <w:keepNext w:val="0"/>
              <w:keepLines w:val="0"/>
              <w:pageBreakBefore w:val="0"/>
              <w:widowControl w:val="0"/>
              <w:kinsoku/>
              <w:wordWrap/>
              <w:overflowPunct/>
              <w:topLinePunct w:val="0"/>
              <w:autoSpaceDE/>
              <w:autoSpaceDN/>
              <w:bidi w:val="0"/>
              <w:adjustRightInd/>
              <w:snapToGrid/>
              <w:spacing w:before="0" w:after="0" w:line="360" w:lineRule="auto"/>
              <w:ind w:right="0" w:firstLine="420" w:firstLineChars="200"/>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本项目危险废物产生及处置情况汇总见下表4-11。</w:t>
            </w:r>
          </w:p>
          <w:p w14:paraId="3C102943">
            <w:pPr>
              <w:snapToGrid w:val="0"/>
              <w:spacing w:before="120" w:beforeLines="50"/>
              <w:jc w:val="center"/>
              <w:rPr>
                <w:rFonts w:hint="eastAsia"/>
                <w:b/>
                <w:color w:val="auto"/>
                <w:sz w:val="21"/>
                <w:szCs w:val="21"/>
                <w:lang w:val="en-US" w:eastAsia="zh-CN"/>
              </w:rPr>
            </w:pPr>
            <w:r>
              <w:rPr>
                <w:rFonts w:hint="eastAsia"/>
                <w:b/>
                <w:color w:val="auto"/>
                <w:sz w:val="21"/>
                <w:szCs w:val="21"/>
                <w:lang w:val="en-US" w:eastAsia="zh-CN"/>
              </w:rPr>
              <w:t>表4-11 危险废物产生及处置情况汇总表</w:t>
            </w:r>
          </w:p>
          <w:tbl>
            <w:tblPr>
              <w:tblStyle w:val="3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07"/>
              <w:gridCol w:w="730"/>
              <w:gridCol w:w="733"/>
              <w:gridCol w:w="1316"/>
              <w:gridCol w:w="924"/>
              <w:gridCol w:w="1083"/>
              <w:gridCol w:w="669"/>
              <w:gridCol w:w="786"/>
              <w:gridCol w:w="924"/>
              <w:gridCol w:w="1007"/>
            </w:tblGrid>
            <w:tr w14:paraId="3C359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78" w:hRule="atLeast"/>
                <w:jc w:val="center"/>
              </w:trPr>
              <w:tc>
                <w:tcPr>
                  <w:tcW w:w="181" w:type="pct"/>
                  <w:noWrap w:val="0"/>
                  <w:vAlign w:val="center"/>
                </w:tcPr>
                <w:p w14:paraId="4B5C388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序号</w:t>
                  </w:r>
                </w:p>
              </w:tc>
              <w:tc>
                <w:tcPr>
                  <w:tcW w:w="430" w:type="pct"/>
                  <w:noWrap w:val="0"/>
                  <w:vAlign w:val="center"/>
                </w:tcPr>
                <w:p w14:paraId="42F1043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危险废物</w:t>
                  </w:r>
                </w:p>
                <w:p w14:paraId="6F6A6DD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名称</w:t>
                  </w:r>
                </w:p>
              </w:tc>
              <w:tc>
                <w:tcPr>
                  <w:tcW w:w="432" w:type="pct"/>
                  <w:noWrap w:val="0"/>
                  <w:vAlign w:val="center"/>
                </w:tcPr>
                <w:p w14:paraId="4A3A41C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危险废物类别</w:t>
                  </w:r>
                </w:p>
              </w:tc>
              <w:tc>
                <w:tcPr>
                  <w:tcW w:w="775" w:type="pct"/>
                  <w:noWrap w:val="0"/>
                  <w:vAlign w:val="center"/>
                </w:tcPr>
                <w:p w14:paraId="0EF9598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危险废物代码</w:t>
                  </w:r>
                </w:p>
              </w:tc>
              <w:tc>
                <w:tcPr>
                  <w:tcW w:w="544" w:type="pct"/>
                  <w:noWrap w:val="0"/>
                  <w:vAlign w:val="center"/>
                </w:tcPr>
                <w:p w14:paraId="4FA1E4F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产生量</w:t>
                  </w:r>
                </w:p>
              </w:tc>
              <w:tc>
                <w:tcPr>
                  <w:tcW w:w="638" w:type="pct"/>
                  <w:noWrap w:val="0"/>
                  <w:vAlign w:val="center"/>
                </w:tcPr>
                <w:p w14:paraId="0FE76B3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产生工序及装置</w:t>
                  </w:r>
                </w:p>
              </w:tc>
              <w:tc>
                <w:tcPr>
                  <w:tcW w:w="394" w:type="pct"/>
                  <w:noWrap w:val="0"/>
                  <w:vAlign w:val="center"/>
                </w:tcPr>
                <w:p w14:paraId="73407A5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形态</w:t>
                  </w:r>
                </w:p>
              </w:tc>
              <w:tc>
                <w:tcPr>
                  <w:tcW w:w="463" w:type="pct"/>
                  <w:noWrap w:val="0"/>
                  <w:vAlign w:val="center"/>
                </w:tcPr>
                <w:p w14:paraId="2CD2BE0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产废</w:t>
                  </w:r>
                </w:p>
                <w:p w14:paraId="573B192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周期</w:t>
                  </w:r>
                </w:p>
              </w:tc>
              <w:tc>
                <w:tcPr>
                  <w:tcW w:w="544" w:type="pct"/>
                  <w:noWrap w:val="0"/>
                  <w:vAlign w:val="center"/>
                </w:tcPr>
                <w:p w14:paraId="1E6772B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危险</w:t>
                  </w:r>
                </w:p>
                <w:p w14:paraId="52778FF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特性</w:t>
                  </w:r>
                </w:p>
              </w:tc>
              <w:tc>
                <w:tcPr>
                  <w:tcW w:w="593" w:type="pct"/>
                  <w:noWrap w:val="0"/>
                  <w:vAlign w:val="center"/>
                </w:tcPr>
                <w:p w14:paraId="2A9BE9D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污染</w:t>
                  </w:r>
                </w:p>
                <w:p w14:paraId="5F5CB04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防治措施</w:t>
                  </w:r>
                </w:p>
              </w:tc>
            </w:tr>
            <w:tr w14:paraId="0FDF8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7" w:hRule="atLeast"/>
                <w:jc w:val="center"/>
              </w:trPr>
              <w:tc>
                <w:tcPr>
                  <w:tcW w:w="181" w:type="pct"/>
                  <w:noWrap w:val="0"/>
                  <w:vAlign w:val="center"/>
                </w:tcPr>
                <w:p w14:paraId="0C4C2E8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p>
              </w:tc>
              <w:tc>
                <w:tcPr>
                  <w:tcW w:w="430" w:type="pct"/>
                  <w:noWrap w:val="0"/>
                  <w:vAlign w:val="center"/>
                </w:tcPr>
                <w:p w14:paraId="2DDE7F0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废机油及废油桶</w:t>
                  </w:r>
                </w:p>
              </w:tc>
              <w:tc>
                <w:tcPr>
                  <w:tcW w:w="432" w:type="pct"/>
                  <w:noWrap w:val="0"/>
                  <w:vAlign w:val="center"/>
                </w:tcPr>
                <w:p w14:paraId="071BD48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HW08</w:t>
                  </w:r>
                </w:p>
              </w:tc>
              <w:tc>
                <w:tcPr>
                  <w:tcW w:w="775" w:type="pct"/>
                  <w:noWrap w:val="0"/>
                  <w:vAlign w:val="center"/>
                </w:tcPr>
                <w:p w14:paraId="3DFA871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900-249-08</w:t>
                  </w:r>
                </w:p>
              </w:tc>
              <w:tc>
                <w:tcPr>
                  <w:tcW w:w="544" w:type="pct"/>
                  <w:noWrap w:val="0"/>
                  <w:vAlign w:val="center"/>
                </w:tcPr>
                <w:p w14:paraId="0AD4C14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w:t>
                  </w:r>
                  <w:r>
                    <w:rPr>
                      <w:rFonts w:hint="eastAsia" w:ascii="宋体" w:hAnsi="宋体" w:cs="宋体"/>
                      <w:color w:val="auto"/>
                      <w:sz w:val="21"/>
                      <w:szCs w:val="21"/>
                      <w:lang w:val="en-US" w:eastAsia="zh-CN"/>
                    </w:rPr>
                    <w:t>02</w:t>
                  </w:r>
                  <w:r>
                    <w:rPr>
                      <w:rFonts w:hint="eastAsia" w:ascii="宋体" w:hAnsi="宋体" w:eastAsia="宋体" w:cs="宋体"/>
                      <w:color w:val="auto"/>
                      <w:sz w:val="21"/>
                      <w:szCs w:val="21"/>
                      <w:lang w:val="en-US" w:eastAsia="zh-CN"/>
                    </w:rPr>
                    <w:t>t/a</w:t>
                  </w:r>
                </w:p>
              </w:tc>
              <w:tc>
                <w:tcPr>
                  <w:tcW w:w="638" w:type="pct"/>
                  <w:noWrap w:val="0"/>
                  <w:vAlign w:val="center"/>
                </w:tcPr>
                <w:p w14:paraId="75632FB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设备维护保养</w:t>
                  </w:r>
                </w:p>
              </w:tc>
              <w:tc>
                <w:tcPr>
                  <w:tcW w:w="394" w:type="pct"/>
                  <w:noWrap w:val="0"/>
                  <w:vAlign w:val="center"/>
                </w:tcPr>
                <w:p w14:paraId="7F2BFA7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液态、固态</w:t>
                  </w:r>
                </w:p>
              </w:tc>
              <w:tc>
                <w:tcPr>
                  <w:tcW w:w="463" w:type="pct"/>
                  <w:noWrap w:val="0"/>
                  <w:vAlign w:val="center"/>
                </w:tcPr>
                <w:p w14:paraId="6711E50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6个月</w:t>
                  </w:r>
                </w:p>
              </w:tc>
              <w:tc>
                <w:tcPr>
                  <w:tcW w:w="544" w:type="pct"/>
                  <w:noWrap w:val="0"/>
                  <w:vAlign w:val="center"/>
                </w:tcPr>
                <w:p w14:paraId="7365D59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T，I</w:t>
                  </w:r>
                </w:p>
              </w:tc>
              <w:tc>
                <w:tcPr>
                  <w:tcW w:w="593" w:type="pct"/>
                  <w:vMerge w:val="restart"/>
                  <w:noWrap w:val="0"/>
                  <w:vAlign w:val="center"/>
                </w:tcPr>
                <w:p w14:paraId="34FAB86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暂存危废贮存库，定期交由</w:t>
                  </w:r>
                  <w:r>
                    <w:rPr>
                      <w:rFonts w:hint="eastAsia" w:ascii="宋体" w:hAnsi="宋体" w:eastAsia="宋体" w:cs="宋体"/>
                      <w:bCs/>
                      <w:color w:val="auto"/>
                      <w:sz w:val="21"/>
                      <w:szCs w:val="21"/>
                      <w:lang w:val="en-US" w:eastAsia="zh-CN"/>
                    </w:rPr>
                    <w:t>有资质公司</w:t>
                  </w:r>
                  <w:r>
                    <w:rPr>
                      <w:rFonts w:hint="eastAsia" w:ascii="宋体" w:hAnsi="宋体" w:eastAsia="宋体" w:cs="宋体"/>
                      <w:color w:val="auto"/>
                      <w:sz w:val="21"/>
                      <w:szCs w:val="21"/>
                      <w:lang w:val="en-US" w:eastAsia="zh-CN"/>
                    </w:rPr>
                    <w:t>处置</w:t>
                  </w:r>
                </w:p>
              </w:tc>
            </w:tr>
            <w:tr w14:paraId="7056F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7" w:hRule="atLeast"/>
                <w:jc w:val="center"/>
              </w:trPr>
              <w:tc>
                <w:tcPr>
                  <w:tcW w:w="181" w:type="pct"/>
                  <w:noWrap w:val="0"/>
                  <w:vAlign w:val="center"/>
                </w:tcPr>
                <w:p w14:paraId="2E5AF00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w:t>
                  </w:r>
                </w:p>
              </w:tc>
              <w:tc>
                <w:tcPr>
                  <w:tcW w:w="430" w:type="pct"/>
                  <w:noWrap w:val="0"/>
                  <w:vAlign w:val="center"/>
                </w:tcPr>
                <w:p w14:paraId="7D16A1E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Times New Roman" w:hAnsi="Times New Roman" w:eastAsia="宋体" w:cs="Times New Roman"/>
                      <w:i w:val="0"/>
                      <w:iCs w:val="0"/>
                      <w:color w:val="auto"/>
                      <w:sz w:val="21"/>
                      <w:szCs w:val="21"/>
                      <w:lang w:val="en-US" w:eastAsia="zh-CN"/>
                    </w:rPr>
                    <w:t>废</w:t>
                  </w:r>
                  <w:r>
                    <w:rPr>
                      <w:rFonts w:hint="eastAsia" w:cs="Times New Roman"/>
                      <w:i w:val="0"/>
                      <w:iCs w:val="0"/>
                      <w:color w:val="auto"/>
                      <w:sz w:val="21"/>
                      <w:szCs w:val="21"/>
                      <w:lang w:val="en-US" w:eastAsia="zh-CN"/>
                    </w:rPr>
                    <w:t>铅酸</w:t>
                  </w:r>
                  <w:r>
                    <w:rPr>
                      <w:rFonts w:hint="eastAsia" w:ascii="Times New Roman" w:hAnsi="Times New Roman" w:eastAsia="宋体" w:cs="Times New Roman"/>
                      <w:i w:val="0"/>
                      <w:iCs w:val="0"/>
                      <w:color w:val="auto"/>
                      <w:sz w:val="21"/>
                      <w:szCs w:val="21"/>
                      <w:lang w:val="en-US" w:eastAsia="zh-CN"/>
                    </w:rPr>
                    <w:t>电池</w:t>
                  </w:r>
                </w:p>
              </w:tc>
              <w:tc>
                <w:tcPr>
                  <w:tcW w:w="432" w:type="pct"/>
                  <w:noWrap w:val="0"/>
                  <w:vAlign w:val="center"/>
                </w:tcPr>
                <w:p w14:paraId="0BF9212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HW</w:t>
                  </w:r>
                  <w:r>
                    <w:rPr>
                      <w:rFonts w:hint="eastAsia" w:ascii="宋体" w:hAnsi="宋体" w:cs="宋体"/>
                      <w:color w:val="auto"/>
                      <w:sz w:val="21"/>
                      <w:szCs w:val="21"/>
                      <w:lang w:val="en-US" w:eastAsia="zh-CN"/>
                    </w:rPr>
                    <w:t>31</w:t>
                  </w:r>
                </w:p>
              </w:tc>
              <w:tc>
                <w:tcPr>
                  <w:tcW w:w="775" w:type="pct"/>
                  <w:noWrap w:val="0"/>
                  <w:vAlign w:val="center"/>
                </w:tcPr>
                <w:p w14:paraId="1272575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900-</w:t>
                  </w:r>
                  <w:r>
                    <w:rPr>
                      <w:rFonts w:hint="eastAsia" w:ascii="宋体" w:hAnsi="宋体" w:cs="宋体"/>
                      <w:color w:val="auto"/>
                      <w:sz w:val="21"/>
                      <w:szCs w:val="21"/>
                      <w:lang w:val="en-US" w:eastAsia="zh-CN"/>
                    </w:rPr>
                    <w:t>052</w:t>
                  </w:r>
                  <w:r>
                    <w:rPr>
                      <w:rFonts w:hint="eastAsia" w:ascii="宋体" w:hAnsi="宋体" w:eastAsia="宋体" w:cs="宋体"/>
                      <w:color w:val="auto"/>
                      <w:sz w:val="21"/>
                      <w:szCs w:val="21"/>
                      <w:lang w:val="en-US" w:eastAsia="zh-CN"/>
                    </w:rPr>
                    <w:t>-</w:t>
                  </w:r>
                  <w:r>
                    <w:rPr>
                      <w:rFonts w:hint="eastAsia" w:ascii="宋体" w:hAnsi="宋体" w:cs="宋体"/>
                      <w:color w:val="auto"/>
                      <w:sz w:val="21"/>
                      <w:szCs w:val="21"/>
                      <w:lang w:val="en-US" w:eastAsia="zh-CN"/>
                    </w:rPr>
                    <w:t>31</w:t>
                  </w:r>
                </w:p>
              </w:tc>
              <w:tc>
                <w:tcPr>
                  <w:tcW w:w="544" w:type="pct"/>
                  <w:noWrap w:val="0"/>
                  <w:vAlign w:val="center"/>
                </w:tcPr>
                <w:p w14:paraId="121F4E7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w:t>
                  </w:r>
                  <w:r>
                    <w:rPr>
                      <w:rFonts w:hint="eastAsia" w:ascii="宋体" w:hAnsi="宋体" w:cs="宋体"/>
                      <w:color w:val="auto"/>
                      <w:sz w:val="21"/>
                      <w:szCs w:val="21"/>
                      <w:lang w:val="en-US" w:eastAsia="zh-CN"/>
                    </w:rPr>
                    <w:t>8</w:t>
                  </w:r>
                  <w:r>
                    <w:rPr>
                      <w:rFonts w:hint="eastAsia" w:ascii="宋体" w:hAnsi="宋体" w:eastAsia="宋体" w:cs="宋体"/>
                      <w:color w:val="auto"/>
                      <w:sz w:val="21"/>
                      <w:szCs w:val="21"/>
                      <w:lang w:val="en-US" w:eastAsia="zh-CN"/>
                    </w:rPr>
                    <w:t>t/a</w:t>
                  </w:r>
                </w:p>
              </w:tc>
              <w:tc>
                <w:tcPr>
                  <w:tcW w:w="638" w:type="pct"/>
                  <w:noWrap w:val="0"/>
                  <w:vAlign w:val="center"/>
                </w:tcPr>
                <w:p w14:paraId="548EFF8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设备维护保养</w:t>
                  </w:r>
                </w:p>
              </w:tc>
              <w:tc>
                <w:tcPr>
                  <w:tcW w:w="394" w:type="pct"/>
                  <w:noWrap w:val="0"/>
                  <w:vAlign w:val="center"/>
                </w:tcPr>
                <w:p w14:paraId="10B54C8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固态</w:t>
                  </w:r>
                </w:p>
              </w:tc>
              <w:tc>
                <w:tcPr>
                  <w:tcW w:w="463" w:type="pct"/>
                  <w:noWrap w:val="0"/>
                  <w:vAlign w:val="center"/>
                </w:tcPr>
                <w:p w14:paraId="3058007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6个月</w:t>
                  </w:r>
                </w:p>
              </w:tc>
              <w:tc>
                <w:tcPr>
                  <w:tcW w:w="544" w:type="pct"/>
                  <w:noWrap w:val="0"/>
                  <w:vAlign w:val="center"/>
                </w:tcPr>
                <w:p w14:paraId="51C3B82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T，</w:t>
                  </w:r>
                  <w:r>
                    <w:rPr>
                      <w:rFonts w:hint="eastAsia" w:ascii="宋体" w:hAnsi="宋体" w:cs="宋体"/>
                      <w:color w:val="auto"/>
                      <w:sz w:val="21"/>
                      <w:szCs w:val="21"/>
                      <w:lang w:val="en-US" w:eastAsia="zh-CN"/>
                    </w:rPr>
                    <w:t>C</w:t>
                  </w:r>
                </w:p>
              </w:tc>
              <w:tc>
                <w:tcPr>
                  <w:tcW w:w="593" w:type="pct"/>
                  <w:vMerge w:val="continue"/>
                  <w:noWrap w:val="0"/>
                  <w:vAlign w:val="center"/>
                </w:tcPr>
                <w:p w14:paraId="6A324F1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p>
              </w:tc>
            </w:tr>
            <w:tr w14:paraId="43F32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7" w:hRule="atLeast"/>
                <w:jc w:val="center"/>
              </w:trPr>
              <w:tc>
                <w:tcPr>
                  <w:tcW w:w="181" w:type="pct"/>
                  <w:noWrap w:val="0"/>
                  <w:vAlign w:val="center"/>
                </w:tcPr>
                <w:p w14:paraId="10CEC28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3</w:t>
                  </w:r>
                </w:p>
              </w:tc>
              <w:tc>
                <w:tcPr>
                  <w:tcW w:w="430" w:type="pct"/>
                  <w:noWrap w:val="0"/>
                  <w:vAlign w:val="center"/>
                </w:tcPr>
                <w:p w14:paraId="76221AA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b w:val="0"/>
                      <w:bCs w:val="0"/>
                      <w:color w:val="auto"/>
                      <w:sz w:val="21"/>
                      <w:szCs w:val="21"/>
                      <w:lang w:val="en-US" w:eastAsia="zh-CN"/>
                    </w:rPr>
                    <w:t>含油抹布手套</w:t>
                  </w:r>
                </w:p>
              </w:tc>
              <w:tc>
                <w:tcPr>
                  <w:tcW w:w="432" w:type="pct"/>
                  <w:noWrap w:val="0"/>
                  <w:vAlign w:val="center"/>
                </w:tcPr>
                <w:p w14:paraId="4530918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HW49</w:t>
                  </w:r>
                </w:p>
              </w:tc>
              <w:tc>
                <w:tcPr>
                  <w:tcW w:w="775" w:type="pct"/>
                  <w:noWrap w:val="0"/>
                  <w:vAlign w:val="center"/>
                </w:tcPr>
                <w:p w14:paraId="42BDF87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b w:val="0"/>
                      <w:bCs/>
                      <w:color w:val="auto"/>
                      <w:sz w:val="21"/>
                      <w:szCs w:val="21"/>
                      <w:lang w:val="en-US" w:eastAsia="zh-CN"/>
                    </w:rPr>
                    <w:t>900-041-49</w:t>
                  </w:r>
                </w:p>
              </w:tc>
              <w:tc>
                <w:tcPr>
                  <w:tcW w:w="544" w:type="pct"/>
                  <w:noWrap w:val="0"/>
                  <w:vAlign w:val="center"/>
                </w:tcPr>
                <w:p w14:paraId="035694D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0.01t/a</w:t>
                  </w:r>
                </w:p>
              </w:tc>
              <w:tc>
                <w:tcPr>
                  <w:tcW w:w="638" w:type="pct"/>
                  <w:noWrap w:val="0"/>
                  <w:vAlign w:val="center"/>
                </w:tcPr>
                <w:p w14:paraId="6696AEC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设备维护保养</w:t>
                  </w:r>
                </w:p>
              </w:tc>
              <w:tc>
                <w:tcPr>
                  <w:tcW w:w="394" w:type="pct"/>
                  <w:noWrap w:val="0"/>
                  <w:vAlign w:val="center"/>
                </w:tcPr>
                <w:p w14:paraId="2DE4104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固态</w:t>
                  </w:r>
                </w:p>
              </w:tc>
              <w:tc>
                <w:tcPr>
                  <w:tcW w:w="463" w:type="pct"/>
                  <w:noWrap w:val="0"/>
                  <w:vAlign w:val="center"/>
                </w:tcPr>
                <w:p w14:paraId="09DD6A3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1年</w:t>
                  </w:r>
                </w:p>
              </w:tc>
              <w:tc>
                <w:tcPr>
                  <w:tcW w:w="544" w:type="pct"/>
                  <w:noWrap w:val="0"/>
                  <w:vAlign w:val="center"/>
                </w:tcPr>
                <w:p w14:paraId="4E81B9A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T/</w:t>
                  </w:r>
                  <w:r>
                    <w:rPr>
                      <w:rFonts w:hint="eastAsia" w:ascii="宋体" w:hAnsi="宋体" w:cs="宋体"/>
                      <w:color w:val="auto"/>
                      <w:sz w:val="21"/>
                      <w:szCs w:val="21"/>
                      <w:lang w:val="en-US" w:eastAsia="zh-CN"/>
                    </w:rPr>
                    <w:t>In</w:t>
                  </w:r>
                </w:p>
              </w:tc>
              <w:tc>
                <w:tcPr>
                  <w:tcW w:w="593" w:type="pct"/>
                  <w:vMerge w:val="continue"/>
                  <w:noWrap w:val="0"/>
                  <w:vAlign w:val="center"/>
                </w:tcPr>
                <w:p w14:paraId="6AED90D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p>
              </w:tc>
            </w:tr>
          </w:tbl>
          <w:p w14:paraId="127A760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本项目危废贮存库设置情况见下表4-12。</w:t>
            </w:r>
          </w:p>
          <w:p w14:paraId="230F3C82">
            <w:pPr>
              <w:snapToGrid w:val="0"/>
              <w:spacing w:before="120" w:beforeLines="50"/>
              <w:jc w:val="center"/>
              <w:rPr>
                <w:rFonts w:hint="eastAsia"/>
                <w:b/>
                <w:color w:val="auto"/>
                <w:sz w:val="21"/>
                <w:szCs w:val="21"/>
                <w:lang w:val="en-US" w:eastAsia="zh-CN"/>
              </w:rPr>
            </w:pPr>
            <w:r>
              <w:rPr>
                <w:rFonts w:hint="eastAsia"/>
                <w:b/>
                <w:color w:val="auto"/>
                <w:sz w:val="21"/>
                <w:szCs w:val="21"/>
                <w:lang w:val="en-US" w:eastAsia="zh-CN"/>
              </w:rPr>
              <w:t>表4-12</w:t>
            </w:r>
            <w:r>
              <w:rPr>
                <w:rFonts w:hint="eastAsia"/>
                <w:b/>
                <w:color w:val="auto"/>
                <w:sz w:val="21"/>
                <w:szCs w:val="21"/>
                <w:lang w:val="en-US" w:eastAsia="zh-CN"/>
              </w:rPr>
              <w:tab/>
            </w:r>
            <w:r>
              <w:rPr>
                <w:rFonts w:hint="eastAsia"/>
                <w:b/>
                <w:color w:val="auto"/>
                <w:sz w:val="21"/>
                <w:szCs w:val="21"/>
                <w:lang w:val="en-US" w:eastAsia="zh-CN"/>
              </w:rPr>
              <w:t>项目危废贮存库基本情况</w:t>
            </w:r>
          </w:p>
          <w:tbl>
            <w:tblPr>
              <w:tblStyle w:val="30"/>
              <w:tblW w:w="499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34"/>
              <w:gridCol w:w="1100"/>
              <w:gridCol w:w="982"/>
              <w:gridCol w:w="744"/>
              <w:gridCol w:w="1292"/>
              <w:gridCol w:w="748"/>
              <w:gridCol w:w="690"/>
              <w:gridCol w:w="888"/>
              <w:gridCol w:w="863"/>
              <w:gridCol w:w="727"/>
            </w:tblGrid>
            <w:tr w14:paraId="3F233D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8" w:hRule="atLeast"/>
                <w:jc w:val="center"/>
              </w:trPr>
              <w:tc>
                <w:tcPr>
                  <w:tcW w:w="256" w:type="pct"/>
                  <w:noWrap w:val="0"/>
                  <w:vAlign w:val="center"/>
                </w:tcPr>
                <w:p w14:paraId="00498F0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序号</w:t>
                  </w:r>
                </w:p>
              </w:tc>
              <w:tc>
                <w:tcPr>
                  <w:tcW w:w="649" w:type="pct"/>
                  <w:noWrap w:val="0"/>
                  <w:vAlign w:val="center"/>
                </w:tcPr>
                <w:p w14:paraId="135D905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贮存场所（设施）</w:t>
                  </w:r>
                </w:p>
                <w:p w14:paraId="110AD73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名称</w:t>
                  </w:r>
                </w:p>
              </w:tc>
              <w:tc>
                <w:tcPr>
                  <w:tcW w:w="579" w:type="pct"/>
                  <w:noWrap w:val="0"/>
                  <w:vAlign w:val="center"/>
                </w:tcPr>
                <w:p w14:paraId="40AE44F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危险废物名称</w:t>
                  </w:r>
                </w:p>
              </w:tc>
              <w:tc>
                <w:tcPr>
                  <w:tcW w:w="439" w:type="pct"/>
                  <w:noWrap w:val="0"/>
                  <w:vAlign w:val="center"/>
                </w:tcPr>
                <w:p w14:paraId="207ECF5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危险废物类别</w:t>
                  </w:r>
                </w:p>
              </w:tc>
              <w:tc>
                <w:tcPr>
                  <w:tcW w:w="762" w:type="pct"/>
                  <w:noWrap w:val="0"/>
                  <w:vAlign w:val="center"/>
                </w:tcPr>
                <w:p w14:paraId="5431584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危险废物代码</w:t>
                  </w:r>
                </w:p>
              </w:tc>
              <w:tc>
                <w:tcPr>
                  <w:tcW w:w="441" w:type="pct"/>
                  <w:noWrap w:val="0"/>
                  <w:vAlign w:val="center"/>
                </w:tcPr>
                <w:p w14:paraId="2D68447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位置</w:t>
                  </w:r>
                </w:p>
              </w:tc>
              <w:tc>
                <w:tcPr>
                  <w:tcW w:w="407" w:type="pct"/>
                  <w:noWrap w:val="0"/>
                  <w:vAlign w:val="center"/>
                </w:tcPr>
                <w:p w14:paraId="4477B2A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占地</w:t>
                  </w:r>
                </w:p>
                <w:p w14:paraId="667FD6E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面积</w:t>
                  </w:r>
                </w:p>
              </w:tc>
              <w:tc>
                <w:tcPr>
                  <w:tcW w:w="524" w:type="pct"/>
                  <w:noWrap w:val="0"/>
                  <w:vAlign w:val="center"/>
                </w:tcPr>
                <w:p w14:paraId="5E97DBF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贮存方式</w:t>
                  </w:r>
                </w:p>
              </w:tc>
              <w:tc>
                <w:tcPr>
                  <w:tcW w:w="509" w:type="pct"/>
                  <w:noWrap w:val="0"/>
                  <w:vAlign w:val="center"/>
                </w:tcPr>
                <w:p w14:paraId="6D0B8C1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贮存</w:t>
                  </w:r>
                </w:p>
                <w:p w14:paraId="795E5AD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能力</w:t>
                  </w:r>
                </w:p>
              </w:tc>
              <w:tc>
                <w:tcPr>
                  <w:tcW w:w="429" w:type="pct"/>
                  <w:noWrap w:val="0"/>
                  <w:vAlign w:val="center"/>
                </w:tcPr>
                <w:p w14:paraId="31DF11B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贮存</w:t>
                  </w:r>
                </w:p>
                <w:p w14:paraId="128A069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周期</w:t>
                  </w:r>
                </w:p>
              </w:tc>
            </w:tr>
            <w:tr w14:paraId="7F6FF7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256" w:type="pct"/>
                  <w:noWrap w:val="0"/>
                  <w:vAlign w:val="center"/>
                </w:tcPr>
                <w:p w14:paraId="2C09EAE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p>
              </w:tc>
              <w:tc>
                <w:tcPr>
                  <w:tcW w:w="649" w:type="pct"/>
                  <w:noWrap w:val="0"/>
                  <w:vAlign w:val="center"/>
                </w:tcPr>
                <w:p w14:paraId="3D970F7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危废贮存库</w:t>
                  </w:r>
                </w:p>
              </w:tc>
              <w:tc>
                <w:tcPr>
                  <w:tcW w:w="929" w:type="dxa"/>
                  <w:noWrap w:val="0"/>
                  <w:vAlign w:val="center"/>
                </w:tcPr>
                <w:p w14:paraId="620965E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废机油及废油桶</w:t>
                  </w:r>
                </w:p>
              </w:tc>
              <w:tc>
                <w:tcPr>
                  <w:tcW w:w="702" w:type="dxa"/>
                  <w:noWrap w:val="0"/>
                  <w:vAlign w:val="center"/>
                </w:tcPr>
                <w:p w14:paraId="29A348F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HW08</w:t>
                  </w:r>
                </w:p>
              </w:tc>
              <w:tc>
                <w:tcPr>
                  <w:tcW w:w="1266" w:type="dxa"/>
                  <w:noWrap w:val="0"/>
                  <w:vAlign w:val="center"/>
                </w:tcPr>
                <w:p w14:paraId="472CA39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900-249-08</w:t>
                  </w:r>
                </w:p>
              </w:tc>
              <w:tc>
                <w:tcPr>
                  <w:tcW w:w="441" w:type="pct"/>
                  <w:vMerge w:val="restart"/>
                  <w:noWrap w:val="0"/>
                  <w:vAlign w:val="center"/>
                </w:tcPr>
                <w:p w14:paraId="4F0862A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总装</w:t>
                  </w:r>
                  <w:r>
                    <w:rPr>
                      <w:rFonts w:hint="eastAsia" w:ascii="宋体" w:hAnsi="宋体" w:eastAsia="宋体" w:cs="宋体"/>
                      <w:color w:val="auto"/>
                      <w:sz w:val="21"/>
                      <w:szCs w:val="21"/>
                      <w:lang w:val="en-US" w:eastAsia="zh-CN"/>
                    </w:rPr>
                    <w:t>车间</w:t>
                  </w:r>
                </w:p>
              </w:tc>
              <w:tc>
                <w:tcPr>
                  <w:tcW w:w="407" w:type="pct"/>
                  <w:noWrap w:val="0"/>
                  <w:vAlign w:val="center"/>
                </w:tcPr>
                <w:p w14:paraId="3DBA1BB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10m</w:t>
                  </w:r>
                  <w:r>
                    <w:rPr>
                      <w:rFonts w:hint="eastAsia" w:ascii="宋体" w:hAnsi="宋体" w:eastAsia="宋体" w:cs="宋体"/>
                      <w:color w:val="auto"/>
                      <w:sz w:val="21"/>
                      <w:szCs w:val="21"/>
                      <w:vertAlign w:val="superscript"/>
                      <w:lang w:val="en-US" w:eastAsia="zh-CN"/>
                    </w:rPr>
                    <w:t>2</w:t>
                  </w:r>
                </w:p>
              </w:tc>
              <w:tc>
                <w:tcPr>
                  <w:tcW w:w="524" w:type="pct"/>
                  <w:noWrap w:val="0"/>
                  <w:vAlign w:val="center"/>
                </w:tcPr>
                <w:p w14:paraId="246A85C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桶装</w:t>
                  </w:r>
                </w:p>
              </w:tc>
              <w:tc>
                <w:tcPr>
                  <w:tcW w:w="846" w:type="dxa"/>
                  <w:noWrap w:val="0"/>
                  <w:vAlign w:val="center"/>
                </w:tcPr>
                <w:p w14:paraId="563A73B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w:t>
                  </w:r>
                  <w:r>
                    <w:rPr>
                      <w:rFonts w:hint="eastAsia" w:ascii="宋体" w:hAnsi="宋体" w:cs="宋体"/>
                      <w:color w:val="auto"/>
                      <w:sz w:val="21"/>
                      <w:szCs w:val="21"/>
                      <w:lang w:val="en-US" w:eastAsia="zh-CN"/>
                    </w:rPr>
                    <w:t>4</w:t>
                  </w:r>
                  <w:r>
                    <w:rPr>
                      <w:rFonts w:hint="eastAsia" w:ascii="宋体" w:hAnsi="宋体" w:eastAsia="宋体" w:cs="宋体"/>
                      <w:color w:val="auto"/>
                      <w:sz w:val="21"/>
                      <w:szCs w:val="21"/>
                      <w:lang w:val="en-US" w:eastAsia="zh-CN"/>
                    </w:rPr>
                    <w:t>t/a</w:t>
                  </w:r>
                </w:p>
              </w:tc>
              <w:tc>
                <w:tcPr>
                  <w:tcW w:w="429" w:type="pct"/>
                  <w:noWrap w:val="0"/>
                  <w:vAlign w:val="center"/>
                </w:tcPr>
                <w:p w14:paraId="1381AD8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1年</w:t>
                  </w:r>
                </w:p>
              </w:tc>
            </w:tr>
            <w:tr w14:paraId="2965E6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256" w:type="pct"/>
                  <w:noWrap w:val="0"/>
                  <w:vAlign w:val="center"/>
                </w:tcPr>
                <w:p w14:paraId="0540DCD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w:t>
                  </w:r>
                </w:p>
              </w:tc>
              <w:tc>
                <w:tcPr>
                  <w:tcW w:w="649" w:type="pct"/>
                  <w:noWrap w:val="0"/>
                  <w:vAlign w:val="center"/>
                </w:tcPr>
                <w:p w14:paraId="46FC63B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危废贮存库</w:t>
                  </w:r>
                </w:p>
              </w:tc>
              <w:tc>
                <w:tcPr>
                  <w:tcW w:w="929" w:type="dxa"/>
                  <w:noWrap w:val="0"/>
                  <w:vAlign w:val="center"/>
                </w:tcPr>
                <w:p w14:paraId="4AD0289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Times New Roman" w:hAnsi="Times New Roman" w:eastAsia="宋体" w:cs="Times New Roman"/>
                      <w:i w:val="0"/>
                      <w:iCs w:val="0"/>
                      <w:color w:val="auto"/>
                      <w:sz w:val="21"/>
                      <w:szCs w:val="21"/>
                      <w:lang w:val="en-US" w:eastAsia="zh-CN"/>
                    </w:rPr>
                    <w:t>废</w:t>
                  </w:r>
                  <w:r>
                    <w:rPr>
                      <w:rFonts w:hint="eastAsia" w:cs="Times New Roman"/>
                      <w:i w:val="0"/>
                      <w:iCs w:val="0"/>
                      <w:color w:val="auto"/>
                      <w:sz w:val="21"/>
                      <w:szCs w:val="21"/>
                      <w:lang w:val="en-US" w:eastAsia="zh-CN"/>
                    </w:rPr>
                    <w:t>铅酸</w:t>
                  </w:r>
                  <w:r>
                    <w:rPr>
                      <w:rFonts w:hint="eastAsia" w:ascii="Times New Roman" w:hAnsi="Times New Roman" w:eastAsia="宋体" w:cs="Times New Roman"/>
                      <w:i w:val="0"/>
                      <w:iCs w:val="0"/>
                      <w:color w:val="auto"/>
                      <w:sz w:val="21"/>
                      <w:szCs w:val="21"/>
                      <w:lang w:val="en-US" w:eastAsia="zh-CN"/>
                    </w:rPr>
                    <w:t>电池</w:t>
                  </w:r>
                </w:p>
              </w:tc>
              <w:tc>
                <w:tcPr>
                  <w:tcW w:w="702" w:type="dxa"/>
                  <w:noWrap w:val="0"/>
                  <w:vAlign w:val="center"/>
                </w:tcPr>
                <w:p w14:paraId="458CFD5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HW</w:t>
                  </w:r>
                  <w:r>
                    <w:rPr>
                      <w:rFonts w:hint="eastAsia" w:ascii="宋体" w:hAnsi="宋体" w:cs="宋体"/>
                      <w:color w:val="auto"/>
                      <w:sz w:val="21"/>
                      <w:szCs w:val="21"/>
                      <w:lang w:val="en-US" w:eastAsia="zh-CN"/>
                    </w:rPr>
                    <w:t>31</w:t>
                  </w:r>
                </w:p>
              </w:tc>
              <w:tc>
                <w:tcPr>
                  <w:tcW w:w="1266" w:type="dxa"/>
                  <w:noWrap w:val="0"/>
                  <w:vAlign w:val="center"/>
                </w:tcPr>
                <w:p w14:paraId="3735BCE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900-</w:t>
                  </w:r>
                  <w:r>
                    <w:rPr>
                      <w:rFonts w:hint="eastAsia" w:ascii="宋体" w:hAnsi="宋体" w:cs="宋体"/>
                      <w:color w:val="auto"/>
                      <w:sz w:val="21"/>
                      <w:szCs w:val="21"/>
                      <w:lang w:val="en-US" w:eastAsia="zh-CN"/>
                    </w:rPr>
                    <w:t>052</w:t>
                  </w:r>
                  <w:r>
                    <w:rPr>
                      <w:rFonts w:hint="eastAsia" w:ascii="宋体" w:hAnsi="宋体" w:eastAsia="宋体" w:cs="宋体"/>
                      <w:color w:val="auto"/>
                      <w:sz w:val="21"/>
                      <w:szCs w:val="21"/>
                      <w:lang w:val="en-US" w:eastAsia="zh-CN"/>
                    </w:rPr>
                    <w:t>-</w:t>
                  </w:r>
                  <w:r>
                    <w:rPr>
                      <w:rFonts w:hint="eastAsia" w:ascii="宋体" w:hAnsi="宋体" w:cs="宋体"/>
                      <w:color w:val="auto"/>
                      <w:sz w:val="21"/>
                      <w:szCs w:val="21"/>
                      <w:lang w:val="en-US" w:eastAsia="zh-CN"/>
                    </w:rPr>
                    <w:t>31</w:t>
                  </w:r>
                </w:p>
              </w:tc>
              <w:tc>
                <w:tcPr>
                  <w:tcW w:w="441" w:type="pct"/>
                  <w:vMerge w:val="continue"/>
                  <w:noWrap w:val="0"/>
                  <w:vAlign w:val="center"/>
                </w:tcPr>
                <w:p w14:paraId="779A028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p>
              </w:tc>
              <w:tc>
                <w:tcPr>
                  <w:tcW w:w="407" w:type="pct"/>
                  <w:noWrap w:val="0"/>
                  <w:vAlign w:val="center"/>
                </w:tcPr>
                <w:p w14:paraId="5A321CF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10m</w:t>
                  </w:r>
                  <w:r>
                    <w:rPr>
                      <w:rFonts w:hint="eastAsia" w:ascii="宋体" w:hAnsi="宋体" w:eastAsia="宋体" w:cs="宋体"/>
                      <w:color w:val="auto"/>
                      <w:sz w:val="21"/>
                      <w:szCs w:val="21"/>
                      <w:vertAlign w:val="superscript"/>
                      <w:lang w:val="en-US" w:eastAsia="zh-CN"/>
                    </w:rPr>
                    <w:t>2</w:t>
                  </w:r>
                </w:p>
              </w:tc>
              <w:tc>
                <w:tcPr>
                  <w:tcW w:w="524" w:type="pct"/>
                  <w:noWrap w:val="0"/>
                  <w:vAlign w:val="center"/>
                </w:tcPr>
                <w:p w14:paraId="7ABFC03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桶装</w:t>
                  </w:r>
                </w:p>
              </w:tc>
              <w:tc>
                <w:tcPr>
                  <w:tcW w:w="846" w:type="dxa"/>
                  <w:noWrap w:val="0"/>
                  <w:vAlign w:val="center"/>
                </w:tcPr>
                <w:p w14:paraId="7C4C2F1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w:t>
                  </w:r>
                  <w:r>
                    <w:rPr>
                      <w:rFonts w:hint="eastAsia" w:ascii="宋体" w:hAnsi="宋体" w:cs="宋体"/>
                      <w:color w:val="auto"/>
                      <w:sz w:val="21"/>
                      <w:szCs w:val="21"/>
                      <w:lang w:val="en-US" w:eastAsia="zh-CN"/>
                    </w:rPr>
                    <w:t>4</w:t>
                  </w:r>
                  <w:r>
                    <w:rPr>
                      <w:rFonts w:hint="eastAsia" w:ascii="宋体" w:hAnsi="宋体" w:eastAsia="宋体" w:cs="宋体"/>
                      <w:color w:val="auto"/>
                      <w:sz w:val="21"/>
                      <w:szCs w:val="21"/>
                      <w:lang w:val="en-US" w:eastAsia="zh-CN"/>
                    </w:rPr>
                    <w:t>t/a</w:t>
                  </w:r>
                </w:p>
              </w:tc>
              <w:tc>
                <w:tcPr>
                  <w:tcW w:w="429" w:type="pct"/>
                  <w:noWrap w:val="0"/>
                  <w:vAlign w:val="center"/>
                </w:tcPr>
                <w:p w14:paraId="25CF3BA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1年</w:t>
                  </w:r>
                </w:p>
              </w:tc>
            </w:tr>
            <w:tr w14:paraId="3B19C9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256" w:type="pct"/>
                  <w:noWrap w:val="0"/>
                  <w:vAlign w:val="center"/>
                </w:tcPr>
                <w:p w14:paraId="151A5FF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w:t>
                  </w:r>
                </w:p>
              </w:tc>
              <w:tc>
                <w:tcPr>
                  <w:tcW w:w="649" w:type="pct"/>
                  <w:noWrap w:val="0"/>
                  <w:vAlign w:val="center"/>
                </w:tcPr>
                <w:p w14:paraId="77AD472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危废贮存库</w:t>
                  </w:r>
                </w:p>
              </w:tc>
              <w:tc>
                <w:tcPr>
                  <w:tcW w:w="929" w:type="dxa"/>
                  <w:noWrap w:val="0"/>
                  <w:vAlign w:val="center"/>
                </w:tcPr>
                <w:p w14:paraId="271C9A7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b w:val="0"/>
                      <w:bCs w:val="0"/>
                      <w:color w:val="auto"/>
                      <w:sz w:val="21"/>
                      <w:szCs w:val="21"/>
                      <w:lang w:val="en-US" w:eastAsia="zh-CN"/>
                    </w:rPr>
                    <w:t>含油抹布手套</w:t>
                  </w:r>
                </w:p>
              </w:tc>
              <w:tc>
                <w:tcPr>
                  <w:tcW w:w="702" w:type="dxa"/>
                  <w:noWrap w:val="0"/>
                  <w:vAlign w:val="center"/>
                </w:tcPr>
                <w:p w14:paraId="7906D36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HW49</w:t>
                  </w:r>
                </w:p>
              </w:tc>
              <w:tc>
                <w:tcPr>
                  <w:tcW w:w="1266" w:type="dxa"/>
                  <w:noWrap w:val="0"/>
                  <w:vAlign w:val="center"/>
                </w:tcPr>
                <w:p w14:paraId="7F5B0A1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b w:val="0"/>
                      <w:bCs/>
                      <w:color w:val="auto"/>
                      <w:sz w:val="21"/>
                      <w:szCs w:val="21"/>
                      <w:lang w:val="en-US" w:eastAsia="zh-CN"/>
                    </w:rPr>
                    <w:t>900-041- 49</w:t>
                  </w:r>
                </w:p>
              </w:tc>
              <w:tc>
                <w:tcPr>
                  <w:tcW w:w="441" w:type="pct"/>
                  <w:vMerge w:val="continue"/>
                  <w:noWrap w:val="0"/>
                  <w:vAlign w:val="center"/>
                </w:tcPr>
                <w:p w14:paraId="12DEF42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p>
              </w:tc>
              <w:tc>
                <w:tcPr>
                  <w:tcW w:w="407" w:type="pct"/>
                  <w:noWrap w:val="0"/>
                  <w:vAlign w:val="center"/>
                </w:tcPr>
                <w:p w14:paraId="4A6EEAC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10m</w:t>
                  </w:r>
                  <w:r>
                    <w:rPr>
                      <w:rFonts w:hint="eastAsia" w:ascii="宋体" w:hAnsi="宋体" w:eastAsia="宋体" w:cs="宋体"/>
                      <w:color w:val="auto"/>
                      <w:sz w:val="21"/>
                      <w:szCs w:val="21"/>
                      <w:vertAlign w:val="superscript"/>
                      <w:lang w:val="en-US" w:eastAsia="zh-CN"/>
                    </w:rPr>
                    <w:t>2</w:t>
                  </w:r>
                </w:p>
              </w:tc>
              <w:tc>
                <w:tcPr>
                  <w:tcW w:w="524" w:type="pct"/>
                  <w:noWrap w:val="0"/>
                  <w:vAlign w:val="center"/>
                </w:tcPr>
                <w:p w14:paraId="5E445A9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箱装</w:t>
                  </w:r>
                </w:p>
              </w:tc>
              <w:tc>
                <w:tcPr>
                  <w:tcW w:w="846" w:type="dxa"/>
                  <w:noWrap w:val="0"/>
                  <w:vAlign w:val="center"/>
                </w:tcPr>
                <w:p w14:paraId="7B810B5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w:t>
                  </w:r>
                  <w:r>
                    <w:rPr>
                      <w:rFonts w:hint="eastAsia" w:ascii="宋体" w:hAnsi="宋体" w:cs="宋体"/>
                      <w:color w:val="auto"/>
                      <w:sz w:val="21"/>
                      <w:szCs w:val="21"/>
                      <w:lang w:val="en-US" w:eastAsia="zh-CN"/>
                    </w:rPr>
                    <w:t>4</w:t>
                  </w:r>
                  <w:r>
                    <w:rPr>
                      <w:rFonts w:hint="eastAsia" w:ascii="宋体" w:hAnsi="宋体" w:eastAsia="宋体" w:cs="宋体"/>
                      <w:color w:val="auto"/>
                      <w:sz w:val="21"/>
                      <w:szCs w:val="21"/>
                      <w:lang w:val="en-US" w:eastAsia="zh-CN"/>
                    </w:rPr>
                    <w:t>t/a</w:t>
                  </w:r>
                </w:p>
              </w:tc>
              <w:tc>
                <w:tcPr>
                  <w:tcW w:w="429" w:type="pct"/>
                  <w:noWrap w:val="0"/>
                  <w:vAlign w:val="center"/>
                </w:tcPr>
                <w:p w14:paraId="5AA5696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1年</w:t>
                  </w:r>
                </w:p>
              </w:tc>
            </w:tr>
          </w:tbl>
          <w:p w14:paraId="3864F6B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p>
          <w:p w14:paraId="7C348BC4">
            <w:pPr>
              <w:pStyle w:val="12"/>
              <w:keepNext w:val="0"/>
              <w:keepLines w:val="0"/>
              <w:pageBreakBefore w:val="0"/>
              <w:widowControl w:val="0"/>
              <w:kinsoku/>
              <w:wordWrap/>
              <w:overflowPunct/>
              <w:topLinePunct w:val="0"/>
              <w:autoSpaceDE/>
              <w:autoSpaceDN/>
              <w:bidi w:val="0"/>
              <w:adjustRightInd/>
              <w:snapToGrid/>
              <w:spacing w:before="0" w:after="0" w:line="360" w:lineRule="auto"/>
              <w:ind w:right="0" w:firstLine="422" w:firstLineChars="200"/>
              <w:textAlignment w:val="auto"/>
              <w:outlineLvl w:val="9"/>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4.2管理要求</w:t>
            </w:r>
          </w:p>
          <w:p w14:paraId="459223FB">
            <w:pPr>
              <w:pStyle w:val="12"/>
              <w:keepNext w:val="0"/>
              <w:keepLines w:val="0"/>
              <w:pageBreakBefore w:val="0"/>
              <w:widowControl w:val="0"/>
              <w:kinsoku/>
              <w:wordWrap/>
              <w:overflowPunct/>
              <w:topLinePunct w:val="0"/>
              <w:autoSpaceDE/>
              <w:autoSpaceDN/>
              <w:bidi w:val="0"/>
              <w:adjustRightInd/>
              <w:snapToGrid/>
              <w:spacing w:before="0" w:after="0" w:line="360" w:lineRule="auto"/>
              <w:ind w:right="0" w:firstLine="420" w:firstLineChars="200"/>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本项目拟建一危废贮存库，面积约为10m</w:t>
            </w:r>
            <w:r>
              <w:rPr>
                <w:rFonts w:hint="eastAsia" w:ascii="宋体" w:hAnsi="宋体" w:eastAsia="宋体" w:cs="宋体"/>
                <w:color w:val="auto"/>
                <w:sz w:val="21"/>
                <w:szCs w:val="21"/>
                <w:vertAlign w:val="superscript"/>
                <w:lang w:val="en-US" w:eastAsia="zh-CN"/>
              </w:rPr>
              <w:t>2</w:t>
            </w:r>
            <w:r>
              <w:rPr>
                <w:rFonts w:hint="eastAsia" w:ascii="宋体" w:hAnsi="宋体" w:eastAsia="宋体" w:cs="宋体"/>
                <w:color w:val="auto"/>
                <w:sz w:val="21"/>
                <w:szCs w:val="21"/>
                <w:lang w:val="en-US" w:eastAsia="zh-CN"/>
              </w:rPr>
              <w:t>，产生的危险废物委托有资质单位处置。危险废物暂存、转运、处置应严格按照</w:t>
            </w:r>
            <w:r>
              <w:rPr>
                <w:rFonts w:hint="eastAsia" w:ascii="宋体" w:hAnsi="宋体" w:eastAsia="宋体" w:cs="宋体"/>
                <w:color w:val="auto"/>
                <w:sz w:val="21"/>
                <w:szCs w:val="21"/>
              </w:rPr>
              <w:t>《危险废物贮存污染控制标准》（GB18597-2023）</w:t>
            </w:r>
            <w:r>
              <w:rPr>
                <w:rFonts w:hint="eastAsia" w:ascii="宋体" w:hAnsi="宋体" w:eastAsia="宋体" w:cs="宋体"/>
                <w:color w:val="auto"/>
                <w:sz w:val="21"/>
                <w:szCs w:val="21"/>
                <w:lang w:val="en-US" w:eastAsia="zh-CN"/>
              </w:rPr>
              <w:t>执行。</w:t>
            </w:r>
          </w:p>
          <w:p w14:paraId="3E7EE85C">
            <w:pPr>
              <w:autoSpaceDE w:val="0"/>
              <w:autoSpaceDN w:val="0"/>
              <w:spacing w:line="360" w:lineRule="auto"/>
              <w:ind w:firstLine="422" w:firstLineChars="20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1、</w:t>
            </w:r>
            <w:r>
              <w:rPr>
                <w:rFonts w:hint="default" w:ascii="Times New Roman" w:hAnsi="Times New Roman" w:eastAsia="宋体" w:cs="Times New Roman"/>
                <w:b/>
                <w:bCs/>
                <w:color w:val="auto"/>
                <w:sz w:val="21"/>
                <w:szCs w:val="21"/>
              </w:rPr>
              <w:t>危险废物保存要求</w:t>
            </w:r>
          </w:p>
          <w:p w14:paraId="4370BB0C">
            <w:pPr>
              <w:autoSpaceDE w:val="0"/>
              <w:autoSpaceDN w:val="0"/>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1）对不同类型的危废分别采取不同的专用盛装容器收集存放，并在桶上张贴识别标签（注明种类、数量、存放日期等）及安全用语，临时存放在</w:t>
            </w:r>
            <w:r>
              <w:rPr>
                <w:rFonts w:hint="default" w:ascii="Times New Roman" w:hAnsi="Times New Roman" w:eastAsia="宋体" w:cs="Times New Roman"/>
                <w:color w:val="auto"/>
                <w:sz w:val="21"/>
                <w:szCs w:val="21"/>
                <w:lang w:eastAsia="zh-CN"/>
              </w:rPr>
              <w:t>危废贮存库</w:t>
            </w:r>
            <w:r>
              <w:rPr>
                <w:rFonts w:hint="default" w:ascii="Times New Roman" w:hAnsi="Times New Roman" w:eastAsia="宋体" w:cs="Times New Roman"/>
                <w:color w:val="auto"/>
                <w:sz w:val="21"/>
                <w:szCs w:val="21"/>
              </w:rPr>
              <w:t>，累计一定数量后由有相应危废资质单位专用运输车辆外运统一处置。禁止将危险废物混入一般废物收集、贮存、运输和处置。</w:t>
            </w:r>
          </w:p>
          <w:p w14:paraId="1E44E09A">
            <w:pPr>
              <w:autoSpaceDE w:val="0"/>
              <w:autoSpaceDN w:val="0"/>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2）所使用的储存容器</w:t>
            </w:r>
            <w:r>
              <w:rPr>
                <w:rFonts w:hint="eastAsia" w:cs="Times New Roman"/>
                <w:color w:val="auto"/>
                <w:sz w:val="21"/>
                <w:szCs w:val="21"/>
                <w:lang w:eastAsia="zh-CN"/>
              </w:rPr>
              <w:t>应</w:t>
            </w:r>
            <w:r>
              <w:rPr>
                <w:rFonts w:hint="default" w:ascii="Times New Roman" w:hAnsi="Times New Roman" w:eastAsia="宋体" w:cs="Times New Roman"/>
                <w:color w:val="auto"/>
                <w:sz w:val="21"/>
                <w:szCs w:val="21"/>
              </w:rPr>
              <w:t>不易发生破损泄漏，储存液态危废时，容器应留有不低于100mm的足够空间，容器外表面应有明显的危废警示标识。</w:t>
            </w:r>
          </w:p>
          <w:p w14:paraId="3B20A9E7">
            <w:pPr>
              <w:autoSpaceDE w:val="0"/>
              <w:autoSpaceDN w:val="0"/>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r>
              <w:rPr>
                <w:rFonts w:hint="default" w:ascii="Times New Roman" w:hAnsi="Times New Roman" w:eastAsia="宋体" w:cs="Times New Roman"/>
                <w:color w:val="auto"/>
                <w:sz w:val="21"/>
                <w:szCs w:val="21"/>
                <w:lang w:eastAsia="zh-CN"/>
              </w:rPr>
              <w:t>危废贮存库</w:t>
            </w:r>
            <w:r>
              <w:rPr>
                <w:rFonts w:hint="default" w:ascii="Times New Roman" w:hAnsi="Times New Roman" w:eastAsia="宋体" w:cs="Times New Roman"/>
                <w:color w:val="auto"/>
                <w:sz w:val="21"/>
                <w:szCs w:val="21"/>
              </w:rPr>
              <w:t>应设置于远离易燃、易爆等危化品储存区域及变电室的高压输电线路防护区域以外。</w:t>
            </w:r>
          </w:p>
          <w:p w14:paraId="62B135DB">
            <w:pPr>
              <w:autoSpaceDE w:val="0"/>
              <w:autoSpaceDN w:val="0"/>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r>
              <w:rPr>
                <w:rFonts w:hint="default" w:ascii="Times New Roman" w:hAnsi="Times New Roman" w:eastAsia="宋体" w:cs="Times New Roman"/>
                <w:color w:val="auto"/>
                <w:sz w:val="21"/>
                <w:szCs w:val="21"/>
                <w:lang w:eastAsia="zh-CN"/>
              </w:rPr>
              <w:t>危废贮存库</w:t>
            </w:r>
            <w:r>
              <w:rPr>
                <w:rFonts w:hint="default" w:ascii="Times New Roman" w:hAnsi="Times New Roman" w:eastAsia="宋体" w:cs="Times New Roman"/>
                <w:color w:val="auto"/>
                <w:sz w:val="21"/>
                <w:szCs w:val="21"/>
              </w:rPr>
              <w:t>应采取必要的防渗措施，防渗措施应严格按照《危险废物储存污染控制标准》的要求设计。危废全部暂存于</w:t>
            </w:r>
            <w:r>
              <w:rPr>
                <w:rFonts w:hint="default" w:ascii="Times New Roman" w:hAnsi="Times New Roman" w:eastAsia="宋体" w:cs="Times New Roman"/>
                <w:color w:val="auto"/>
                <w:sz w:val="21"/>
                <w:szCs w:val="21"/>
                <w:lang w:eastAsia="zh-CN"/>
              </w:rPr>
              <w:t>危废贮存库</w:t>
            </w:r>
            <w:r>
              <w:rPr>
                <w:rFonts w:hint="default" w:ascii="Times New Roman" w:hAnsi="Times New Roman" w:eastAsia="宋体" w:cs="Times New Roman"/>
                <w:color w:val="auto"/>
                <w:sz w:val="21"/>
                <w:szCs w:val="21"/>
              </w:rPr>
              <w:t>内，做到防风、防雨、防晒、防渗漏。</w:t>
            </w:r>
            <w:r>
              <w:rPr>
                <w:rFonts w:hint="default" w:ascii="Times New Roman" w:hAnsi="Times New Roman" w:eastAsia="宋体" w:cs="Times New Roman"/>
                <w:color w:val="auto"/>
                <w:sz w:val="21"/>
                <w:szCs w:val="21"/>
                <w:lang w:eastAsia="zh-CN"/>
              </w:rPr>
              <w:t>危废贮存库</w:t>
            </w:r>
            <w:r>
              <w:rPr>
                <w:rFonts w:hint="default" w:ascii="Times New Roman" w:hAnsi="Times New Roman" w:eastAsia="宋体" w:cs="Times New Roman"/>
                <w:color w:val="auto"/>
                <w:sz w:val="21"/>
                <w:szCs w:val="21"/>
              </w:rPr>
              <w:t>地面采取重点防渗，渗透系数K≤10</w:t>
            </w:r>
            <w:r>
              <w:rPr>
                <w:rFonts w:hint="eastAsia" w:cs="Times New Roman"/>
                <w:color w:val="auto"/>
                <w:sz w:val="18"/>
                <w:szCs w:val="18"/>
                <w:vertAlign w:val="superscript"/>
                <w:lang w:val="en-US" w:eastAsia="zh-CN"/>
              </w:rPr>
              <w:t>-</w:t>
            </w:r>
            <w:r>
              <w:rPr>
                <w:rFonts w:hint="default" w:ascii="Times New Roman" w:hAnsi="Times New Roman" w:eastAsia="宋体" w:cs="Times New Roman"/>
                <w:color w:val="auto"/>
                <w:sz w:val="21"/>
                <w:szCs w:val="21"/>
                <w:vertAlign w:val="superscript"/>
              </w:rPr>
              <w:t>10</w:t>
            </w:r>
            <w:r>
              <w:rPr>
                <w:rFonts w:hint="default" w:ascii="Times New Roman" w:hAnsi="Times New Roman" w:eastAsia="宋体" w:cs="Times New Roman"/>
                <w:color w:val="auto"/>
                <w:sz w:val="21"/>
                <w:szCs w:val="21"/>
              </w:rPr>
              <w:t>cm/s。</w:t>
            </w:r>
            <w:r>
              <w:rPr>
                <w:rFonts w:hint="default" w:ascii="Times New Roman" w:hAnsi="Times New Roman" w:eastAsia="宋体" w:cs="Times New Roman"/>
                <w:color w:val="auto"/>
                <w:sz w:val="21"/>
                <w:szCs w:val="21"/>
                <w:lang w:eastAsia="zh-CN"/>
              </w:rPr>
              <w:t>危废贮存库</w:t>
            </w:r>
            <w:r>
              <w:rPr>
                <w:rFonts w:hint="default" w:ascii="Times New Roman" w:hAnsi="Times New Roman" w:eastAsia="宋体" w:cs="Times New Roman"/>
                <w:color w:val="auto"/>
                <w:sz w:val="21"/>
                <w:szCs w:val="21"/>
              </w:rPr>
              <w:t>设置1m高防渗墙裙。</w:t>
            </w:r>
          </w:p>
          <w:p w14:paraId="0620E4A0">
            <w:pPr>
              <w:autoSpaceDE w:val="0"/>
              <w:autoSpaceDN w:val="0"/>
              <w:spacing w:line="360" w:lineRule="auto"/>
              <w:ind w:firstLine="422" w:firstLineChars="20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2、</w:t>
            </w:r>
            <w:r>
              <w:rPr>
                <w:rFonts w:hint="default" w:ascii="Times New Roman" w:hAnsi="Times New Roman" w:eastAsia="宋体" w:cs="Times New Roman"/>
                <w:b/>
                <w:bCs/>
                <w:color w:val="auto"/>
                <w:sz w:val="21"/>
                <w:szCs w:val="21"/>
              </w:rPr>
              <w:t>危险废物管理要求</w:t>
            </w:r>
          </w:p>
          <w:p w14:paraId="4F9AE025">
            <w:pPr>
              <w:autoSpaceDE w:val="0"/>
              <w:autoSpaceDN w:val="0"/>
              <w:snapToGrid w:val="0"/>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根据《危险废物贮存污染控制标准》（GB18597-2023），危险废物临时贮存及委托处置应按以下要求进行管理：</w:t>
            </w:r>
          </w:p>
          <w:p w14:paraId="03CC570F">
            <w:pPr>
              <w:autoSpaceDE w:val="0"/>
              <w:autoSpaceDN w:val="0"/>
              <w:snapToGrid w:val="0"/>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1）危险废物进入</w:t>
            </w:r>
            <w:r>
              <w:rPr>
                <w:rFonts w:hint="default" w:ascii="Times New Roman" w:hAnsi="Times New Roman" w:eastAsia="宋体" w:cs="Times New Roman"/>
                <w:color w:val="auto"/>
                <w:sz w:val="21"/>
                <w:szCs w:val="21"/>
                <w:lang w:eastAsia="zh-CN"/>
              </w:rPr>
              <w:t>危废贮存库</w:t>
            </w:r>
            <w:r>
              <w:rPr>
                <w:rFonts w:hint="default" w:ascii="Times New Roman" w:hAnsi="Times New Roman" w:eastAsia="宋体" w:cs="Times New Roman"/>
                <w:color w:val="auto"/>
                <w:sz w:val="21"/>
                <w:szCs w:val="21"/>
              </w:rPr>
              <w:t>前应进行检验，确保同预定接收的危废一致，并登记注册。</w:t>
            </w:r>
          </w:p>
          <w:p w14:paraId="20CCABBE">
            <w:pPr>
              <w:autoSpaceDE w:val="0"/>
              <w:autoSpaceDN w:val="0"/>
              <w:snapToGrid w:val="0"/>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2）不得暂存未粘贴标签或标签没按规定填写的危险废物。</w:t>
            </w:r>
          </w:p>
          <w:p w14:paraId="5F15C717">
            <w:pPr>
              <w:autoSpaceDE w:val="0"/>
              <w:autoSpaceDN w:val="0"/>
              <w:snapToGrid w:val="0"/>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3）不得将不相容的废物混合或合并存放。</w:t>
            </w:r>
          </w:p>
          <w:p w14:paraId="175B9196">
            <w:pPr>
              <w:autoSpaceDE w:val="0"/>
              <w:autoSpaceDN w:val="0"/>
              <w:snapToGrid w:val="0"/>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4）应做好危险废物产生、贮存情况的记录，记录上需注明危险废物的名称、来源、数量、特征和包装容器的类别、入库日期、存放库位、废物出库日期及接收单位名称。</w:t>
            </w:r>
          </w:p>
          <w:p w14:paraId="6F4F40D8">
            <w:pPr>
              <w:autoSpaceDE w:val="0"/>
              <w:autoSpaceDN w:val="0"/>
              <w:snapToGrid w:val="0"/>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5）必须定期对所贮存的危险废物包装容器及贮存设施进行检查，发现破损，应及时采取措施清理更换。</w:t>
            </w:r>
          </w:p>
          <w:p w14:paraId="0112BAB4">
            <w:pPr>
              <w:autoSpaceDE w:val="0"/>
              <w:autoSpaceDN w:val="0"/>
              <w:snapToGrid w:val="0"/>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按照《危险废物转移管理办法》相应管理要求，制定危险废物管理计划，明确拟转移危险废物的种类、重量（数量）和流向等信息；建立危险废物管理台账，对转移的危险废物进行计量称重，如实记录、妥善保管转移危险废物的种类、重量（数量）和接收人等相关信息；填写、运行危险废物转移联单，在危险废物转移联单中如实填写移出人、承运人、</w:t>
            </w:r>
            <w:r>
              <w:rPr>
                <w:rFonts w:hint="default" w:ascii="Times New Roman" w:hAnsi="Times New Roman" w:eastAsia="宋体" w:cs="Times New Roman"/>
                <w:color w:val="auto"/>
                <w:sz w:val="21"/>
                <w:szCs w:val="21"/>
                <w:lang w:eastAsia="zh-CN"/>
              </w:rPr>
              <w:t>接收</w:t>
            </w:r>
            <w:r>
              <w:rPr>
                <w:rFonts w:hint="default" w:ascii="Times New Roman" w:hAnsi="Times New Roman" w:eastAsia="宋体" w:cs="Times New Roman"/>
                <w:color w:val="auto"/>
                <w:sz w:val="21"/>
                <w:szCs w:val="21"/>
              </w:rPr>
              <w:t>人信息，转移危险废物的种类、重量（数量）、危险特性等信息，以及突发环境事件的防范措施等；危险废物转移联单应当根据危险废物管理计划中填报的危险废物转移等备案信息填写、运行。</w:t>
            </w:r>
          </w:p>
          <w:p w14:paraId="0F77917C">
            <w:pPr>
              <w:autoSpaceDE w:val="0"/>
              <w:autoSpaceDN w:val="0"/>
              <w:snapToGrid w:val="0"/>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评价要求：项目固体废物必须按“资源化、减量化、无害化”处置原则进行综合处置，严禁将各类生产固废、危废直接排放或混入生活垃圾中倾倒。固废暂存库应按照《环境保护图形标志－固体废物储存（处置）场》（GB15562.2-1995）</w:t>
            </w:r>
            <w:r>
              <w:rPr>
                <w:rFonts w:hint="default" w:ascii="Times New Roman" w:hAnsi="Times New Roman" w:eastAsia="宋体" w:cs="Times New Roman"/>
                <w:color w:val="auto"/>
                <w:sz w:val="21"/>
                <w:szCs w:val="21"/>
                <w:lang w:val="en-US" w:eastAsia="zh-CN"/>
              </w:rPr>
              <w:t>和《危险废物识别标志设置技术规范》（HJ 1276-2022）</w:t>
            </w:r>
            <w:r>
              <w:rPr>
                <w:rFonts w:hint="default" w:ascii="Times New Roman" w:hAnsi="Times New Roman" w:eastAsia="宋体" w:cs="Times New Roman"/>
                <w:color w:val="auto"/>
                <w:sz w:val="21"/>
                <w:szCs w:val="21"/>
              </w:rPr>
              <w:t>的要求设立规范的标识牌。</w:t>
            </w:r>
          </w:p>
          <w:p w14:paraId="4FA56D27">
            <w:pPr>
              <w:autoSpaceDE w:val="0"/>
              <w:autoSpaceDN w:val="0"/>
              <w:spacing w:line="360" w:lineRule="auto"/>
              <w:ind w:firstLine="420" w:firstLineChars="200"/>
              <w:rPr>
                <w:rFonts w:hint="default" w:eastAsia="宋体"/>
                <w:color w:val="auto"/>
                <w:szCs w:val="21"/>
                <w:lang w:val="en-US" w:eastAsia="zh-CN"/>
              </w:rPr>
            </w:pPr>
            <w:r>
              <w:rPr>
                <w:rFonts w:hint="default" w:ascii="Times New Roman" w:hAnsi="Times New Roman" w:eastAsia="宋体" w:cs="Times New Roman"/>
                <w:color w:val="auto"/>
                <w:sz w:val="21"/>
                <w:szCs w:val="21"/>
                <w:lang w:val="en-US" w:eastAsia="zh-CN"/>
              </w:rPr>
              <w:t>本项目固废在</w:t>
            </w:r>
            <w:r>
              <w:rPr>
                <w:rFonts w:hint="default" w:ascii="Times New Roman" w:hAnsi="Times New Roman" w:eastAsia="宋体" w:cs="Times New Roman"/>
                <w:color w:val="auto"/>
                <w:sz w:val="21"/>
                <w:szCs w:val="21"/>
              </w:rPr>
              <w:t>固体废弃物采取上述措施后，对环境影响较小。</w:t>
            </w:r>
          </w:p>
          <w:p w14:paraId="55E3646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5、地下水、土壤</w:t>
            </w:r>
          </w:p>
          <w:p w14:paraId="6AF6F788">
            <w:pPr>
              <w:adjustRightInd w:val="0"/>
              <w:snapToGrid w:val="0"/>
              <w:spacing w:line="360" w:lineRule="auto"/>
              <w:ind w:firstLine="422" w:firstLineChars="200"/>
              <w:rPr>
                <w:rFonts w:hint="default" w:ascii="Times New Roman" w:hAnsi="Times New Roman" w:cs="Times New Roman"/>
                <w:b/>
                <w:bCs w:val="0"/>
                <w:color w:val="auto"/>
                <w:sz w:val="21"/>
                <w:szCs w:val="21"/>
                <w:lang w:val="en-US" w:eastAsia="zh-CN"/>
              </w:rPr>
            </w:pPr>
            <w:r>
              <w:rPr>
                <w:rFonts w:hint="default" w:ascii="Times New Roman" w:hAnsi="Times New Roman" w:cs="Times New Roman"/>
                <w:b/>
                <w:color w:val="auto"/>
                <w:sz w:val="21"/>
                <w:szCs w:val="21"/>
              </w:rPr>
              <w:t>（1）防渗措施</w:t>
            </w:r>
          </w:p>
          <w:p w14:paraId="5FED7ED4">
            <w:pPr>
              <w:pStyle w:val="12"/>
              <w:keepNext w:val="0"/>
              <w:keepLines w:val="0"/>
              <w:pageBreakBefore w:val="0"/>
              <w:widowControl w:val="0"/>
              <w:kinsoku/>
              <w:wordWrap/>
              <w:overflowPunct/>
              <w:topLinePunct w:val="0"/>
              <w:autoSpaceDE/>
              <w:autoSpaceDN/>
              <w:bidi w:val="0"/>
              <w:adjustRightInd/>
              <w:snapToGrid/>
              <w:spacing w:before="0" w:after="0" w:line="360" w:lineRule="auto"/>
              <w:ind w:left="0" w:right="0" w:firstLine="420" w:firstLineChars="200"/>
              <w:jc w:val="both"/>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根据本项目特点，项目产污构筑物包括生产厂房中</w:t>
            </w:r>
            <w:r>
              <w:rPr>
                <w:rFonts w:hint="eastAsia" w:eastAsia="宋体" w:cs="Times New Roman"/>
                <w:color w:val="auto"/>
                <w:sz w:val="21"/>
                <w:szCs w:val="21"/>
                <w:lang w:val="en-US" w:eastAsia="zh-CN"/>
              </w:rPr>
              <w:t>危废贮存库</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化粪池</w:t>
            </w:r>
            <w:r>
              <w:rPr>
                <w:rFonts w:hint="default" w:ascii="Times New Roman" w:hAnsi="Times New Roman" w:eastAsia="宋体" w:cs="Times New Roman"/>
                <w:color w:val="auto"/>
                <w:sz w:val="21"/>
                <w:szCs w:val="21"/>
                <w:lang w:val="en-US" w:eastAsia="zh-CN"/>
              </w:rPr>
              <w:t>、</w:t>
            </w:r>
            <w:r>
              <w:rPr>
                <w:rFonts w:hint="eastAsia" w:eastAsia="宋体" w:cs="Times New Roman"/>
                <w:color w:val="auto"/>
                <w:sz w:val="21"/>
                <w:szCs w:val="21"/>
                <w:lang w:val="en-US" w:eastAsia="zh-CN"/>
              </w:rPr>
              <w:t>一般固废贮存库</w:t>
            </w:r>
            <w:r>
              <w:rPr>
                <w:rFonts w:hint="default" w:ascii="Times New Roman" w:hAnsi="Times New Roman" w:eastAsia="宋体" w:cs="Times New Roman"/>
                <w:color w:val="auto"/>
                <w:sz w:val="21"/>
                <w:szCs w:val="21"/>
                <w:lang w:val="en-US" w:eastAsia="zh-CN"/>
              </w:rPr>
              <w:t>等。根据各个构筑物的产污特征，环评要求其采取分区防渗措施，分为重点防渗区、一般防渗区及简单防渗。</w:t>
            </w:r>
          </w:p>
          <w:p w14:paraId="28EF44AE">
            <w:pPr>
              <w:pStyle w:val="12"/>
              <w:keepNext w:val="0"/>
              <w:keepLines w:val="0"/>
              <w:pageBreakBefore w:val="0"/>
              <w:widowControl w:val="0"/>
              <w:kinsoku/>
              <w:wordWrap/>
              <w:overflowPunct/>
              <w:topLinePunct w:val="0"/>
              <w:autoSpaceDE/>
              <w:autoSpaceDN/>
              <w:bidi w:val="0"/>
              <w:adjustRightInd/>
              <w:snapToGrid/>
              <w:spacing w:before="0" w:after="0" w:line="360" w:lineRule="auto"/>
              <w:ind w:left="0" w:right="0" w:firstLine="420" w:firstLineChars="200"/>
              <w:jc w:val="both"/>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①重点防渗区：危废贮存库等，危废贮存库重点防渗区地面在水泥硬化地面基础上增加2.0mm的高密度聚乙烯或其他人工防渗材料（防渗系数 k≤1.0×10</w:t>
            </w:r>
            <w:r>
              <w:rPr>
                <w:rFonts w:hint="eastAsia" w:cs="Times New Roman"/>
                <w:color w:val="auto"/>
                <w:sz w:val="21"/>
                <w:szCs w:val="21"/>
                <w:vertAlign w:val="superscript"/>
                <w:lang w:val="en-US" w:eastAsia="zh-CN"/>
              </w:rPr>
              <w:t>-</w:t>
            </w:r>
            <w:r>
              <w:rPr>
                <w:rFonts w:hint="default" w:ascii="Times New Roman" w:hAnsi="Times New Roman" w:eastAsia="宋体" w:cs="Times New Roman"/>
                <w:color w:val="auto"/>
                <w:sz w:val="21"/>
                <w:szCs w:val="21"/>
                <w:vertAlign w:val="superscript"/>
                <w:lang w:val="en-US" w:eastAsia="zh-CN"/>
              </w:rPr>
              <w:t>10</w:t>
            </w:r>
            <w:r>
              <w:rPr>
                <w:rFonts w:hint="default" w:ascii="Times New Roman" w:hAnsi="Times New Roman" w:eastAsia="宋体" w:cs="Times New Roman"/>
                <w:color w:val="auto"/>
                <w:sz w:val="21"/>
                <w:szCs w:val="21"/>
                <w:lang w:val="en-US" w:eastAsia="zh-CN"/>
              </w:rPr>
              <w:t>cm/s）。</w:t>
            </w:r>
          </w:p>
          <w:p w14:paraId="3FAAD6AF">
            <w:pPr>
              <w:pStyle w:val="12"/>
              <w:keepNext w:val="0"/>
              <w:keepLines w:val="0"/>
              <w:pageBreakBefore w:val="0"/>
              <w:widowControl w:val="0"/>
              <w:kinsoku/>
              <w:wordWrap/>
              <w:overflowPunct/>
              <w:topLinePunct w:val="0"/>
              <w:autoSpaceDE/>
              <w:autoSpaceDN/>
              <w:bidi w:val="0"/>
              <w:adjustRightInd/>
              <w:snapToGrid/>
              <w:spacing w:before="0" w:after="0" w:line="360" w:lineRule="auto"/>
              <w:ind w:left="0" w:right="0" w:firstLine="420" w:firstLineChars="200"/>
              <w:jc w:val="both"/>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②一般防渗区：</w:t>
            </w:r>
            <w:r>
              <w:rPr>
                <w:rFonts w:hint="eastAsia" w:eastAsia="宋体" w:cs="Times New Roman"/>
                <w:color w:val="auto"/>
                <w:sz w:val="21"/>
                <w:szCs w:val="21"/>
                <w:lang w:val="en-US" w:eastAsia="zh-CN"/>
              </w:rPr>
              <w:t>一般固废贮存库</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化粪池</w:t>
            </w:r>
            <w:r>
              <w:rPr>
                <w:rFonts w:hint="default" w:ascii="Times New Roman" w:hAnsi="Times New Roman" w:eastAsia="宋体" w:cs="Times New Roman"/>
                <w:color w:val="auto"/>
                <w:sz w:val="21"/>
                <w:szCs w:val="21"/>
                <w:lang w:val="en-US" w:eastAsia="zh-CN"/>
              </w:rPr>
              <w:t>等，地面采用防渗混凝土进行防渗处理，使等效黏土防护层Mb≥1.5m，K≤1×10</w:t>
            </w:r>
            <w:r>
              <w:rPr>
                <w:rFonts w:hint="eastAsia" w:cs="Times New Roman"/>
                <w:color w:val="auto"/>
                <w:sz w:val="21"/>
                <w:szCs w:val="21"/>
                <w:vertAlign w:val="superscript"/>
                <w:lang w:val="en-US" w:eastAsia="zh-CN"/>
              </w:rPr>
              <w:t>-</w:t>
            </w:r>
            <w:r>
              <w:rPr>
                <w:rFonts w:hint="default" w:ascii="Times New Roman" w:hAnsi="Times New Roman" w:eastAsia="宋体" w:cs="Times New Roman"/>
                <w:color w:val="auto"/>
                <w:sz w:val="21"/>
                <w:szCs w:val="21"/>
                <w:vertAlign w:val="superscript"/>
                <w:lang w:val="en-US" w:eastAsia="zh-CN"/>
              </w:rPr>
              <w:t>7</w:t>
            </w:r>
            <w:r>
              <w:rPr>
                <w:rFonts w:hint="default" w:ascii="Times New Roman" w:hAnsi="Times New Roman" w:eastAsia="宋体" w:cs="Times New Roman"/>
                <w:color w:val="auto"/>
                <w:sz w:val="21"/>
                <w:szCs w:val="21"/>
                <w:lang w:val="en-US" w:eastAsia="zh-CN"/>
              </w:rPr>
              <w:t>cm/s。</w:t>
            </w:r>
          </w:p>
          <w:p w14:paraId="2EDC1B68">
            <w:pPr>
              <w:pStyle w:val="12"/>
              <w:keepNext w:val="0"/>
              <w:keepLines w:val="0"/>
              <w:pageBreakBefore w:val="0"/>
              <w:widowControl w:val="0"/>
              <w:kinsoku/>
              <w:wordWrap/>
              <w:overflowPunct/>
              <w:topLinePunct w:val="0"/>
              <w:autoSpaceDE/>
              <w:autoSpaceDN/>
              <w:bidi w:val="0"/>
              <w:adjustRightInd/>
              <w:snapToGrid/>
              <w:spacing w:before="0" w:after="0" w:line="360" w:lineRule="auto"/>
              <w:ind w:left="0" w:right="0" w:firstLine="420" w:firstLineChars="200"/>
              <w:jc w:val="both"/>
              <w:textAlignment w:val="auto"/>
              <w:outlineLvl w:val="9"/>
              <w:rPr>
                <w:rFonts w:hint="default" w:ascii="Times New Roman" w:hAnsi="Times New Roman" w:cs="Times New Roman"/>
                <w:b w:val="0"/>
                <w:bCs/>
                <w:color w:val="auto"/>
                <w:sz w:val="21"/>
                <w:szCs w:val="21"/>
              </w:rPr>
            </w:pPr>
            <w:r>
              <w:rPr>
                <w:rFonts w:hint="default" w:ascii="Times New Roman" w:hAnsi="Times New Roman" w:eastAsia="宋体" w:cs="Times New Roman"/>
                <w:color w:val="auto"/>
                <w:sz w:val="21"/>
                <w:szCs w:val="21"/>
                <w:lang w:val="en-US" w:eastAsia="zh-CN"/>
              </w:rPr>
              <w:fldChar w:fldCharType="begin"/>
            </w:r>
            <w:r>
              <w:rPr>
                <w:rFonts w:hint="default" w:ascii="Times New Roman" w:hAnsi="Times New Roman" w:eastAsia="宋体" w:cs="Times New Roman"/>
                <w:color w:val="auto"/>
                <w:sz w:val="21"/>
                <w:szCs w:val="21"/>
                <w:lang w:val="en-US" w:eastAsia="zh-CN"/>
              </w:rPr>
              <w:instrText xml:space="preserve"> = 3 \* GB3 \* MERGEFORMAT </w:instrText>
            </w:r>
            <w:r>
              <w:rPr>
                <w:rFonts w:hint="default" w:ascii="Times New Roman" w:hAnsi="Times New Roman" w:eastAsia="宋体" w:cs="Times New Roman"/>
                <w:color w:val="auto"/>
                <w:sz w:val="21"/>
                <w:szCs w:val="21"/>
                <w:lang w:val="en-US" w:eastAsia="zh-CN"/>
              </w:rPr>
              <w:fldChar w:fldCharType="separate"/>
            </w:r>
            <w:r>
              <w:rPr>
                <w:rFonts w:hint="default" w:ascii="Times New Roman" w:hAnsi="Times New Roman" w:eastAsia="宋体" w:cs="Times New Roman"/>
                <w:color w:val="auto"/>
                <w:sz w:val="21"/>
                <w:szCs w:val="21"/>
                <w:lang w:val="en-US" w:eastAsia="zh-CN"/>
              </w:rPr>
              <w:t>③</w:t>
            </w:r>
            <w:r>
              <w:rPr>
                <w:rFonts w:hint="default" w:ascii="Times New Roman" w:hAnsi="Times New Roman" w:eastAsia="宋体" w:cs="Times New Roman"/>
                <w:color w:val="auto"/>
                <w:sz w:val="21"/>
                <w:szCs w:val="21"/>
                <w:lang w:val="en-US" w:eastAsia="zh-CN"/>
              </w:rPr>
              <w:fldChar w:fldCharType="end"/>
            </w:r>
            <w:r>
              <w:rPr>
                <w:rFonts w:hint="default" w:ascii="Times New Roman" w:hAnsi="Times New Roman" w:eastAsia="宋体" w:cs="Times New Roman"/>
                <w:color w:val="auto"/>
                <w:sz w:val="21"/>
                <w:szCs w:val="21"/>
                <w:lang w:val="en-US" w:eastAsia="zh-CN"/>
              </w:rPr>
              <w:t>简单防渗区：办公区，</w:t>
            </w:r>
            <w:r>
              <w:rPr>
                <w:rFonts w:hint="eastAsia" w:cs="Times New Roman"/>
                <w:color w:val="auto"/>
                <w:sz w:val="21"/>
                <w:szCs w:val="21"/>
                <w:lang w:val="en-US" w:eastAsia="zh-CN"/>
              </w:rPr>
              <w:t>总装</w:t>
            </w:r>
            <w:r>
              <w:rPr>
                <w:rFonts w:hint="eastAsia" w:eastAsia="宋体" w:cs="Times New Roman"/>
                <w:color w:val="auto"/>
                <w:sz w:val="21"/>
                <w:szCs w:val="21"/>
                <w:lang w:val="en-US" w:eastAsia="zh-CN"/>
              </w:rPr>
              <w:t>车间、</w:t>
            </w:r>
            <w:r>
              <w:rPr>
                <w:rFonts w:hint="default" w:ascii="Times New Roman" w:hAnsi="Times New Roman" w:eastAsia="宋体" w:cs="Times New Roman"/>
                <w:color w:val="auto"/>
                <w:sz w:val="21"/>
                <w:szCs w:val="21"/>
                <w:lang w:val="en-US" w:eastAsia="zh-CN"/>
              </w:rPr>
              <w:t>厂区道路等采取一般地面硬化。</w:t>
            </w:r>
          </w:p>
          <w:p w14:paraId="20D3A3EC">
            <w:pPr>
              <w:snapToGrid w:val="0"/>
              <w:spacing w:before="120" w:beforeLines="50"/>
              <w:jc w:val="center"/>
              <w:rPr>
                <w:rFonts w:hint="default"/>
                <w:b/>
                <w:color w:val="auto"/>
                <w:sz w:val="21"/>
                <w:szCs w:val="21"/>
              </w:rPr>
            </w:pPr>
            <w:r>
              <w:rPr>
                <w:rFonts w:hint="default"/>
                <w:b/>
                <w:color w:val="auto"/>
                <w:sz w:val="21"/>
                <w:szCs w:val="21"/>
              </w:rPr>
              <w:t xml:space="preserve">表 </w:t>
            </w:r>
            <w:r>
              <w:rPr>
                <w:rFonts w:hint="default"/>
                <w:b/>
                <w:color w:val="auto"/>
                <w:sz w:val="21"/>
                <w:szCs w:val="21"/>
                <w:lang w:val="en-US" w:eastAsia="zh-CN"/>
              </w:rPr>
              <w:t>4-</w:t>
            </w:r>
            <w:r>
              <w:rPr>
                <w:rFonts w:hint="eastAsia"/>
                <w:b/>
                <w:color w:val="auto"/>
                <w:sz w:val="21"/>
                <w:szCs w:val="21"/>
                <w:lang w:val="en-US" w:eastAsia="zh-CN"/>
              </w:rPr>
              <w:t>13</w:t>
            </w:r>
            <w:r>
              <w:rPr>
                <w:rFonts w:hint="default"/>
                <w:b/>
                <w:color w:val="auto"/>
                <w:sz w:val="21"/>
                <w:szCs w:val="21"/>
                <w:lang w:val="en-US" w:eastAsia="zh-CN"/>
              </w:rPr>
              <w:t xml:space="preserve"> </w:t>
            </w:r>
            <w:r>
              <w:rPr>
                <w:rFonts w:hint="default"/>
                <w:b/>
                <w:color w:val="auto"/>
                <w:sz w:val="21"/>
                <w:szCs w:val="21"/>
              </w:rPr>
              <w:t>项目防渗分区及防渗措施一览表</w:t>
            </w:r>
          </w:p>
          <w:tbl>
            <w:tblPr>
              <w:tblStyle w:val="30"/>
              <w:tblW w:w="4998" w:type="pct"/>
              <w:tblInd w:w="-5"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36"/>
              <w:gridCol w:w="2793"/>
              <w:gridCol w:w="1896"/>
              <w:gridCol w:w="2868"/>
            </w:tblGrid>
            <w:tr w14:paraId="59E640B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8" w:hRule="atLeast"/>
                <w:tblHeader/>
              </w:trPr>
              <w:tc>
                <w:tcPr>
                  <w:tcW w:w="551" w:type="pct"/>
                  <w:tcBorders>
                    <w:top w:val="single" w:color="000000" w:sz="4" w:space="0"/>
                    <w:left w:val="single" w:color="000000" w:sz="4" w:space="0"/>
                    <w:bottom w:val="single" w:color="000000" w:sz="4" w:space="0"/>
                    <w:right w:val="single" w:color="000000" w:sz="4" w:space="0"/>
                    <w:tl2br w:val="nil"/>
                  </w:tcBorders>
                  <w:shd w:val="clear" w:color="auto" w:fill="FFFFFF"/>
                  <w:noWrap w:val="0"/>
                  <w:vAlign w:val="center"/>
                </w:tcPr>
                <w:p w14:paraId="68326AEE">
                  <w:pPr>
                    <w:spacing w:line="276" w:lineRule="auto"/>
                    <w:jc w:val="center"/>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序号</w:t>
                  </w:r>
                </w:p>
              </w:tc>
              <w:tc>
                <w:tcPr>
                  <w:tcW w:w="164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E5634C">
                  <w:pPr>
                    <w:spacing w:line="276" w:lineRule="auto"/>
                    <w:jc w:val="center"/>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区域名称</w:t>
                  </w:r>
                </w:p>
              </w:tc>
              <w:tc>
                <w:tcPr>
                  <w:tcW w:w="111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04CFC9">
                  <w:pPr>
                    <w:spacing w:line="276" w:lineRule="auto"/>
                    <w:jc w:val="center"/>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分区类别</w:t>
                  </w:r>
                </w:p>
              </w:tc>
              <w:tc>
                <w:tcPr>
                  <w:tcW w:w="168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B19F27E">
                  <w:pPr>
                    <w:spacing w:line="276" w:lineRule="auto"/>
                    <w:jc w:val="center"/>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防渗措施</w:t>
                  </w:r>
                </w:p>
              </w:tc>
            </w:tr>
            <w:tr w14:paraId="3066118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19" w:hRule="atLeast"/>
              </w:trPr>
              <w:tc>
                <w:tcPr>
                  <w:tcW w:w="5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B6F493">
                  <w:pPr>
                    <w:spacing w:line="276" w:lineRule="auto"/>
                    <w:jc w:val="center"/>
                    <w:rPr>
                      <w:rFonts w:hint="eastAsia" w:ascii="宋体" w:hAnsi="宋体" w:eastAsia="宋体" w:cs="宋体"/>
                      <w:b w:val="0"/>
                      <w:color w:val="auto"/>
                      <w:sz w:val="21"/>
                      <w:szCs w:val="21"/>
                      <w:lang w:val="en-US" w:eastAsia="zh-CN"/>
                    </w:rPr>
                  </w:pPr>
                  <w:r>
                    <w:rPr>
                      <w:rFonts w:hint="eastAsia" w:ascii="宋体" w:hAnsi="宋体" w:eastAsia="宋体" w:cs="宋体"/>
                      <w:b w:val="0"/>
                      <w:color w:val="auto"/>
                      <w:sz w:val="21"/>
                      <w:szCs w:val="21"/>
                      <w:lang w:val="en-US" w:eastAsia="zh-CN"/>
                    </w:rPr>
                    <w:t>1</w:t>
                  </w:r>
                </w:p>
              </w:tc>
              <w:tc>
                <w:tcPr>
                  <w:tcW w:w="164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7C4391">
                  <w:pPr>
                    <w:spacing w:line="276" w:lineRule="auto"/>
                    <w:jc w:val="center"/>
                    <w:rPr>
                      <w:rFonts w:hint="eastAsia" w:ascii="宋体" w:hAnsi="宋体" w:eastAsia="宋体" w:cs="宋体"/>
                      <w:b w:val="0"/>
                      <w:color w:val="auto"/>
                      <w:sz w:val="21"/>
                      <w:szCs w:val="21"/>
                      <w:lang w:val="en-US" w:eastAsia="zh-CN"/>
                    </w:rPr>
                  </w:pPr>
                  <w:r>
                    <w:rPr>
                      <w:rFonts w:hint="eastAsia" w:ascii="宋体" w:hAnsi="宋体" w:eastAsia="宋体" w:cs="宋体"/>
                      <w:b w:val="0"/>
                      <w:color w:val="auto"/>
                      <w:sz w:val="21"/>
                      <w:szCs w:val="21"/>
                      <w:lang w:val="en-US" w:eastAsia="zh-CN"/>
                    </w:rPr>
                    <w:t>危废贮存库</w:t>
                  </w:r>
                </w:p>
              </w:tc>
              <w:tc>
                <w:tcPr>
                  <w:tcW w:w="111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93FD6F3">
                  <w:pPr>
                    <w:spacing w:line="276" w:lineRule="auto"/>
                    <w:jc w:val="center"/>
                    <w:rPr>
                      <w:rFonts w:hint="eastAsia" w:ascii="宋体" w:hAnsi="宋体" w:eastAsia="宋体" w:cs="宋体"/>
                      <w:b w:val="0"/>
                      <w:color w:val="auto"/>
                      <w:sz w:val="21"/>
                      <w:szCs w:val="21"/>
                      <w:lang w:val="en-US" w:eastAsia="zh-CN"/>
                    </w:rPr>
                  </w:pPr>
                  <w:r>
                    <w:rPr>
                      <w:rFonts w:hint="eastAsia" w:ascii="宋体" w:hAnsi="宋体" w:eastAsia="宋体" w:cs="宋体"/>
                      <w:b w:val="0"/>
                      <w:color w:val="auto"/>
                      <w:sz w:val="21"/>
                      <w:szCs w:val="21"/>
                      <w:lang w:val="en-US" w:eastAsia="zh-CN"/>
                    </w:rPr>
                    <w:t>重点防渗</w:t>
                  </w:r>
                </w:p>
              </w:tc>
              <w:tc>
                <w:tcPr>
                  <w:tcW w:w="168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A0C0F6A">
                  <w:pPr>
                    <w:spacing w:line="276" w:lineRule="auto"/>
                    <w:jc w:val="center"/>
                    <w:rPr>
                      <w:rFonts w:hint="eastAsia" w:ascii="宋体" w:hAnsi="宋体" w:eastAsia="宋体" w:cs="宋体"/>
                      <w:b w:val="0"/>
                      <w:color w:val="auto"/>
                      <w:sz w:val="21"/>
                      <w:szCs w:val="21"/>
                      <w:lang w:val="en-US" w:eastAsia="zh-CN"/>
                    </w:rPr>
                  </w:pPr>
                  <w:r>
                    <w:rPr>
                      <w:rFonts w:hint="eastAsia" w:ascii="宋体" w:hAnsi="宋体" w:eastAsia="宋体" w:cs="宋体"/>
                      <w:b w:val="0"/>
                      <w:color w:val="auto"/>
                      <w:sz w:val="21"/>
                      <w:szCs w:val="21"/>
                      <w:lang w:val="en-US" w:eastAsia="zh-CN"/>
                    </w:rPr>
                    <w:t>地面采用防渗混凝土+至少2mmHDPE膜进行防渗处理；防渗系数≤1.0×10</w:t>
                  </w:r>
                  <w:r>
                    <w:rPr>
                      <w:rFonts w:hint="eastAsia" w:cs="Times New Roman"/>
                      <w:color w:val="auto"/>
                      <w:sz w:val="21"/>
                      <w:szCs w:val="21"/>
                      <w:vertAlign w:val="superscript"/>
                      <w:lang w:val="en-US" w:eastAsia="zh-CN"/>
                    </w:rPr>
                    <w:t>-</w:t>
                  </w:r>
                  <w:r>
                    <w:rPr>
                      <w:rFonts w:hint="eastAsia" w:ascii="宋体" w:hAnsi="宋体" w:eastAsia="宋体" w:cs="宋体"/>
                      <w:b w:val="0"/>
                      <w:color w:val="auto"/>
                      <w:sz w:val="21"/>
                      <w:szCs w:val="21"/>
                      <w:vertAlign w:val="superscript"/>
                      <w:lang w:val="en-US" w:eastAsia="zh-CN"/>
                    </w:rPr>
                    <w:t>10</w:t>
                  </w:r>
                  <w:r>
                    <w:rPr>
                      <w:rFonts w:hint="eastAsia" w:ascii="宋体" w:hAnsi="宋体" w:eastAsia="宋体" w:cs="宋体"/>
                      <w:b w:val="0"/>
                      <w:color w:val="auto"/>
                      <w:sz w:val="21"/>
                      <w:szCs w:val="21"/>
                      <w:lang w:val="en-US" w:eastAsia="zh-CN"/>
                    </w:rPr>
                    <w:t>cm/s</w:t>
                  </w:r>
                </w:p>
              </w:tc>
            </w:tr>
            <w:tr w14:paraId="6666CF2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3" w:hRule="atLeast"/>
              </w:trPr>
              <w:tc>
                <w:tcPr>
                  <w:tcW w:w="5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E15FC8">
                  <w:pPr>
                    <w:spacing w:line="276" w:lineRule="auto"/>
                    <w:jc w:val="center"/>
                    <w:rPr>
                      <w:rFonts w:hint="eastAsia" w:ascii="宋体" w:hAnsi="宋体" w:eastAsia="宋体" w:cs="宋体"/>
                      <w:b w:val="0"/>
                      <w:color w:val="auto"/>
                      <w:sz w:val="21"/>
                      <w:szCs w:val="21"/>
                      <w:lang w:val="en-US" w:eastAsia="zh-CN"/>
                    </w:rPr>
                  </w:pPr>
                  <w:r>
                    <w:rPr>
                      <w:rFonts w:hint="eastAsia" w:ascii="宋体" w:hAnsi="宋体" w:eastAsia="宋体" w:cs="宋体"/>
                      <w:b w:val="0"/>
                      <w:color w:val="auto"/>
                      <w:sz w:val="21"/>
                      <w:szCs w:val="21"/>
                      <w:lang w:val="en-US" w:eastAsia="zh-CN"/>
                    </w:rPr>
                    <w:t>2</w:t>
                  </w:r>
                </w:p>
              </w:tc>
              <w:tc>
                <w:tcPr>
                  <w:tcW w:w="164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FFA4AE">
                  <w:pPr>
                    <w:spacing w:line="276" w:lineRule="auto"/>
                    <w:jc w:val="center"/>
                    <w:rPr>
                      <w:rFonts w:hint="eastAsia" w:ascii="宋体" w:hAnsi="宋体" w:eastAsia="宋体" w:cs="宋体"/>
                      <w:b w:val="0"/>
                      <w:color w:val="auto"/>
                      <w:sz w:val="21"/>
                      <w:szCs w:val="21"/>
                      <w:lang w:val="en-US" w:eastAsia="zh-CN"/>
                    </w:rPr>
                  </w:pPr>
                  <w:r>
                    <w:rPr>
                      <w:rFonts w:hint="eastAsia" w:ascii="宋体" w:hAnsi="宋体" w:eastAsia="宋体" w:cs="宋体"/>
                      <w:b w:val="0"/>
                      <w:color w:val="auto"/>
                      <w:sz w:val="21"/>
                      <w:szCs w:val="21"/>
                      <w:lang w:val="en-US" w:eastAsia="zh-CN"/>
                    </w:rPr>
                    <w:t>一般固废贮存库、</w:t>
                  </w:r>
                  <w:r>
                    <w:rPr>
                      <w:rFonts w:hint="eastAsia" w:ascii="宋体" w:hAnsi="宋体" w:cs="宋体"/>
                      <w:b w:val="0"/>
                      <w:color w:val="auto"/>
                      <w:sz w:val="21"/>
                      <w:szCs w:val="21"/>
                      <w:lang w:val="en-US" w:eastAsia="zh-CN"/>
                    </w:rPr>
                    <w:t>化粪池</w:t>
                  </w:r>
                </w:p>
              </w:tc>
              <w:tc>
                <w:tcPr>
                  <w:tcW w:w="111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82A310">
                  <w:pPr>
                    <w:spacing w:line="276" w:lineRule="auto"/>
                    <w:jc w:val="center"/>
                    <w:rPr>
                      <w:rFonts w:hint="eastAsia" w:ascii="宋体" w:hAnsi="宋体" w:eastAsia="宋体" w:cs="宋体"/>
                      <w:b w:val="0"/>
                      <w:color w:val="auto"/>
                      <w:sz w:val="21"/>
                      <w:szCs w:val="21"/>
                      <w:lang w:val="en-US" w:eastAsia="zh-CN"/>
                    </w:rPr>
                  </w:pPr>
                  <w:r>
                    <w:rPr>
                      <w:rFonts w:hint="eastAsia" w:ascii="宋体" w:hAnsi="宋体" w:eastAsia="宋体" w:cs="宋体"/>
                      <w:b w:val="0"/>
                      <w:color w:val="auto"/>
                      <w:sz w:val="21"/>
                      <w:szCs w:val="21"/>
                      <w:lang w:val="en-US" w:eastAsia="zh-CN"/>
                    </w:rPr>
                    <w:t>一般防渗</w:t>
                  </w:r>
                </w:p>
              </w:tc>
              <w:tc>
                <w:tcPr>
                  <w:tcW w:w="168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7B5617">
                  <w:pPr>
                    <w:spacing w:line="276" w:lineRule="auto"/>
                    <w:jc w:val="center"/>
                    <w:rPr>
                      <w:rFonts w:hint="eastAsia" w:ascii="宋体" w:hAnsi="宋体" w:eastAsia="宋体" w:cs="宋体"/>
                      <w:b w:val="0"/>
                      <w:color w:val="auto"/>
                      <w:sz w:val="21"/>
                      <w:szCs w:val="21"/>
                      <w:lang w:val="en-US" w:eastAsia="zh-CN"/>
                    </w:rPr>
                  </w:pPr>
                  <w:r>
                    <w:rPr>
                      <w:rFonts w:hint="eastAsia" w:ascii="宋体" w:hAnsi="宋体" w:eastAsia="宋体" w:cs="宋体"/>
                      <w:b w:val="0"/>
                      <w:color w:val="auto"/>
                      <w:sz w:val="21"/>
                      <w:szCs w:val="21"/>
                      <w:lang w:val="en-US" w:eastAsia="zh-CN"/>
                    </w:rPr>
                    <w:t>等效黏土防渗层Mb≥1.5m， k≤1×10</w:t>
                  </w:r>
                  <w:r>
                    <w:rPr>
                      <w:rFonts w:hint="eastAsia" w:cs="Times New Roman"/>
                      <w:color w:val="auto"/>
                      <w:sz w:val="21"/>
                      <w:szCs w:val="21"/>
                      <w:vertAlign w:val="superscript"/>
                      <w:lang w:val="en-US" w:eastAsia="zh-CN"/>
                    </w:rPr>
                    <w:t>-</w:t>
                  </w:r>
                  <w:r>
                    <w:rPr>
                      <w:rFonts w:hint="eastAsia" w:ascii="宋体" w:hAnsi="宋体" w:eastAsia="宋体" w:cs="宋体"/>
                      <w:b w:val="0"/>
                      <w:color w:val="auto"/>
                      <w:sz w:val="21"/>
                      <w:szCs w:val="21"/>
                      <w:vertAlign w:val="superscript"/>
                      <w:lang w:val="en-US" w:eastAsia="zh-CN"/>
                    </w:rPr>
                    <w:t>7</w:t>
                  </w:r>
                  <w:r>
                    <w:rPr>
                      <w:rFonts w:hint="eastAsia" w:ascii="宋体" w:hAnsi="宋体" w:eastAsia="宋体" w:cs="宋体"/>
                      <w:b w:val="0"/>
                      <w:color w:val="auto"/>
                      <w:sz w:val="21"/>
                      <w:szCs w:val="21"/>
                      <w:lang w:val="en-US" w:eastAsia="zh-CN"/>
                    </w:rPr>
                    <w:t>cm/s；或参照 GB16889 执行</w:t>
                  </w:r>
                </w:p>
              </w:tc>
            </w:tr>
            <w:tr w14:paraId="5C2FA35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3" w:hRule="atLeast"/>
              </w:trPr>
              <w:tc>
                <w:tcPr>
                  <w:tcW w:w="5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714C2B0">
                  <w:pPr>
                    <w:spacing w:line="276" w:lineRule="auto"/>
                    <w:jc w:val="center"/>
                    <w:rPr>
                      <w:rFonts w:hint="eastAsia" w:ascii="宋体" w:hAnsi="宋体" w:eastAsia="宋体" w:cs="宋体"/>
                      <w:b w:val="0"/>
                      <w:color w:val="auto"/>
                      <w:sz w:val="21"/>
                      <w:szCs w:val="21"/>
                      <w:lang w:val="en-US" w:eastAsia="zh-CN"/>
                    </w:rPr>
                  </w:pPr>
                  <w:r>
                    <w:rPr>
                      <w:rFonts w:hint="eastAsia" w:ascii="宋体" w:hAnsi="宋体" w:eastAsia="宋体" w:cs="宋体"/>
                      <w:b w:val="0"/>
                      <w:color w:val="auto"/>
                      <w:sz w:val="21"/>
                      <w:szCs w:val="21"/>
                      <w:lang w:val="en-US" w:eastAsia="zh-CN"/>
                    </w:rPr>
                    <w:t>3</w:t>
                  </w:r>
                </w:p>
              </w:tc>
              <w:tc>
                <w:tcPr>
                  <w:tcW w:w="164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ED32CE">
                  <w:pPr>
                    <w:spacing w:line="276" w:lineRule="auto"/>
                    <w:jc w:val="center"/>
                    <w:rPr>
                      <w:rFonts w:hint="eastAsia" w:ascii="宋体" w:hAnsi="宋体" w:eastAsia="宋体" w:cs="宋体"/>
                      <w:b w:val="0"/>
                      <w:color w:val="auto"/>
                      <w:sz w:val="21"/>
                      <w:szCs w:val="21"/>
                      <w:lang w:val="en-US" w:eastAsia="zh-CN"/>
                    </w:rPr>
                  </w:pPr>
                  <w:r>
                    <w:rPr>
                      <w:rFonts w:hint="eastAsia" w:ascii="宋体" w:hAnsi="宋体" w:cs="宋体"/>
                      <w:b w:val="0"/>
                      <w:color w:val="auto"/>
                      <w:sz w:val="21"/>
                      <w:szCs w:val="21"/>
                      <w:lang w:val="en-US" w:eastAsia="zh-CN"/>
                    </w:rPr>
                    <w:t>总装</w:t>
                  </w:r>
                  <w:r>
                    <w:rPr>
                      <w:rFonts w:hint="eastAsia" w:ascii="宋体" w:hAnsi="宋体" w:eastAsia="宋体" w:cs="宋体"/>
                      <w:color w:val="auto"/>
                      <w:sz w:val="21"/>
                      <w:szCs w:val="21"/>
                      <w:lang w:val="en-US" w:eastAsia="zh-CN"/>
                    </w:rPr>
                    <w:t>车间、</w:t>
                  </w:r>
                  <w:r>
                    <w:rPr>
                      <w:rFonts w:hint="eastAsia" w:ascii="宋体" w:hAnsi="宋体" w:eastAsia="宋体" w:cs="宋体"/>
                      <w:b w:val="0"/>
                      <w:color w:val="auto"/>
                      <w:sz w:val="21"/>
                      <w:szCs w:val="21"/>
                      <w:lang w:val="en-US" w:eastAsia="zh-CN"/>
                    </w:rPr>
                    <w:t>厂区道路等</w:t>
                  </w:r>
                </w:p>
              </w:tc>
              <w:tc>
                <w:tcPr>
                  <w:tcW w:w="111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596ABD8">
                  <w:pPr>
                    <w:spacing w:line="276" w:lineRule="auto"/>
                    <w:jc w:val="center"/>
                    <w:rPr>
                      <w:rFonts w:hint="eastAsia" w:ascii="宋体" w:hAnsi="宋体" w:eastAsia="宋体" w:cs="宋体"/>
                      <w:b w:val="0"/>
                      <w:color w:val="auto"/>
                      <w:sz w:val="21"/>
                      <w:szCs w:val="21"/>
                      <w:lang w:val="en-US" w:eastAsia="zh-CN"/>
                    </w:rPr>
                  </w:pPr>
                  <w:r>
                    <w:rPr>
                      <w:rFonts w:hint="eastAsia" w:ascii="宋体" w:hAnsi="宋体" w:eastAsia="宋体" w:cs="宋体"/>
                      <w:b w:val="0"/>
                      <w:color w:val="auto"/>
                      <w:sz w:val="21"/>
                      <w:szCs w:val="21"/>
                      <w:lang w:val="en-US" w:eastAsia="zh-CN"/>
                    </w:rPr>
                    <w:t>简单防渗</w:t>
                  </w:r>
                </w:p>
              </w:tc>
              <w:tc>
                <w:tcPr>
                  <w:tcW w:w="168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821E51">
                  <w:pPr>
                    <w:spacing w:line="276" w:lineRule="auto"/>
                    <w:jc w:val="center"/>
                    <w:rPr>
                      <w:rFonts w:hint="eastAsia" w:ascii="宋体" w:hAnsi="宋体" w:eastAsia="宋体" w:cs="宋体"/>
                      <w:b w:val="0"/>
                      <w:color w:val="auto"/>
                      <w:sz w:val="21"/>
                      <w:szCs w:val="21"/>
                      <w:lang w:val="en-US" w:eastAsia="zh-CN"/>
                    </w:rPr>
                  </w:pPr>
                  <w:r>
                    <w:rPr>
                      <w:rFonts w:hint="eastAsia" w:ascii="宋体" w:hAnsi="宋体" w:eastAsia="宋体" w:cs="宋体"/>
                      <w:b w:val="0"/>
                      <w:color w:val="auto"/>
                      <w:sz w:val="21"/>
                      <w:szCs w:val="21"/>
                      <w:lang w:val="en-US" w:eastAsia="zh-CN"/>
                    </w:rPr>
                    <w:t>一般地面硬化</w:t>
                  </w:r>
                </w:p>
              </w:tc>
            </w:tr>
          </w:tbl>
          <w:p w14:paraId="4274AEDD">
            <w:pPr>
              <w:pStyle w:val="12"/>
              <w:keepNext w:val="0"/>
              <w:keepLines w:val="0"/>
              <w:pageBreakBefore w:val="0"/>
              <w:widowControl w:val="0"/>
              <w:kinsoku/>
              <w:wordWrap/>
              <w:overflowPunct/>
              <w:topLinePunct w:val="0"/>
              <w:autoSpaceDE/>
              <w:autoSpaceDN/>
              <w:bidi w:val="0"/>
              <w:adjustRightInd/>
              <w:snapToGrid/>
              <w:spacing w:before="0" w:after="0" w:line="360" w:lineRule="auto"/>
              <w:ind w:left="0" w:right="0" w:firstLine="442" w:firstLineChars="200"/>
              <w:jc w:val="both"/>
              <w:textAlignment w:val="auto"/>
              <w:outlineLvl w:val="9"/>
              <w:rPr>
                <w:rFonts w:hint="default" w:ascii="Times New Roman" w:hAnsi="Times New Roman" w:eastAsia="宋体" w:cs="Times New Roman"/>
                <w:b/>
                <w:bCs/>
                <w:color w:val="auto"/>
                <w:sz w:val="22"/>
                <w:szCs w:val="22"/>
                <w:lang w:val="en-US" w:eastAsia="zh-CN"/>
              </w:rPr>
            </w:pPr>
          </w:p>
          <w:p w14:paraId="47873372">
            <w:pPr>
              <w:pStyle w:val="12"/>
              <w:keepNext w:val="0"/>
              <w:keepLines w:val="0"/>
              <w:pageBreakBefore w:val="0"/>
              <w:widowControl w:val="0"/>
              <w:kinsoku/>
              <w:wordWrap/>
              <w:overflowPunct/>
              <w:topLinePunct w:val="0"/>
              <w:autoSpaceDE/>
              <w:autoSpaceDN/>
              <w:bidi w:val="0"/>
              <w:adjustRightInd/>
              <w:snapToGrid/>
              <w:spacing w:before="0" w:after="0" w:line="360" w:lineRule="auto"/>
              <w:ind w:left="0" w:right="0" w:firstLine="422" w:firstLineChars="200"/>
              <w:jc w:val="both"/>
              <w:textAlignment w:val="auto"/>
              <w:outlineLvl w:val="9"/>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（2）管理要求</w:t>
            </w:r>
          </w:p>
          <w:p w14:paraId="27F2F4E6">
            <w:pPr>
              <w:pStyle w:val="12"/>
              <w:keepNext w:val="0"/>
              <w:keepLines w:val="0"/>
              <w:pageBreakBefore w:val="0"/>
              <w:widowControl w:val="0"/>
              <w:kinsoku/>
              <w:wordWrap/>
              <w:overflowPunct/>
              <w:topLinePunct w:val="0"/>
              <w:autoSpaceDE/>
              <w:autoSpaceDN/>
              <w:bidi w:val="0"/>
              <w:adjustRightInd/>
              <w:snapToGrid/>
              <w:spacing w:before="0" w:after="0" w:line="360" w:lineRule="auto"/>
              <w:ind w:left="0" w:right="0" w:firstLine="420" w:firstLineChars="200"/>
              <w:jc w:val="both"/>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加强本项目重点防渗区的检查工作，避免储存和生产过程中产生的跑、冒、滴、漏现象发生。</w:t>
            </w:r>
          </w:p>
          <w:p w14:paraId="038FA04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bCs/>
                <w:color w:val="auto"/>
                <w:lang w:val="en-US" w:eastAsia="zh-CN"/>
              </w:rPr>
            </w:pPr>
            <w:r>
              <w:rPr>
                <w:rFonts w:hint="eastAsia"/>
                <w:b/>
                <w:bCs/>
                <w:color w:val="auto"/>
                <w:lang w:val="en-US" w:eastAsia="zh-CN"/>
              </w:rPr>
              <w:t>6、环境风险</w:t>
            </w:r>
          </w:p>
          <w:p w14:paraId="5E60A0E3">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b/>
                <w:bCs/>
                <w:color w:val="auto"/>
                <w:lang w:val="en-US" w:eastAsia="zh-CN"/>
              </w:rPr>
            </w:pPr>
            <w:r>
              <w:rPr>
                <w:rFonts w:hint="eastAsia"/>
                <w:b/>
                <w:bCs/>
                <w:color w:val="auto"/>
                <w:lang w:val="en-US" w:eastAsia="zh-CN"/>
              </w:rPr>
              <w:t>6.1、物质风险识别</w:t>
            </w:r>
          </w:p>
          <w:p w14:paraId="7703CE93">
            <w:pPr>
              <w:pStyle w:val="12"/>
              <w:widowControl w:val="0"/>
              <w:snapToGrid/>
              <w:spacing w:after="0" w:line="360" w:lineRule="auto"/>
              <w:ind w:right="0" w:firstLine="420" w:firstLineChars="200"/>
              <w:rPr>
                <w:rFonts w:hint="eastAsia" w:ascii="宋体" w:hAnsi="宋体" w:cs="宋体"/>
                <w:color w:val="auto"/>
                <w:sz w:val="21"/>
                <w:szCs w:val="21"/>
              </w:rPr>
            </w:pPr>
            <w:r>
              <w:rPr>
                <w:rFonts w:hint="eastAsia" w:ascii="宋体" w:hAnsi="宋体" w:cs="宋体"/>
                <w:color w:val="auto"/>
                <w:sz w:val="21"/>
                <w:szCs w:val="21"/>
              </w:rPr>
              <w:t>本项目所涉及的原辅材料中</w:t>
            </w:r>
          </w:p>
          <w:p w14:paraId="6F684627">
            <w:pPr>
              <w:pStyle w:val="12"/>
              <w:widowControl w:val="0"/>
              <w:snapToGrid/>
              <w:spacing w:after="0" w:line="360" w:lineRule="auto"/>
              <w:ind w:right="0" w:firstLine="420" w:firstLineChars="200"/>
              <w:rPr>
                <w:rFonts w:ascii="宋体" w:hAnsi="宋体" w:cs="宋体"/>
                <w:color w:val="auto"/>
                <w:sz w:val="21"/>
                <w:szCs w:val="21"/>
              </w:rPr>
            </w:pPr>
            <w:r>
              <w:rPr>
                <w:rFonts w:hint="eastAsia" w:ascii="宋体" w:hAnsi="宋体" w:cs="宋体"/>
                <w:color w:val="auto"/>
                <w:sz w:val="21"/>
                <w:szCs w:val="21"/>
              </w:rPr>
              <w:t>根据《建设项目环境风险评价技术导则》（HJ169－2018）附录B和《企业突发环境事件风险分级方法》（HJ 941-2018）对本项目涉及各类原辅材料进行辨识。</w:t>
            </w:r>
          </w:p>
          <w:p w14:paraId="4F19694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color w:val="auto"/>
                <w:lang w:val="en-US" w:eastAsia="zh-CN"/>
              </w:rPr>
            </w:pPr>
            <w:r>
              <w:rPr>
                <w:rFonts w:hint="eastAsia" w:ascii="宋体" w:hAnsi="宋体" w:cs="宋体"/>
                <w:color w:val="auto"/>
                <w:sz w:val="21"/>
                <w:szCs w:val="21"/>
              </w:rPr>
              <w:t>辨识结果表明，本项目所涉及的原辅材料中被列为需重点关注的突发环境事件风险危险物质主要为</w:t>
            </w:r>
            <w:r>
              <w:rPr>
                <w:rFonts w:hint="eastAsia" w:ascii="宋体" w:hAnsi="宋体" w:eastAsia="宋体" w:cs="宋体"/>
                <w:color w:val="auto"/>
              </w:rPr>
              <w:t>：</w:t>
            </w:r>
            <w:r>
              <w:rPr>
                <w:rFonts w:hint="eastAsia" w:ascii="宋体" w:hAnsi="宋体" w:cs="宋体"/>
                <w:color w:val="auto"/>
                <w:lang w:val="en-US" w:eastAsia="zh-CN"/>
              </w:rPr>
              <w:t>废</w:t>
            </w:r>
            <w:r>
              <w:rPr>
                <w:rFonts w:hint="eastAsia" w:ascii="宋体" w:hAnsi="宋体" w:eastAsia="宋体" w:cs="宋体"/>
                <w:color w:val="auto"/>
                <w:lang w:val="en-US" w:eastAsia="zh-CN"/>
              </w:rPr>
              <w:t>机油、</w:t>
            </w:r>
            <w:r>
              <w:rPr>
                <w:rFonts w:hint="eastAsia" w:ascii="宋体" w:hAnsi="宋体" w:cs="宋体"/>
                <w:color w:val="auto"/>
                <w:lang w:val="en-US" w:eastAsia="zh-CN"/>
              </w:rPr>
              <w:t>废铅酸电池及组装配件中轮胎及塑料件</w:t>
            </w:r>
            <w:r>
              <w:rPr>
                <w:rFonts w:hint="eastAsia" w:ascii="宋体" w:hAnsi="宋体" w:eastAsia="宋体" w:cs="宋体"/>
                <w:color w:val="auto"/>
                <w:lang w:val="en-US" w:eastAsia="zh-CN"/>
              </w:rPr>
              <w:t>等</w:t>
            </w:r>
            <w:r>
              <w:rPr>
                <w:rFonts w:hint="eastAsia" w:ascii="宋体" w:hAnsi="宋体" w:eastAsia="宋体" w:cs="宋体"/>
                <w:color w:val="auto"/>
              </w:rPr>
              <w:t>。</w:t>
            </w:r>
            <w:r>
              <w:rPr>
                <w:rFonts w:hint="eastAsia" w:ascii="宋体" w:hAnsi="宋体" w:cs="宋体"/>
                <w:color w:val="auto"/>
                <w:lang w:val="en-US" w:eastAsia="zh-CN"/>
              </w:rPr>
              <w:t>本项目机油及铅酸电池即买即用，不储存，仅设备维护保养时产生的废机油、废铅酸电池贮存于危废贮存库中。</w:t>
            </w:r>
          </w:p>
          <w:p w14:paraId="27A1B680">
            <w:pPr>
              <w:pStyle w:val="12"/>
              <w:widowControl w:val="0"/>
              <w:snapToGrid/>
              <w:spacing w:after="0" w:line="360" w:lineRule="auto"/>
              <w:ind w:right="0" w:firstLine="420" w:firstLineChars="200"/>
              <w:rPr>
                <w:rFonts w:ascii="宋体" w:hAnsi="宋体" w:cs="宋体"/>
                <w:color w:val="auto"/>
                <w:sz w:val="21"/>
                <w:szCs w:val="21"/>
              </w:rPr>
            </w:pPr>
            <w:r>
              <w:rPr>
                <w:rFonts w:ascii="宋体" w:hAnsi="宋体" w:cs="宋体"/>
                <w:color w:val="auto"/>
                <w:sz w:val="21"/>
                <w:szCs w:val="21"/>
              </w:rPr>
              <w:t>本项目风险</w:t>
            </w:r>
            <w:r>
              <w:rPr>
                <w:rFonts w:hint="eastAsia" w:ascii="宋体" w:hAnsi="宋体" w:cs="宋体"/>
                <w:color w:val="auto"/>
                <w:sz w:val="21"/>
                <w:szCs w:val="21"/>
              </w:rPr>
              <w:t>物质</w:t>
            </w:r>
            <w:r>
              <w:rPr>
                <w:rFonts w:ascii="宋体" w:hAnsi="宋体" w:cs="宋体"/>
                <w:color w:val="auto"/>
                <w:sz w:val="21"/>
                <w:szCs w:val="21"/>
              </w:rPr>
              <w:t>的</w:t>
            </w:r>
            <w:r>
              <w:rPr>
                <w:rFonts w:hint="eastAsia" w:ascii="宋体" w:hAnsi="宋体" w:cs="宋体"/>
                <w:color w:val="auto"/>
                <w:sz w:val="21"/>
                <w:szCs w:val="21"/>
              </w:rPr>
              <w:t>使用量、储存量及分布情况见下表。</w:t>
            </w:r>
          </w:p>
          <w:p w14:paraId="2C41D02D">
            <w:pPr>
              <w:snapToGrid w:val="0"/>
              <w:spacing w:before="120" w:beforeLines="50"/>
              <w:jc w:val="center"/>
              <w:rPr>
                <w:rFonts w:hint="default"/>
                <w:b/>
                <w:color w:val="auto"/>
                <w:sz w:val="21"/>
                <w:szCs w:val="21"/>
              </w:rPr>
            </w:pPr>
            <w:r>
              <w:rPr>
                <w:rFonts w:hint="default"/>
                <w:b/>
                <w:color w:val="auto"/>
                <w:sz w:val="21"/>
                <w:szCs w:val="21"/>
              </w:rPr>
              <w:t>表</w:t>
            </w:r>
            <w:r>
              <w:rPr>
                <w:rFonts w:hint="eastAsia"/>
                <w:b/>
                <w:color w:val="auto"/>
                <w:sz w:val="21"/>
                <w:szCs w:val="21"/>
              </w:rPr>
              <w:t>4</w:t>
            </w:r>
            <w:r>
              <w:rPr>
                <w:rFonts w:hint="default"/>
                <w:b/>
                <w:color w:val="auto"/>
                <w:sz w:val="21"/>
                <w:szCs w:val="21"/>
              </w:rPr>
              <w:t>-</w:t>
            </w:r>
            <w:r>
              <w:rPr>
                <w:rFonts w:hint="eastAsia"/>
                <w:b/>
                <w:color w:val="auto"/>
                <w:sz w:val="21"/>
                <w:szCs w:val="21"/>
                <w:lang w:val="en-US" w:eastAsia="zh-CN"/>
              </w:rPr>
              <w:t>14</w:t>
            </w:r>
            <w:r>
              <w:rPr>
                <w:rFonts w:hint="default"/>
                <w:b/>
                <w:color w:val="auto"/>
                <w:sz w:val="21"/>
                <w:szCs w:val="21"/>
              </w:rPr>
              <w:t xml:space="preserve">  风险物质储存</w:t>
            </w:r>
            <w:r>
              <w:rPr>
                <w:rFonts w:hint="eastAsia"/>
                <w:b/>
                <w:color w:val="auto"/>
                <w:sz w:val="21"/>
                <w:szCs w:val="21"/>
              </w:rPr>
              <w:t>情况</w:t>
            </w:r>
            <w:r>
              <w:rPr>
                <w:rFonts w:hint="default"/>
                <w:b/>
                <w:color w:val="auto"/>
                <w:sz w:val="21"/>
                <w:szCs w:val="21"/>
              </w:rPr>
              <w:t>表</w:t>
            </w:r>
          </w:p>
          <w:tbl>
            <w:tblPr>
              <w:tblStyle w:val="30"/>
              <w:tblW w:w="848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710"/>
              <w:gridCol w:w="1642"/>
              <w:gridCol w:w="1155"/>
              <w:gridCol w:w="951"/>
              <w:gridCol w:w="1514"/>
              <w:gridCol w:w="1514"/>
            </w:tblGrid>
            <w:tr w14:paraId="5A1165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710" w:type="dxa"/>
                  <w:tcBorders>
                    <w:left w:val="nil"/>
                  </w:tcBorders>
                  <w:noWrap w:val="0"/>
                  <w:vAlign w:val="center"/>
                </w:tcPr>
                <w:p w14:paraId="67D18978">
                  <w:pPr>
                    <w:widowControl/>
                    <w:adjustRightInd w:val="0"/>
                    <w:snapToGrid w:val="0"/>
                    <w:ind w:left="-63" w:leftChars="-30" w:right="-63" w:rightChars="-30"/>
                    <w:jc w:val="center"/>
                    <w:rPr>
                      <w:color w:val="auto"/>
                      <w:sz w:val="18"/>
                      <w:szCs w:val="18"/>
                    </w:rPr>
                  </w:pPr>
                  <w:r>
                    <w:rPr>
                      <w:rFonts w:hint="eastAsia"/>
                      <w:color w:val="auto"/>
                      <w:sz w:val="18"/>
                      <w:szCs w:val="18"/>
                    </w:rPr>
                    <w:t>物料名称</w:t>
                  </w:r>
                </w:p>
              </w:tc>
              <w:tc>
                <w:tcPr>
                  <w:tcW w:w="1642" w:type="dxa"/>
                  <w:noWrap w:val="0"/>
                  <w:vAlign w:val="center"/>
                </w:tcPr>
                <w:p w14:paraId="0B5F1BCD">
                  <w:pPr>
                    <w:widowControl/>
                    <w:adjustRightInd w:val="0"/>
                    <w:snapToGrid w:val="0"/>
                    <w:ind w:left="-63" w:leftChars="-30" w:right="-63" w:rightChars="-30"/>
                    <w:jc w:val="center"/>
                    <w:rPr>
                      <w:color w:val="auto"/>
                      <w:sz w:val="18"/>
                      <w:szCs w:val="18"/>
                    </w:rPr>
                  </w:pPr>
                  <w:r>
                    <w:rPr>
                      <w:rFonts w:hint="eastAsia"/>
                      <w:color w:val="auto"/>
                      <w:sz w:val="18"/>
                      <w:szCs w:val="18"/>
                    </w:rPr>
                    <w:t>危险物质</w:t>
                  </w:r>
                </w:p>
              </w:tc>
              <w:tc>
                <w:tcPr>
                  <w:tcW w:w="1155" w:type="dxa"/>
                  <w:noWrap w:val="0"/>
                  <w:vAlign w:val="center"/>
                </w:tcPr>
                <w:p w14:paraId="65B28F35">
                  <w:pPr>
                    <w:widowControl/>
                    <w:adjustRightInd w:val="0"/>
                    <w:snapToGrid w:val="0"/>
                    <w:ind w:left="-63" w:leftChars="-30" w:right="-63" w:rightChars="-30"/>
                    <w:jc w:val="center"/>
                    <w:rPr>
                      <w:color w:val="auto"/>
                      <w:sz w:val="18"/>
                      <w:szCs w:val="18"/>
                      <w:lang w:eastAsia="zh-TW"/>
                    </w:rPr>
                  </w:pPr>
                  <w:r>
                    <w:rPr>
                      <w:color w:val="auto"/>
                      <w:sz w:val="18"/>
                      <w:szCs w:val="18"/>
                      <w:lang w:eastAsia="zh-TW"/>
                    </w:rPr>
                    <w:t>存放地点</w:t>
                  </w:r>
                </w:p>
              </w:tc>
              <w:tc>
                <w:tcPr>
                  <w:tcW w:w="951" w:type="dxa"/>
                  <w:noWrap w:val="0"/>
                  <w:vAlign w:val="center"/>
                </w:tcPr>
                <w:p w14:paraId="71D48055">
                  <w:pPr>
                    <w:widowControl/>
                    <w:adjustRightInd w:val="0"/>
                    <w:snapToGrid w:val="0"/>
                    <w:ind w:left="-63" w:leftChars="-30" w:right="-63" w:rightChars="-30"/>
                    <w:jc w:val="center"/>
                    <w:rPr>
                      <w:color w:val="auto"/>
                      <w:sz w:val="18"/>
                      <w:szCs w:val="18"/>
                      <w:lang w:eastAsia="zh-TW"/>
                    </w:rPr>
                  </w:pPr>
                  <w:r>
                    <w:rPr>
                      <w:color w:val="auto"/>
                      <w:sz w:val="18"/>
                      <w:szCs w:val="18"/>
                      <w:lang w:eastAsia="zh-TW"/>
                    </w:rPr>
                    <w:t>特性</w:t>
                  </w:r>
                </w:p>
              </w:tc>
              <w:tc>
                <w:tcPr>
                  <w:tcW w:w="1514" w:type="dxa"/>
                  <w:noWrap w:val="0"/>
                  <w:vAlign w:val="center"/>
                </w:tcPr>
                <w:p w14:paraId="5DD467BE">
                  <w:pPr>
                    <w:widowControl/>
                    <w:adjustRightInd w:val="0"/>
                    <w:snapToGrid w:val="0"/>
                    <w:ind w:left="-63" w:leftChars="-30" w:right="-63" w:rightChars="-30"/>
                    <w:jc w:val="center"/>
                    <w:rPr>
                      <w:color w:val="auto"/>
                      <w:sz w:val="18"/>
                      <w:szCs w:val="18"/>
                      <w:lang w:eastAsia="zh-TW"/>
                    </w:rPr>
                  </w:pPr>
                  <w:r>
                    <w:rPr>
                      <w:color w:val="auto"/>
                      <w:sz w:val="18"/>
                      <w:szCs w:val="18"/>
                      <w:lang w:eastAsia="zh-TW"/>
                    </w:rPr>
                    <w:t>最大储存量t</w:t>
                  </w:r>
                </w:p>
              </w:tc>
              <w:tc>
                <w:tcPr>
                  <w:tcW w:w="1514" w:type="dxa"/>
                  <w:noWrap w:val="0"/>
                  <w:vAlign w:val="center"/>
                </w:tcPr>
                <w:p w14:paraId="41DADE2F">
                  <w:pPr>
                    <w:widowControl/>
                    <w:adjustRightInd w:val="0"/>
                    <w:snapToGrid w:val="0"/>
                    <w:ind w:left="-63" w:leftChars="-30" w:right="-63" w:rightChars="-30"/>
                    <w:jc w:val="center"/>
                    <w:rPr>
                      <w:color w:val="auto"/>
                      <w:sz w:val="18"/>
                      <w:szCs w:val="18"/>
                      <w:lang w:eastAsia="zh-TW"/>
                    </w:rPr>
                  </w:pPr>
                  <w:r>
                    <w:rPr>
                      <w:color w:val="auto"/>
                      <w:sz w:val="18"/>
                      <w:szCs w:val="18"/>
                    </w:rPr>
                    <w:t>危险性</w:t>
                  </w:r>
                </w:p>
              </w:tc>
            </w:tr>
            <w:tr w14:paraId="5C9C2B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710" w:type="dxa"/>
                  <w:tcBorders>
                    <w:left w:val="nil"/>
                  </w:tcBorders>
                  <w:noWrap w:val="0"/>
                  <w:vAlign w:val="center"/>
                </w:tcPr>
                <w:p w14:paraId="4C04C6CE">
                  <w:pPr>
                    <w:widowControl/>
                    <w:adjustRightInd w:val="0"/>
                    <w:snapToGrid w:val="0"/>
                    <w:ind w:left="-63" w:leftChars="-30" w:right="-63" w:rightChars="-30"/>
                    <w:jc w:val="center"/>
                    <w:rPr>
                      <w:rFonts w:hint="default" w:eastAsia="宋体"/>
                      <w:color w:val="auto"/>
                      <w:sz w:val="18"/>
                      <w:szCs w:val="18"/>
                      <w:lang w:val="en-US" w:eastAsia="zh-CN"/>
                    </w:rPr>
                  </w:pPr>
                  <w:r>
                    <w:rPr>
                      <w:rFonts w:hint="eastAsia"/>
                      <w:color w:val="auto"/>
                      <w:sz w:val="18"/>
                      <w:szCs w:val="18"/>
                      <w:lang w:val="en-US" w:eastAsia="zh-CN"/>
                    </w:rPr>
                    <w:t>组装塑料件及轮胎</w:t>
                  </w:r>
                </w:p>
              </w:tc>
              <w:tc>
                <w:tcPr>
                  <w:tcW w:w="1642" w:type="dxa"/>
                  <w:noWrap w:val="0"/>
                  <w:vAlign w:val="center"/>
                </w:tcPr>
                <w:p w14:paraId="4F933900">
                  <w:pPr>
                    <w:widowControl/>
                    <w:adjustRightInd w:val="0"/>
                    <w:snapToGrid w:val="0"/>
                    <w:ind w:left="-63" w:leftChars="-30" w:right="-63" w:rightChars="-30"/>
                    <w:jc w:val="center"/>
                    <w:rPr>
                      <w:rFonts w:hint="default" w:eastAsia="宋体"/>
                      <w:color w:val="auto"/>
                      <w:sz w:val="18"/>
                      <w:szCs w:val="18"/>
                      <w:lang w:val="en-US" w:eastAsia="zh-CN"/>
                    </w:rPr>
                  </w:pPr>
                  <w:r>
                    <w:rPr>
                      <w:rFonts w:hint="eastAsia"/>
                      <w:color w:val="auto"/>
                      <w:sz w:val="18"/>
                      <w:szCs w:val="18"/>
                      <w:lang w:val="en-US" w:eastAsia="zh-CN"/>
                    </w:rPr>
                    <w:t>矿物质油</w:t>
                  </w:r>
                </w:p>
              </w:tc>
              <w:tc>
                <w:tcPr>
                  <w:tcW w:w="1155" w:type="dxa"/>
                  <w:noWrap w:val="0"/>
                  <w:vAlign w:val="center"/>
                </w:tcPr>
                <w:p w14:paraId="5ED1C3B4">
                  <w:pPr>
                    <w:widowControl/>
                    <w:adjustRightInd w:val="0"/>
                    <w:snapToGrid w:val="0"/>
                    <w:ind w:left="-63" w:leftChars="-30" w:right="-63" w:rightChars="-30"/>
                    <w:jc w:val="center"/>
                    <w:rPr>
                      <w:rFonts w:hint="default" w:eastAsia="宋体"/>
                      <w:color w:val="auto"/>
                      <w:sz w:val="18"/>
                      <w:szCs w:val="18"/>
                      <w:lang w:val="en-US" w:eastAsia="zh-CN"/>
                    </w:rPr>
                  </w:pPr>
                  <w:r>
                    <w:rPr>
                      <w:rFonts w:hint="eastAsia"/>
                      <w:color w:val="auto"/>
                      <w:sz w:val="18"/>
                      <w:szCs w:val="18"/>
                      <w:lang w:val="en-US" w:eastAsia="zh-CN"/>
                    </w:rPr>
                    <w:t>配件库房</w:t>
                  </w:r>
                </w:p>
              </w:tc>
              <w:tc>
                <w:tcPr>
                  <w:tcW w:w="951" w:type="dxa"/>
                  <w:noWrap w:val="0"/>
                  <w:vAlign w:val="center"/>
                </w:tcPr>
                <w:p w14:paraId="35F576A5">
                  <w:pPr>
                    <w:widowControl/>
                    <w:adjustRightInd w:val="0"/>
                    <w:snapToGrid w:val="0"/>
                    <w:ind w:left="-63" w:leftChars="-30" w:right="-63" w:rightChars="-30"/>
                    <w:jc w:val="center"/>
                    <w:rPr>
                      <w:rFonts w:hint="eastAsia" w:eastAsia="宋体"/>
                      <w:color w:val="auto"/>
                      <w:sz w:val="18"/>
                      <w:szCs w:val="18"/>
                      <w:lang w:eastAsia="zh-CN"/>
                    </w:rPr>
                  </w:pPr>
                  <w:r>
                    <w:rPr>
                      <w:rFonts w:hint="eastAsia"/>
                      <w:color w:val="auto"/>
                      <w:sz w:val="18"/>
                      <w:szCs w:val="18"/>
                      <w:lang w:val="en-US" w:eastAsia="zh-CN"/>
                    </w:rPr>
                    <w:t>固体</w:t>
                  </w:r>
                </w:p>
              </w:tc>
              <w:tc>
                <w:tcPr>
                  <w:tcW w:w="1514" w:type="dxa"/>
                  <w:noWrap w:val="0"/>
                  <w:vAlign w:val="center"/>
                </w:tcPr>
                <w:p w14:paraId="4121D090">
                  <w:pPr>
                    <w:widowControl/>
                    <w:adjustRightInd w:val="0"/>
                    <w:snapToGrid w:val="0"/>
                    <w:ind w:left="-63" w:leftChars="-30" w:right="-63" w:rightChars="-30"/>
                    <w:jc w:val="center"/>
                    <w:rPr>
                      <w:rFonts w:hint="default" w:eastAsia="宋体"/>
                      <w:color w:val="auto"/>
                      <w:sz w:val="18"/>
                      <w:szCs w:val="18"/>
                      <w:lang w:val="en-US" w:eastAsia="zh-CN"/>
                    </w:rPr>
                  </w:pPr>
                  <w:r>
                    <w:rPr>
                      <w:rFonts w:hint="eastAsia"/>
                      <w:color w:val="auto"/>
                      <w:sz w:val="18"/>
                      <w:szCs w:val="18"/>
                      <w:lang w:val="en-US" w:eastAsia="zh-CN"/>
                    </w:rPr>
                    <w:t>2</w:t>
                  </w:r>
                </w:p>
              </w:tc>
              <w:tc>
                <w:tcPr>
                  <w:tcW w:w="1514" w:type="dxa"/>
                  <w:noWrap w:val="0"/>
                  <w:vAlign w:val="center"/>
                </w:tcPr>
                <w:p w14:paraId="18E365BC">
                  <w:pPr>
                    <w:widowControl/>
                    <w:adjustRightInd w:val="0"/>
                    <w:snapToGrid w:val="0"/>
                    <w:ind w:left="-63" w:leftChars="-30" w:right="-63" w:rightChars="-30"/>
                    <w:jc w:val="center"/>
                    <w:rPr>
                      <w:color w:val="auto"/>
                      <w:sz w:val="18"/>
                      <w:szCs w:val="18"/>
                    </w:rPr>
                  </w:pPr>
                  <w:r>
                    <w:rPr>
                      <w:rFonts w:hint="eastAsia"/>
                      <w:color w:val="auto"/>
                      <w:sz w:val="18"/>
                      <w:szCs w:val="18"/>
                    </w:rPr>
                    <w:t>易燃</w:t>
                  </w:r>
                </w:p>
              </w:tc>
            </w:tr>
            <w:tr w14:paraId="11676F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710" w:type="dxa"/>
                  <w:tcBorders>
                    <w:left w:val="nil"/>
                  </w:tcBorders>
                  <w:noWrap w:val="0"/>
                  <w:vAlign w:val="center"/>
                </w:tcPr>
                <w:p w14:paraId="3C1CB2F1">
                  <w:pPr>
                    <w:widowControl/>
                    <w:adjustRightInd w:val="0"/>
                    <w:snapToGrid w:val="0"/>
                    <w:ind w:left="-63" w:leftChars="-30" w:right="-63" w:rightChars="-30"/>
                    <w:jc w:val="center"/>
                    <w:rPr>
                      <w:rFonts w:hint="eastAsia" w:eastAsia="宋体"/>
                      <w:color w:val="auto"/>
                      <w:sz w:val="18"/>
                      <w:szCs w:val="18"/>
                      <w:lang w:eastAsia="zh-CN"/>
                    </w:rPr>
                  </w:pPr>
                  <w:r>
                    <w:rPr>
                      <w:rFonts w:hint="eastAsia"/>
                      <w:color w:val="auto"/>
                      <w:sz w:val="18"/>
                      <w:szCs w:val="18"/>
                      <w:lang w:val="en-US" w:eastAsia="zh-CN"/>
                    </w:rPr>
                    <w:t>废机油</w:t>
                  </w:r>
                </w:p>
              </w:tc>
              <w:tc>
                <w:tcPr>
                  <w:tcW w:w="1642" w:type="dxa"/>
                  <w:noWrap w:val="0"/>
                  <w:vAlign w:val="center"/>
                </w:tcPr>
                <w:p w14:paraId="79980A3F">
                  <w:pPr>
                    <w:widowControl/>
                    <w:adjustRightInd w:val="0"/>
                    <w:snapToGrid w:val="0"/>
                    <w:ind w:left="-63" w:leftChars="-30" w:right="-63" w:rightChars="-30"/>
                    <w:jc w:val="center"/>
                    <w:rPr>
                      <w:rFonts w:hint="default" w:eastAsia="宋体"/>
                      <w:color w:val="auto"/>
                      <w:sz w:val="18"/>
                      <w:szCs w:val="18"/>
                      <w:lang w:val="en-US" w:eastAsia="zh-CN"/>
                    </w:rPr>
                  </w:pPr>
                  <w:r>
                    <w:rPr>
                      <w:rFonts w:hint="eastAsia"/>
                      <w:color w:val="auto"/>
                      <w:sz w:val="18"/>
                      <w:szCs w:val="18"/>
                      <w:lang w:val="en-US" w:eastAsia="zh-CN"/>
                    </w:rPr>
                    <w:t>矿物质油</w:t>
                  </w:r>
                </w:p>
              </w:tc>
              <w:tc>
                <w:tcPr>
                  <w:tcW w:w="1155" w:type="dxa"/>
                  <w:vMerge w:val="restart"/>
                  <w:noWrap w:val="0"/>
                  <w:vAlign w:val="center"/>
                </w:tcPr>
                <w:p w14:paraId="429A583A">
                  <w:pPr>
                    <w:widowControl/>
                    <w:adjustRightInd w:val="0"/>
                    <w:snapToGrid w:val="0"/>
                    <w:ind w:left="-63" w:leftChars="-30" w:right="-63" w:rightChars="-30"/>
                    <w:jc w:val="center"/>
                    <w:rPr>
                      <w:rFonts w:hint="default" w:eastAsia="宋体"/>
                      <w:color w:val="auto"/>
                      <w:sz w:val="18"/>
                      <w:szCs w:val="18"/>
                      <w:lang w:val="en-US" w:eastAsia="zh-CN"/>
                    </w:rPr>
                  </w:pPr>
                  <w:r>
                    <w:rPr>
                      <w:rFonts w:hint="eastAsia"/>
                      <w:color w:val="auto"/>
                      <w:sz w:val="18"/>
                      <w:szCs w:val="18"/>
                      <w:lang w:val="en-US" w:eastAsia="zh-CN"/>
                    </w:rPr>
                    <w:t>危废贮存库</w:t>
                  </w:r>
                </w:p>
              </w:tc>
              <w:tc>
                <w:tcPr>
                  <w:tcW w:w="951" w:type="dxa"/>
                  <w:vMerge w:val="restart"/>
                  <w:noWrap w:val="0"/>
                  <w:vAlign w:val="center"/>
                </w:tcPr>
                <w:p w14:paraId="1418F6BF">
                  <w:pPr>
                    <w:widowControl/>
                    <w:adjustRightInd w:val="0"/>
                    <w:snapToGrid w:val="0"/>
                    <w:ind w:left="-63" w:leftChars="-30" w:right="-63" w:rightChars="-30"/>
                    <w:jc w:val="center"/>
                    <w:rPr>
                      <w:rFonts w:hint="eastAsia" w:eastAsia="宋体"/>
                      <w:color w:val="auto"/>
                      <w:sz w:val="18"/>
                      <w:szCs w:val="18"/>
                      <w:lang w:val="en-US" w:eastAsia="zh-CN"/>
                    </w:rPr>
                  </w:pPr>
                  <w:r>
                    <w:rPr>
                      <w:rFonts w:hint="eastAsia"/>
                      <w:color w:val="auto"/>
                      <w:sz w:val="18"/>
                      <w:szCs w:val="18"/>
                      <w:lang w:val="en-US" w:eastAsia="zh-CN"/>
                    </w:rPr>
                    <w:t>液体</w:t>
                  </w:r>
                </w:p>
              </w:tc>
              <w:tc>
                <w:tcPr>
                  <w:tcW w:w="1514" w:type="dxa"/>
                  <w:noWrap w:val="0"/>
                  <w:vAlign w:val="center"/>
                </w:tcPr>
                <w:p w14:paraId="6BD86AAA">
                  <w:pPr>
                    <w:widowControl/>
                    <w:adjustRightInd w:val="0"/>
                    <w:snapToGrid w:val="0"/>
                    <w:ind w:left="-63" w:leftChars="-30" w:right="-63" w:rightChars="-30"/>
                    <w:jc w:val="center"/>
                    <w:rPr>
                      <w:rFonts w:hint="default" w:eastAsia="宋体"/>
                      <w:color w:val="auto"/>
                      <w:sz w:val="18"/>
                      <w:szCs w:val="18"/>
                      <w:lang w:val="en-US" w:eastAsia="zh-CN"/>
                    </w:rPr>
                  </w:pPr>
                  <w:r>
                    <w:rPr>
                      <w:rFonts w:hint="eastAsia"/>
                      <w:color w:val="auto"/>
                      <w:sz w:val="18"/>
                      <w:szCs w:val="18"/>
                      <w:lang w:val="en-US" w:eastAsia="zh-CN"/>
                    </w:rPr>
                    <w:t>0.01</w:t>
                  </w:r>
                </w:p>
              </w:tc>
              <w:tc>
                <w:tcPr>
                  <w:tcW w:w="1514" w:type="dxa"/>
                  <w:noWrap w:val="0"/>
                  <w:vAlign w:val="center"/>
                </w:tcPr>
                <w:p w14:paraId="7093D6FE">
                  <w:pPr>
                    <w:widowControl/>
                    <w:adjustRightInd w:val="0"/>
                    <w:snapToGrid w:val="0"/>
                    <w:ind w:left="-63" w:leftChars="-30" w:right="-63" w:rightChars="-30"/>
                    <w:jc w:val="center"/>
                    <w:rPr>
                      <w:rFonts w:hint="eastAsia" w:eastAsia="宋体"/>
                      <w:color w:val="auto"/>
                      <w:sz w:val="18"/>
                      <w:szCs w:val="18"/>
                      <w:lang w:eastAsia="zh-CN"/>
                    </w:rPr>
                  </w:pPr>
                  <w:r>
                    <w:rPr>
                      <w:rFonts w:hint="eastAsia"/>
                      <w:color w:val="auto"/>
                      <w:sz w:val="18"/>
                      <w:szCs w:val="18"/>
                    </w:rPr>
                    <w:t>毒性</w:t>
                  </w:r>
                  <w:r>
                    <w:rPr>
                      <w:rFonts w:hint="eastAsia"/>
                      <w:color w:val="auto"/>
                      <w:sz w:val="18"/>
                      <w:szCs w:val="18"/>
                      <w:lang w:eastAsia="zh-CN"/>
                    </w:rPr>
                    <w:t>、</w:t>
                  </w:r>
                  <w:r>
                    <w:rPr>
                      <w:rFonts w:hint="eastAsia"/>
                      <w:color w:val="auto"/>
                      <w:sz w:val="18"/>
                      <w:szCs w:val="18"/>
                    </w:rPr>
                    <w:t>易燃</w:t>
                  </w:r>
                </w:p>
              </w:tc>
            </w:tr>
            <w:tr w14:paraId="4CB7A8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710" w:type="dxa"/>
                  <w:tcBorders>
                    <w:left w:val="nil"/>
                  </w:tcBorders>
                  <w:noWrap w:val="0"/>
                  <w:vAlign w:val="center"/>
                </w:tcPr>
                <w:p w14:paraId="5FEB8043">
                  <w:pPr>
                    <w:widowControl/>
                    <w:adjustRightInd w:val="0"/>
                    <w:snapToGrid w:val="0"/>
                    <w:ind w:left="-63" w:leftChars="-30" w:right="-63" w:rightChars="-30"/>
                    <w:jc w:val="center"/>
                    <w:rPr>
                      <w:rFonts w:hint="default" w:eastAsia="宋体"/>
                      <w:color w:val="auto"/>
                      <w:sz w:val="18"/>
                      <w:szCs w:val="18"/>
                      <w:lang w:val="en-US" w:eastAsia="zh-CN"/>
                    </w:rPr>
                  </w:pPr>
                  <w:r>
                    <w:rPr>
                      <w:rFonts w:hint="eastAsia"/>
                      <w:color w:val="auto"/>
                      <w:sz w:val="18"/>
                      <w:szCs w:val="18"/>
                      <w:lang w:val="en-US" w:eastAsia="zh-CN"/>
                    </w:rPr>
                    <w:t>废铅酸电池</w:t>
                  </w:r>
                </w:p>
              </w:tc>
              <w:tc>
                <w:tcPr>
                  <w:tcW w:w="1642" w:type="dxa"/>
                  <w:noWrap w:val="0"/>
                  <w:vAlign w:val="center"/>
                </w:tcPr>
                <w:p w14:paraId="05626353">
                  <w:pPr>
                    <w:widowControl/>
                    <w:adjustRightInd w:val="0"/>
                    <w:snapToGrid w:val="0"/>
                    <w:ind w:left="-63" w:leftChars="-30" w:right="-63" w:rightChars="-30"/>
                    <w:jc w:val="center"/>
                    <w:rPr>
                      <w:rFonts w:hint="default" w:eastAsia="宋体"/>
                      <w:color w:val="auto"/>
                      <w:sz w:val="18"/>
                      <w:szCs w:val="18"/>
                      <w:lang w:val="en-US" w:eastAsia="zh-CN"/>
                    </w:rPr>
                  </w:pPr>
                  <w:r>
                    <w:rPr>
                      <w:rFonts w:hint="eastAsia"/>
                      <w:color w:val="auto"/>
                      <w:sz w:val="18"/>
                      <w:szCs w:val="18"/>
                      <w:lang w:val="en-US" w:eastAsia="zh-CN"/>
                    </w:rPr>
                    <w:t>废铅、废酸</w:t>
                  </w:r>
                </w:p>
              </w:tc>
              <w:tc>
                <w:tcPr>
                  <w:tcW w:w="1155" w:type="dxa"/>
                  <w:vMerge w:val="continue"/>
                  <w:noWrap w:val="0"/>
                  <w:vAlign w:val="center"/>
                </w:tcPr>
                <w:p w14:paraId="2617DD88">
                  <w:pPr>
                    <w:widowControl/>
                    <w:adjustRightInd w:val="0"/>
                    <w:snapToGrid w:val="0"/>
                    <w:ind w:left="-63" w:leftChars="-30" w:right="-63" w:rightChars="-30"/>
                    <w:jc w:val="center"/>
                    <w:rPr>
                      <w:color w:val="auto"/>
                      <w:sz w:val="18"/>
                      <w:szCs w:val="18"/>
                      <w:lang w:eastAsia="zh-TW"/>
                    </w:rPr>
                  </w:pPr>
                </w:p>
              </w:tc>
              <w:tc>
                <w:tcPr>
                  <w:tcW w:w="951" w:type="dxa"/>
                  <w:vMerge w:val="continue"/>
                  <w:noWrap w:val="0"/>
                  <w:vAlign w:val="center"/>
                </w:tcPr>
                <w:p w14:paraId="229AACB1">
                  <w:pPr>
                    <w:widowControl/>
                    <w:adjustRightInd w:val="0"/>
                    <w:snapToGrid w:val="0"/>
                    <w:ind w:left="-63" w:leftChars="-30" w:right="-63" w:rightChars="-30"/>
                    <w:jc w:val="center"/>
                    <w:rPr>
                      <w:color w:val="auto"/>
                      <w:sz w:val="18"/>
                      <w:szCs w:val="18"/>
                      <w:lang w:eastAsia="zh-TW"/>
                    </w:rPr>
                  </w:pPr>
                </w:p>
              </w:tc>
              <w:tc>
                <w:tcPr>
                  <w:tcW w:w="1514" w:type="dxa"/>
                  <w:noWrap w:val="0"/>
                  <w:vAlign w:val="center"/>
                </w:tcPr>
                <w:p w14:paraId="00B27EBB">
                  <w:pPr>
                    <w:widowControl/>
                    <w:adjustRightInd w:val="0"/>
                    <w:snapToGrid w:val="0"/>
                    <w:ind w:left="-63" w:leftChars="-30" w:right="-63" w:rightChars="-30"/>
                    <w:jc w:val="center"/>
                    <w:rPr>
                      <w:rFonts w:hint="default" w:eastAsia="宋体"/>
                      <w:color w:val="auto"/>
                      <w:sz w:val="18"/>
                      <w:szCs w:val="18"/>
                      <w:lang w:val="en-US" w:eastAsia="zh-CN"/>
                    </w:rPr>
                  </w:pPr>
                  <w:r>
                    <w:rPr>
                      <w:rFonts w:hint="eastAsia"/>
                      <w:color w:val="auto"/>
                      <w:sz w:val="18"/>
                      <w:szCs w:val="18"/>
                      <w:lang w:val="en-US" w:eastAsia="zh-CN"/>
                    </w:rPr>
                    <w:t>0.08</w:t>
                  </w:r>
                </w:p>
              </w:tc>
              <w:tc>
                <w:tcPr>
                  <w:tcW w:w="1514" w:type="dxa"/>
                  <w:noWrap w:val="0"/>
                  <w:vAlign w:val="center"/>
                </w:tcPr>
                <w:p w14:paraId="7BC78E6D">
                  <w:pPr>
                    <w:widowControl/>
                    <w:adjustRightInd w:val="0"/>
                    <w:snapToGrid w:val="0"/>
                    <w:ind w:left="-63" w:leftChars="-30" w:right="-63" w:rightChars="-30"/>
                    <w:jc w:val="center"/>
                    <w:rPr>
                      <w:rFonts w:hint="default" w:eastAsia="宋体"/>
                      <w:color w:val="auto"/>
                      <w:sz w:val="18"/>
                      <w:szCs w:val="18"/>
                      <w:lang w:val="en-US" w:eastAsia="zh-CN"/>
                    </w:rPr>
                  </w:pPr>
                  <w:r>
                    <w:rPr>
                      <w:rFonts w:hint="eastAsia"/>
                      <w:color w:val="auto"/>
                      <w:sz w:val="18"/>
                      <w:szCs w:val="18"/>
                    </w:rPr>
                    <w:t>毒性</w:t>
                  </w:r>
                  <w:r>
                    <w:rPr>
                      <w:rFonts w:hint="eastAsia"/>
                      <w:color w:val="auto"/>
                      <w:sz w:val="18"/>
                      <w:szCs w:val="18"/>
                      <w:lang w:eastAsia="zh-CN"/>
                    </w:rPr>
                    <w:t>、</w:t>
                  </w:r>
                  <w:r>
                    <w:rPr>
                      <w:rFonts w:hint="eastAsia"/>
                      <w:color w:val="auto"/>
                      <w:sz w:val="18"/>
                      <w:szCs w:val="18"/>
                      <w:lang w:val="en-US" w:eastAsia="zh-CN"/>
                    </w:rPr>
                    <w:t>腐蚀</w:t>
                  </w:r>
                </w:p>
              </w:tc>
            </w:tr>
          </w:tbl>
          <w:p w14:paraId="495BA412">
            <w:pPr>
              <w:pStyle w:val="3"/>
              <w:keepNext/>
              <w:keepLines/>
              <w:pageBreakBefore w:val="0"/>
              <w:widowControl w:val="0"/>
              <w:numPr>
                <w:ilvl w:val="0"/>
                <w:numId w:val="0"/>
              </w:numPr>
              <w:tabs>
                <w:tab w:val="left" w:pos="948"/>
              </w:tabs>
              <w:kinsoku/>
              <w:wordWrap/>
              <w:overflowPunct/>
              <w:topLinePunct/>
              <w:autoSpaceDE/>
              <w:autoSpaceDN/>
              <w:bidi w:val="0"/>
              <w:adjustRightInd/>
              <w:snapToGrid/>
              <w:spacing w:before="0" w:after="0" w:line="360" w:lineRule="auto"/>
              <w:ind w:right="0" w:rightChars="0" w:firstLine="422" w:firstLineChars="200"/>
              <w:jc w:val="left"/>
              <w:textAlignment w:val="auto"/>
              <w:outlineLvl w:val="1"/>
              <w:rPr>
                <w:rFonts w:hint="eastAsia" w:ascii="宋体" w:hAnsi="宋体" w:eastAsia="宋体" w:cs="宋体"/>
                <w:color w:val="auto"/>
                <w:sz w:val="21"/>
                <w:szCs w:val="21"/>
                <w:lang w:val="en-US" w:eastAsia="zh-CN"/>
              </w:rPr>
            </w:pPr>
          </w:p>
          <w:p w14:paraId="5CFF60A4">
            <w:pPr>
              <w:pStyle w:val="3"/>
              <w:keepNext/>
              <w:keepLines/>
              <w:pageBreakBefore w:val="0"/>
              <w:widowControl w:val="0"/>
              <w:numPr>
                <w:ilvl w:val="0"/>
                <w:numId w:val="0"/>
              </w:numPr>
              <w:tabs>
                <w:tab w:val="left" w:pos="948"/>
              </w:tabs>
              <w:kinsoku/>
              <w:wordWrap/>
              <w:overflowPunct/>
              <w:topLinePunct/>
              <w:autoSpaceDE/>
              <w:autoSpaceDN/>
              <w:bidi w:val="0"/>
              <w:adjustRightInd/>
              <w:snapToGrid/>
              <w:spacing w:before="0" w:after="0" w:line="360" w:lineRule="auto"/>
              <w:ind w:right="0" w:rightChars="0" w:firstLine="422" w:firstLineChars="200"/>
              <w:jc w:val="left"/>
              <w:textAlignment w:val="auto"/>
              <w:outlineLvl w:val="1"/>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6.2、风险识别及风险源分布情况</w:t>
            </w:r>
          </w:p>
          <w:p w14:paraId="50E8619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根据本项目生产的实际情况，并结合现有项目及同类生产装置的类比调查，列出生产及物料贮运过程中的潜在危险种类、事故原因及易发场所。</w:t>
            </w:r>
          </w:p>
          <w:p w14:paraId="7AB3A89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（1）主要风险因素识别</w:t>
            </w:r>
          </w:p>
          <w:p w14:paraId="63074A3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本项目的风险来自原辅料和危险废物的进出厂运输、装卸、储存以及生产过程等引起的火灾、爆炸、环境污染的风险，评估的内容可具体划分为：</w:t>
            </w:r>
          </w:p>
          <w:p w14:paraId="5CAD4EB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①装卸环节：对储存和运输各环节事故率的比较表明，装卸活动是防止事故的关键环节。且随货物不同形态（气体、液体、固体）、运输方式（散装、包装）、操作方法及运输工具类型的不同危险性程度也不同。</w:t>
            </w:r>
          </w:p>
          <w:p w14:paraId="09F5132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②运输：厂区内交通事故，如碰撞（车与车、车与固定物体等）。</w:t>
            </w:r>
          </w:p>
          <w:p w14:paraId="14983F4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③泄漏：在对危险废物进行贮存分装过程中有可能发生泄漏，如由于技术不娴熟、违章指挥、违章作业、误操作等都可能造成泄漏。</w:t>
            </w:r>
          </w:p>
          <w:p w14:paraId="746D42F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（2）其他风险因素识别</w:t>
            </w:r>
          </w:p>
          <w:p w14:paraId="111D482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①停电事故：突然停电，设备中残留的物料若处理不当，也会造成安全事故或者是环境污染事故。</w:t>
            </w:r>
          </w:p>
          <w:p w14:paraId="4C7B822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②电气事故和火灾：电气危险因素主要有触电、雷电危害、电气火灾和爆炸等。如果防雷装置设计、安装存在缺陷，有雷电危害的危险。</w:t>
            </w:r>
          </w:p>
          <w:p w14:paraId="7DF2B16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color w:val="auto"/>
                <w:lang w:val="en-US" w:eastAsia="zh-CN"/>
              </w:rPr>
            </w:pPr>
            <w:r>
              <w:rPr>
                <w:rFonts w:hint="eastAsia" w:ascii="宋体" w:hAnsi="宋体" w:eastAsia="宋体" w:cs="宋体"/>
                <w:color w:val="auto"/>
                <w:lang w:val="en-US" w:eastAsia="zh-CN"/>
              </w:rPr>
              <w:t>③人为因素：如规章制度不严、管理不善、违章作业、工艺设计不尽合理、操作人员技术素质差等，因隐患不能及时排除而引发安全事故，造成环境污染。设备检修期间，设备中残留的物料或燃料若处置不当，也会造成安全事故或环境污染事故。</w:t>
            </w:r>
          </w:p>
          <w:p w14:paraId="70BF9E9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color w:val="auto"/>
                <w:lang w:val="en-US" w:eastAsia="zh-CN"/>
              </w:rPr>
            </w:pPr>
            <w:r>
              <w:rPr>
                <w:rFonts w:hint="eastAsia" w:ascii="宋体" w:hAnsi="宋体" w:eastAsia="宋体" w:cs="宋体"/>
                <w:color w:val="auto"/>
                <w:lang w:val="en-US" w:eastAsia="zh-CN"/>
              </w:rPr>
              <w:t>项目环境风险识别见下表。</w:t>
            </w:r>
          </w:p>
          <w:p w14:paraId="39D3B40C">
            <w:pPr>
              <w:snapToGrid w:val="0"/>
              <w:spacing w:before="120" w:beforeLines="50"/>
              <w:jc w:val="center"/>
              <w:rPr>
                <w:rFonts w:hint="default"/>
                <w:b/>
                <w:color w:val="auto"/>
                <w:sz w:val="21"/>
                <w:szCs w:val="21"/>
                <w:lang w:val="en-US" w:eastAsia="zh-CN"/>
              </w:rPr>
            </w:pPr>
            <w:r>
              <w:rPr>
                <w:rFonts w:hint="eastAsia"/>
                <w:b/>
                <w:color w:val="auto"/>
                <w:sz w:val="21"/>
                <w:szCs w:val="21"/>
                <w:lang w:val="en-US" w:eastAsia="zh-CN"/>
              </w:rPr>
              <w:t>表4-15 项目环境风险识别表</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3"/>
              <w:gridCol w:w="1623"/>
              <w:gridCol w:w="1624"/>
              <w:gridCol w:w="1624"/>
              <w:gridCol w:w="1618"/>
            </w:tblGrid>
            <w:tr w14:paraId="6FAF1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3" w:type="dxa"/>
                  <w:noWrap w:val="0"/>
                  <w:vAlign w:val="center"/>
                </w:tcPr>
                <w:p w14:paraId="359606D1">
                  <w:pPr>
                    <w:pStyle w:val="12"/>
                    <w:keepNext w:val="0"/>
                    <w:keepLines w:val="0"/>
                    <w:pageBreakBefore w:val="0"/>
                    <w:widowControl w:val="0"/>
                    <w:kinsoku/>
                    <w:wordWrap/>
                    <w:overflowPunct/>
                    <w:topLinePunct w:val="0"/>
                    <w:autoSpaceDE w:val="0"/>
                    <w:autoSpaceDN w:val="0"/>
                    <w:bidi w:val="0"/>
                    <w:adjustRightInd/>
                    <w:snapToGrid/>
                    <w:spacing w:after="0" w:line="240" w:lineRule="auto"/>
                    <w:ind w:right="0"/>
                    <w:jc w:val="center"/>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风险源</w:t>
                  </w:r>
                </w:p>
              </w:tc>
              <w:tc>
                <w:tcPr>
                  <w:tcW w:w="1623" w:type="dxa"/>
                  <w:noWrap w:val="0"/>
                  <w:vAlign w:val="center"/>
                </w:tcPr>
                <w:p w14:paraId="506A3E34">
                  <w:pPr>
                    <w:pStyle w:val="12"/>
                    <w:keepNext w:val="0"/>
                    <w:keepLines w:val="0"/>
                    <w:pageBreakBefore w:val="0"/>
                    <w:widowControl w:val="0"/>
                    <w:kinsoku/>
                    <w:wordWrap/>
                    <w:overflowPunct/>
                    <w:topLinePunct w:val="0"/>
                    <w:autoSpaceDE w:val="0"/>
                    <w:autoSpaceDN w:val="0"/>
                    <w:bidi w:val="0"/>
                    <w:adjustRightInd/>
                    <w:snapToGrid/>
                    <w:spacing w:after="0" w:line="240" w:lineRule="auto"/>
                    <w:ind w:right="0"/>
                    <w:jc w:val="center"/>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主要风险物质</w:t>
                  </w:r>
                </w:p>
              </w:tc>
              <w:tc>
                <w:tcPr>
                  <w:tcW w:w="1624" w:type="dxa"/>
                  <w:noWrap w:val="0"/>
                  <w:vAlign w:val="center"/>
                </w:tcPr>
                <w:p w14:paraId="10AE84BA">
                  <w:pPr>
                    <w:pStyle w:val="12"/>
                    <w:keepNext w:val="0"/>
                    <w:keepLines w:val="0"/>
                    <w:pageBreakBefore w:val="0"/>
                    <w:widowControl w:val="0"/>
                    <w:kinsoku/>
                    <w:wordWrap/>
                    <w:overflowPunct/>
                    <w:topLinePunct w:val="0"/>
                    <w:autoSpaceDE w:val="0"/>
                    <w:autoSpaceDN w:val="0"/>
                    <w:bidi w:val="0"/>
                    <w:adjustRightInd/>
                    <w:snapToGrid/>
                    <w:spacing w:after="0" w:line="240" w:lineRule="auto"/>
                    <w:ind w:right="0"/>
                    <w:jc w:val="center"/>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环境风险类型</w:t>
                  </w:r>
                </w:p>
              </w:tc>
              <w:tc>
                <w:tcPr>
                  <w:tcW w:w="1624" w:type="dxa"/>
                  <w:noWrap w:val="0"/>
                  <w:vAlign w:val="center"/>
                </w:tcPr>
                <w:p w14:paraId="36D8386C">
                  <w:pPr>
                    <w:pStyle w:val="12"/>
                    <w:keepNext w:val="0"/>
                    <w:keepLines w:val="0"/>
                    <w:pageBreakBefore w:val="0"/>
                    <w:widowControl w:val="0"/>
                    <w:kinsoku/>
                    <w:wordWrap/>
                    <w:overflowPunct/>
                    <w:topLinePunct w:val="0"/>
                    <w:autoSpaceDE w:val="0"/>
                    <w:autoSpaceDN w:val="0"/>
                    <w:bidi w:val="0"/>
                    <w:adjustRightInd/>
                    <w:snapToGrid/>
                    <w:spacing w:after="0" w:line="240" w:lineRule="auto"/>
                    <w:ind w:right="0"/>
                    <w:jc w:val="center"/>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影响途径</w:t>
                  </w:r>
                </w:p>
              </w:tc>
              <w:tc>
                <w:tcPr>
                  <w:tcW w:w="1618" w:type="dxa"/>
                  <w:noWrap w:val="0"/>
                  <w:vAlign w:val="center"/>
                </w:tcPr>
                <w:p w14:paraId="28A13431">
                  <w:pPr>
                    <w:pStyle w:val="12"/>
                    <w:keepNext w:val="0"/>
                    <w:keepLines w:val="0"/>
                    <w:pageBreakBefore w:val="0"/>
                    <w:widowControl w:val="0"/>
                    <w:kinsoku/>
                    <w:wordWrap/>
                    <w:overflowPunct/>
                    <w:topLinePunct w:val="0"/>
                    <w:autoSpaceDE w:val="0"/>
                    <w:autoSpaceDN w:val="0"/>
                    <w:bidi w:val="0"/>
                    <w:adjustRightInd/>
                    <w:snapToGrid/>
                    <w:spacing w:after="0" w:line="240" w:lineRule="auto"/>
                    <w:ind w:right="0"/>
                    <w:jc w:val="center"/>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事故重点关注方向</w:t>
                  </w:r>
                </w:p>
              </w:tc>
            </w:tr>
            <w:tr w14:paraId="13AF3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3" w:type="dxa"/>
                  <w:noWrap w:val="0"/>
                  <w:vAlign w:val="center"/>
                </w:tcPr>
                <w:p w14:paraId="37F64747">
                  <w:pPr>
                    <w:pStyle w:val="12"/>
                    <w:keepNext w:val="0"/>
                    <w:keepLines w:val="0"/>
                    <w:pageBreakBefore w:val="0"/>
                    <w:widowControl w:val="0"/>
                    <w:kinsoku/>
                    <w:wordWrap/>
                    <w:overflowPunct/>
                    <w:topLinePunct w:val="0"/>
                    <w:autoSpaceDE w:val="0"/>
                    <w:autoSpaceDN w:val="0"/>
                    <w:bidi w:val="0"/>
                    <w:adjustRightInd/>
                    <w:snapToGrid/>
                    <w:spacing w:after="0" w:line="240" w:lineRule="auto"/>
                    <w:ind w:right="0"/>
                    <w:jc w:val="center"/>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危废贮存库</w:t>
                  </w:r>
                </w:p>
              </w:tc>
              <w:tc>
                <w:tcPr>
                  <w:tcW w:w="1623" w:type="dxa"/>
                  <w:noWrap w:val="0"/>
                  <w:vAlign w:val="center"/>
                </w:tcPr>
                <w:p w14:paraId="3839866B">
                  <w:pPr>
                    <w:pStyle w:val="12"/>
                    <w:keepNext w:val="0"/>
                    <w:keepLines w:val="0"/>
                    <w:pageBreakBefore w:val="0"/>
                    <w:widowControl w:val="0"/>
                    <w:kinsoku/>
                    <w:wordWrap/>
                    <w:overflowPunct/>
                    <w:topLinePunct w:val="0"/>
                    <w:autoSpaceDE w:val="0"/>
                    <w:autoSpaceDN w:val="0"/>
                    <w:bidi w:val="0"/>
                    <w:adjustRightInd/>
                    <w:snapToGrid/>
                    <w:spacing w:after="0" w:line="240" w:lineRule="auto"/>
                    <w:ind w:right="0"/>
                    <w:jc w:val="center"/>
                    <w:textAlignment w:val="auto"/>
                    <w:outlineLvl w:val="9"/>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废机油、废</w:t>
                  </w:r>
                  <w:r>
                    <w:rPr>
                      <w:rFonts w:hint="eastAsia" w:ascii="宋体" w:hAnsi="宋体" w:cs="宋体"/>
                      <w:color w:val="auto"/>
                      <w:sz w:val="21"/>
                      <w:szCs w:val="21"/>
                      <w:vertAlign w:val="baseline"/>
                      <w:lang w:val="en-US" w:eastAsia="zh-CN"/>
                    </w:rPr>
                    <w:t>铅酸电池</w:t>
                  </w:r>
                </w:p>
              </w:tc>
              <w:tc>
                <w:tcPr>
                  <w:tcW w:w="1624" w:type="dxa"/>
                  <w:noWrap w:val="0"/>
                  <w:vAlign w:val="center"/>
                </w:tcPr>
                <w:p w14:paraId="7B9F971E">
                  <w:pPr>
                    <w:pStyle w:val="12"/>
                    <w:keepNext w:val="0"/>
                    <w:keepLines w:val="0"/>
                    <w:pageBreakBefore w:val="0"/>
                    <w:widowControl w:val="0"/>
                    <w:kinsoku/>
                    <w:wordWrap/>
                    <w:overflowPunct/>
                    <w:topLinePunct w:val="0"/>
                    <w:autoSpaceDE w:val="0"/>
                    <w:autoSpaceDN w:val="0"/>
                    <w:bidi w:val="0"/>
                    <w:adjustRightInd/>
                    <w:snapToGrid/>
                    <w:spacing w:after="0" w:line="240" w:lineRule="auto"/>
                    <w:ind w:right="0"/>
                    <w:jc w:val="center"/>
                    <w:textAlignment w:val="auto"/>
                    <w:outlineLvl w:val="9"/>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火灾、</w:t>
                  </w:r>
                  <w:r>
                    <w:rPr>
                      <w:rFonts w:hint="eastAsia" w:ascii="宋体" w:hAnsi="宋体" w:cs="宋体"/>
                      <w:color w:val="auto"/>
                      <w:sz w:val="21"/>
                      <w:szCs w:val="21"/>
                      <w:vertAlign w:val="baseline"/>
                      <w:lang w:val="en-US" w:eastAsia="zh-CN"/>
                    </w:rPr>
                    <w:t>泄漏</w:t>
                  </w:r>
                </w:p>
              </w:tc>
              <w:tc>
                <w:tcPr>
                  <w:tcW w:w="1624" w:type="dxa"/>
                  <w:vMerge w:val="restart"/>
                  <w:noWrap w:val="0"/>
                  <w:vAlign w:val="center"/>
                </w:tcPr>
                <w:p w14:paraId="4D2ECDF0">
                  <w:pPr>
                    <w:pStyle w:val="12"/>
                    <w:keepNext w:val="0"/>
                    <w:keepLines w:val="0"/>
                    <w:pageBreakBefore w:val="0"/>
                    <w:widowControl w:val="0"/>
                    <w:kinsoku/>
                    <w:wordWrap/>
                    <w:overflowPunct/>
                    <w:topLinePunct w:val="0"/>
                    <w:autoSpaceDE w:val="0"/>
                    <w:autoSpaceDN w:val="0"/>
                    <w:bidi w:val="0"/>
                    <w:adjustRightInd/>
                    <w:snapToGrid/>
                    <w:spacing w:after="0" w:line="240" w:lineRule="auto"/>
                    <w:ind w:right="0"/>
                    <w:jc w:val="center"/>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cs="宋体"/>
                      <w:color w:val="auto"/>
                      <w:sz w:val="21"/>
                      <w:szCs w:val="21"/>
                      <w:vertAlign w:val="baseline"/>
                      <w:lang w:val="en-US" w:eastAsia="zh-CN"/>
                    </w:rPr>
                    <w:t>大气、</w:t>
                  </w:r>
                  <w:r>
                    <w:rPr>
                      <w:rFonts w:hint="eastAsia" w:ascii="宋体" w:hAnsi="宋体" w:eastAsia="宋体" w:cs="宋体"/>
                      <w:color w:val="auto"/>
                      <w:sz w:val="21"/>
                      <w:szCs w:val="21"/>
                      <w:vertAlign w:val="baseline"/>
                      <w:lang w:val="en-US" w:eastAsia="zh-CN"/>
                    </w:rPr>
                    <w:t>地表水、地下水、土壤</w:t>
                  </w:r>
                </w:p>
              </w:tc>
              <w:tc>
                <w:tcPr>
                  <w:tcW w:w="1618" w:type="dxa"/>
                  <w:vMerge w:val="restart"/>
                  <w:noWrap w:val="0"/>
                  <w:vAlign w:val="center"/>
                </w:tcPr>
                <w:p w14:paraId="1E708124">
                  <w:pPr>
                    <w:pStyle w:val="12"/>
                    <w:keepNext w:val="0"/>
                    <w:keepLines w:val="0"/>
                    <w:pageBreakBefore w:val="0"/>
                    <w:widowControl w:val="0"/>
                    <w:kinsoku/>
                    <w:wordWrap/>
                    <w:overflowPunct/>
                    <w:topLinePunct w:val="0"/>
                    <w:autoSpaceDE w:val="0"/>
                    <w:autoSpaceDN w:val="0"/>
                    <w:bidi w:val="0"/>
                    <w:adjustRightInd/>
                    <w:snapToGrid/>
                    <w:spacing w:after="0" w:line="240" w:lineRule="auto"/>
                    <w:ind w:right="0"/>
                    <w:jc w:val="center"/>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环境事件</w:t>
                  </w:r>
                </w:p>
              </w:tc>
            </w:tr>
            <w:tr w14:paraId="7BE6C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3" w:type="dxa"/>
                  <w:noWrap w:val="0"/>
                  <w:vAlign w:val="center"/>
                </w:tcPr>
                <w:p w14:paraId="0E13B0F9">
                  <w:pPr>
                    <w:pStyle w:val="12"/>
                    <w:keepNext w:val="0"/>
                    <w:keepLines w:val="0"/>
                    <w:pageBreakBefore w:val="0"/>
                    <w:widowControl w:val="0"/>
                    <w:kinsoku/>
                    <w:wordWrap/>
                    <w:overflowPunct/>
                    <w:topLinePunct w:val="0"/>
                    <w:autoSpaceDE w:val="0"/>
                    <w:autoSpaceDN w:val="0"/>
                    <w:bidi w:val="0"/>
                    <w:adjustRightInd/>
                    <w:snapToGrid/>
                    <w:spacing w:after="0" w:line="240" w:lineRule="auto"/>
                    <w:ind w:right="0"/>
                    <w:jc w:val="center"/>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车间、</w:t>
                  </w:r>
                  <w:r>
                    <w:rPr>
                      <w:rFonts w:hint="eastAsia" w:ascii="宋体" w:hAnsi="宋体" w:cs="宋体"/>
                      <w:color w:val="auto"/>
                      <w:sz w:val="21"/>
                      <w:szCs w:val="21"/>
                      <w:vertAlign w:val="baseline"/>
                      <w:lang w:val="en-US" w:eastAsia="zh-CN"/>
                    </w:rPr>
                    <w:t>配件</w:t>
                  </w:r>
                  <w:r>
                    <w:rPr>
                      <w:rFonts w:hint="eastAsia" w:ascii="宋体" w:hAnsi="宋体" w:eastAsia="宋体" w:cs="宋体"/>
                      <w:color w:val="auto"/>
                      <w:sz w:val="21"/>
                      <w:szCs w:val="21"/>
                      <w:vertAlign w:val="baseline"/>
                      <w:lang w:val="en-US" w:eastAsia="zh-CN"/>
                    </w:rPr>
                    <w:t>库房</w:t>
                  </w:r>
                </w:p>
              </w:tc>
              <w:tc>
                <w:tcPr>
                  <w:tcW w:w="1623" w:type="dxa"/>
                  <w:noWrap w:val="0"/>
                  <w:vAlign w:val="center"/>
                </w:tcPr>
                <w:p w14:paraId="1CC54335">
                  <w:pPr>
                    <w:pStyle w:val="12"/>
                    <w:keepNext w:val="0"/>
                    <w:keepLines w:val="0"/>
                    <w:pageBreakBefore w:val="0"/>
                    <w:widowControl w:val="0"/>
                    <w:kinsoku/>
                    <w:wordWrap/>
                    <w:overflowPunct/>
                    <w:topLinePunct w:val="0"/>
                    <w:autoSpaceDE w:val="0"/>
                    <w:autoSpaceDN w:val="0"/>
                    <w:bidi w:val="0"/>
                    <w:adjustRightInd/>
                    <w:snapToGrid/>
                    <w:spacing w:after="0" w:line="240" w:lineRule="auto"/>
                    <w:ind w:right="0"/>
                    <w:jc w:val="center"/>
                    <w:textAlignment w:val="auto"/>
                    <w:outlineLvl w:val="9"/>
                    <w:rPr>
                      <w:rFonts w:hint="default" w:ascii="宋体" w:hAnsi="宋体" w:eastAsia="宋体" w:cs="宋体"/>
                      <w:color w:val="auto"/>
                      <w:sz w:val="21"/>
                      <w:szCs w:val="21"/>
                      <w:vertAlign w:val="baseline"/>
                      <w:lang w:val="en-US" w:eastAsia="zh-CN"/>
                    </w:rPr>
                  </w:pPr>
                  <w:r>
                    <w:rPr>
                      <w:rFonts w:hint="eastAsia" w:ascii="宋体" w:hAnsi="宋体" w:cs="宋体"/>
                      <w:color w:val="auto"/>
                      <w:sz w:val="21"/>
                      <w:szCs w:val="21"/>
                      <w:vertAlign w:val="baseline"/>
                      <w:lang w:val="en-US" w:eastAsia="zh-CN"/>
                    </w:rPr>
                    <w:t>塑料件、轮胎等</w:t>
                  </w:r>
                </w:p>
              </w:tc>
              <w:tc>
                <w:tcPr>
                  <w:tcW w:w="1624" w:type="dxa"/>
                  <w:noWrap w:val="0"/>
                  <w:vAlign w:val="center"/>
                </w:tcPr>
                <w:p w14:paraId="5D96FA14">
                  <w:pPr>
                    <w:pStyle w:val="12"/>
                    <w:keepNext w:val="0"/>
                    <w:keepLines w:val="0"/>
                    <w:pageBreakBefore w:val="0"/>
                    <w:widowControl w:val="0"/>
                    <w:kinsoku/>
                    <w:wordWrap/>
                    <w:overflowPunct/>
                    <w:topLinePunct w:val="0"/>
                    <w:autoSpaceDE w:val="0"/>
                    <w:autoSpaceDN w:val="0"/>
                    <w:bidi w:val="0"/>
                    <w:adjustRightInd/>
                    <w:snapToGrid/>
                    <w:spacing w:after="0" w:line="240" w:lineRule="auto"/>
                    <w:ind w:right="0"/>
                    <w:jc w:val="center"/>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火灾</w:t>
                  </w:r>
                </w:p>
              </w:tc>
              <w:tc>
                <w:tcPr>
                  <w:tcW w:w="1624" w:type="dxa"/>
                  <w:vMerge w:val="continue"/>
                  <w:noWrap w:val="0"/>
                  <w:vAlign w:val="center"/>
                </w:tcPr>
                <w:p w14:paraId="748A9877">
                  <w:pPr>
                    <w:pStyle w:val="12"/>
                    <w:keepNext w:val="0"/>
                    <w:keepLines w:val="0"/>
                    <w:pageBreakBefore w:val="0"/>
                    <w:widowControl w:val="0"/>
                    <w:kinsoku/>
                    <w:wordWrap/>
                    <w:overflowPunct/>
                    <w:topLinePunct w:val="0"/>
                    <w:autoSpaceDE w:val="0"/>
                    <w:autoSpaceDN w:val="0"/>
                    <w:bidi w:val="0"/>
                    <w:adjustRightInd/>
                    <w:snapToGrid/>
                    <w:spacing w:after="0" w:line="240" w:lineRule="auto"/>
                    <w:ind w:right="0"/>
                    <w:jc w:val="center"/>
                    <w:textAlignment w:val="auto"/>
                    <w:outlineLvl w:val="9"/>
                    <w:rPr>
                      <w:rFonts w:hint="eastAsia" w:ascii="宋体" w:hAnsi="宋体" w:eastAsia="宋体" w:cs="宋体"/>
                      <w:color w:val="auto"/>
                      <w:sz w:val="21"/>
                      <w:szCs w:val="21"/>
                      <w:vertAlign w:val="baseline"/>
                    </w:rPr>
                  </w:pPr>
                </w:p>
              </w:tc>
              <w:tc>
                <w:tcPr>
                  <w:tcW w:w="1618" w:type="dxa"/>
                  <w:vMerge w:val="continue"/>
                  <w:noWrap w:val="0"/>
                  <w:vAlign w:val="center"/>
                </w:tcPr>
                <w:p w14:paraId="00956BBC">
                  <w:pPr>
                    <w:pStyle w:val="12"/>
                    <w:keepNext w:val="0"/>
                    <w:keepLines w:val="0"/>
                    <w:pageBreakBefore w:val="0"/>
                    <w:widowControl w:val="0"/>
                    <w:kinsoku/>
                    <w:wordWrap/>
                    <w:overflowPunct/>
                    <w:topLinePunct w:val="0"/>
                    <w:autoSpaceDE w:val="0"/>
                    <w:autoSpaceDN w:val="0"/>
                    <w:bidi w:val="0"/>
                    <w:adjustRightInd/>
                    <w:snapToGrid/>
                    <w:spacing w:after="0" w:line="240" w:lineRule="auto"/>
                    <w:ind w:right="0"/>
                    <w:jc w:val="center"/>
                    <w:textAlignment w:val="auto"/>
                    <w:outlineLvl w:val="9"/>
                    <w:rPr>
                      <w:rFonts w:hint="eastAsia" w:ascii="宋体" w:hAnsi="宋体" w:eastAsia="宋体" w:cs="宋体"/>
                      <w:color w:val="auto"/>
                      <w:sz w:val="21"/>
                      <w:szCs w:val="21"/>
                      <w:vertAlign w:val="baseline"/>
                    </w:rPr>
                  </w:pPr>
                </w:p>
              </w:tc>
            </w:tr>
          </w:tbl>
          <w:p w14:paraId="519368FE">
            <w:pPr>
              <w:pStyle w:val="12"/>
              <w:widowControl w:val="0"/>
              <w:snapToGrid/>
              <w:spacing w:after="0" w:line="360" w:lineRule="auto"/>
              <w:ind w:right="0" w:firstLine="422" w:firstLineChars="200"/>
              <w:rPr>
                <w:rFonts w:ascii="宋体" w:hAnsi="宋体" w:cs="宋体"/>
                <w:b/>
                <w:bCs/>
                <w:color w:val="auto"/>
                <w:sz w:val="21"/>
                <w:szCs w:val="21"/>
              </w:rPr>
            </w:pPr>
            <w:r>
              <w:rPr>
                <w:rFonts w:hint="eastAsia" w:ascii="宋体" w:hAnsi="宋体" w:cs="宋体"/>
                <w:b/>
                <w:bCs/>
                <w:color w:val="auto"/>
                <w:sz w:val="21"/>
                <w:szCs w:val="21"/>
                <w:lang w:val="en-US" w:eastAsia="zh-CN"/>
              </w:rPr>
              <w:t>6.3、</w:t>
            </w:r>
            <w:r>
              <w:rPr>
                <w:rFonts w:hint="eastAsia" w:ascii="宋体" w:hAnsi="宋体" w:cs="宋体"/>
                <w:b/>
                <w:bCs/>
                <w:color w:val="auto"/>
                <w:sz w:val="21"/>
                <w:szCs w:val="21"/>
              </w:rPr>
              <w:t>风险物质临界量分析</w:t>
            </w:r>
          </w:p>
          <w:p w14:paraId="449E5B94">
            <w:pPr>
              <w:pStyle w:val="12"/>
              <w:widowControl w:val="0"/>
              <w:snapToGrid/>
              <w:spacing w:after="0" w:line="360" w:lineRule="auto"/>
              <w:ind w:right="0" w:firstLine="420" w:firstLineChars="200"/>
              <w:rPr>
                <w:rFonts w:ascii="宋体" w:hAnsi="宋体" w:cs="宋体"/>
                <w:color w:val="auto"/>
                <w:sz w:val="21"/>
                <w:szCs w:val="21"/>
              </w:rPr>
            </w:pPr>
            <w:r>
              <w:rPr>
                <w:rFonts w:hint="eastAsia" w:ascii="宋体" w:hAnsi="宋体" w:cs="宋体"/>
                <w:color w:val="auto"/>
                <w:sz w:val="21"/>
                <w:szCs w:val="21"/>
              </w:rPr>
              <w:t>根据《建设项目环境风险评价技术导则》（HJ169－2018）附录B，项目风险物质临界量情况见下表。</w:t>
            </w:r>
          </w:p>
          <w:p w14:paraId="7333128F">
            <w:pPr>
              <w:snapToGrid w:val="0"/>
              <w:spacing w:before="120" w:beforeLines="50"/>
              <w:jc w:val="center"/>
              <w:rPr>
                <w:rFonts w:hint="default"/>
                <w:b/>
                <w:color w:val="auto"/>
                <w:sz w:val="21"/>
                <w:szCs w:val="21"/>
              </w:rPr>
            </w:pPr>
            <w:r>
              <w:rPr>
                <w:rFonts w:hint="eastAsia"/>
                <w:b/>
                <w:color w:val="auto"/>
                <w:sz w:val="21"/>
                <w:szCs w:val="21"/>
              </w:rPr>
              <w:t>表4-</w:t>
            </w:r>
            <w:r>
              <w:rPr>
                <w:rFonts w:hint="eastAsia"/>
                <w:b/>
                <w:color w:val="auto"/>
                <w:sz w:val="21"/>
                <w:szCs w:val="21"/>
                <w:lang w:val="en-US" w:eastAsia="zh-CN"/>
              </w:rPr>
              <w:t>16</w:t>
            </w:r>
            <w:r>
              <w:rPr>
                <w:rFonts w:hint="eastAsia"/>
                <w:b/>
                <w:color w:val="auto"/>
                <w:sz w:val="21"/>
                <w:szCs w:val="21"/>
              </w:rPr>
              <w:t xml:space="preserve">  本项目风险物质临界量分析</w:t>
            </w:r>
          </w:p>
          <w:tbl>
            <w:tblPr>
              <w:tblStyle w:val="30"/>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Layout w:type="autofit"/>
              <w:tblCellMar>
                <w:top w:w="0" w:type="dxa"/>
                <w:left w:w="108" w:type="dxa"/>
                <w:bottom w:w="0" w:type="dxa"/>
                <w:right w:w="108" w:type="dxa"/>
              </w:tblCellMar>
            </w:tblPr>
            <w:tblGrid>
              <w:gridCol w:w="1223"/>
              <w:gridCol w:w="1641"/>
              <w:gridCol w:w="1340"/>
              <w:gridCol w:w="980"/>
              <w:gridCol w:w="1147"/>
              <w:gridCol w:w="1079"/>
              <w:gridCol w:w="1079"/>
            </w:tblGrid>
            <w:tr w14:paraId="4866D0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4" w:hRule="atLeast"/>
                <w:tblHeader/>
                <w:jc w:val="center"/>
              </w:trPr>
              <w:tc>
                <w:tcPr>
                  <w:tcW w:w="720" w:type="pct"/>
                  <w:shd w:val="clear" w:color="auto" w:fill="FFFFFF"/>
                  <w:noWrap w:val="0"/>
                  <w:vAlign w:val="center"/>
                </w:tcPr>
                <w:p w14:paraId="31A31875">
                  <w:pPr>
                    <w:spacing w:line="276" w:lineRule="auto"/>
                    <w:jc w:val="center"/>
                    <w:rPr>
                      <w:color w:val="auto"/>
                      <w:sz w:val="21"/>
                      <w:szCs w:val="21"/>
                    </w:rPr>
                  </w:pPr>
                  <w:r>
                    <w:rPr>
                      <w:rFonts w:hint="eastAsia"/>
                      <w:color w:val="auto"/>
                      <w:sz w:val="21"/>
                      <w:szCs w:val="21"/>
                    </w:rPr>
                    <w:t>原料</w:t>
                  </w:r>
                </w:p>
                <w:p w14:paraId="0899F4F2">
                  <w:pPr>
                    <w:spacing w:line="276" w:lineRule="auto"/>
                    <w:jc w:val="center"/>
                    <w:rPr>
                      <w:color w:val="auto"/>
                      <w:sz w:val="21"/>
                      <w:szCs w:val="21"/>
                    </w:rPr>
                  </w:pPr>
                  <w:r>
                    <w:rPr>
                      <w:rFonts w:hint="eastAsia"/>
                      <w:color w:val="auto"/>
                      <w:sz w:val="21"/>
                      <w:szCs w:val="21"/>
                    </w:rPr>
                    <w:t>名称</w:t>
                  </w:r>
                </w:p>
              </w:tc>
              <w:tc>
                <w:tcPr>
                  <w:tcW w:w="966" w:type="pct"/>
                  <w:shd w:val="clear" w:color="auto" w:fill="FFFFFF"/>
                  <w:noWrap w:val="0"/>
                  <w:vAlign w:val="center"/>
                </w:tcPr>
                <w:p w14:paraId="32676DD6">
                  <w:pPr>
                    <w:spacing w:line="276" w:lineRule="auto"/>
                    <w:jc w:val="center"/>
                    <w:rPr>
                      <w:color w:val="auto"/>
                      <w:sz w:val="21"/>
                      <w:szCs w:val="21"/>
                    </w:rPr>
                  </w:pPr>
                  <w:r>
                    <w:rPr>
                      <w:rFonts w:hint="eastAsia"/>
                      <w:color w:val="auto"/>
                      <w:sz w:val="21"/>
                      <w:szCs w:val="21"/>
                    </w:rPr>
                    <w:t>危险物质主要成分及比例</w:t>
                  </w:r>
                </w:p>
              </w:tc>
              <w:tc>
                <w:tcPr>
                  <w:tcW w:w="789" w:type="pct"/>
                  <w:shd w:val="clear" w:color="auto" w:fill="FFFFFF"/>
                  <w:noWrap w:val="0"/>
                  <w:vAlign w:val="center"/>
                </w:tcPr>
                <w:p w14:paraId="0B5D4EF4">
                  <w:pPr>
                    <w:spacing w:line="276" w:lineRule="auto"/>
                    <w:jc w:val="center"/>
                    <w:rPr>
                      <w:color w:val="auto"/>
                      <w:sz w:val="21"/>
                      <w:szCs w:val="21"/>
                    </w:rPr>
                  </w:pPr>
                  <w:r>
                    <w:rPr>
                      <w:rFonts w:hint="eastAsia"/>
                      <w:color w:val="auto"/>
                      <w:sz w:val="21"/>
                      <w:szCs w:val="21"/>
                    </w:rPr>
                    <w:t>CAS号</w:t>
                  </w:r>
                </w:p>
              </w:tc>
              <w:tc>
                <w:tcPr>
                  <w:tcW w:w="577" w:type="pct"/>
                  <w:shd w:val="clear" w:color="auto" w:fill="FFFFFF"/>
                  <w:noWrap w:val="0"/>
                  <w:vAlign w:val="center"/>
                </w:tcPr>
                <w:p w14:paraId="7ABD3057">
                  <w:pPr>
                    <w:spacing w:line="276" w:lineRule="auto"/>
                    <w:jc w:val="center"/>
                    <w:rPr>
                      <w:color w:val="auto"/>
                      <w:sz w:val="21"/>
                      <w:szCs w:val="21"/>
                    </w:rPr>
                  </w:pPr>
                  <w:r>
                    <w:rPr>
                      <w:rFonts w:hint="eastAsia"/>
                      <w:color w:val="auto"/>
                      <w:sz w:val="21"/>
                      <w:szCs w:val="21"/>
                    </w:rPr>
                    <w:t>年用量</w:t>
                  </w:r>
                </w:p>
                <w:p w14:paraId="4D285777">
                  <w:pPr>
                    <w:spacing w:line="276" w:lineRule="auto"/>
                    <w:jc w:val="center"/>
                    <w:rPr>
                      <w:color w:val="auto"/>
                      <w:sz w:val="21"/>
                      <w:szCs w:val="21"/>
                    </w:rPr>
                  </w:pPr>
                  <w:r>
                    <w:rPr>
                      <w:rFonts w:hint="eastAsia"/>
                      <w:color w:val="auto"/>
                      <w:sz w:val="21"/>
                      <w:szCs w:val="21"/>
                    </w:rPr>
                    <w:t>（t/a）</w:t>
                  </w:r>
                </w:p>
              </w:tc>
              <w:tc>
                <w:tcPr>
                  <w:tcW w:w="675" w:type="pct"/>
                  <w:shd w:val="clear" w:color="auto" w:fill="FFFFFF"/>
                  <w:noWrap w:val="0"/>
                  <w:vAlign w:val="center"/>
                </w:tcPr>
                <w:p w14:paraId="69DCBFF8">
                  <w:pPr>
                    <w:spacing w:line="276" w:lineRule="auto"/>
                    <w:jc w:val="center"/>
                    <w:rPr>
                      <w:color w:val="auto"/>
                      <w:sz w:val="21"/>
                      <w:szCs w:val="21"/>
                    </w:rPr>
                  </w:pPr>
                  <w:r>
                    <w:rPr>
                      <w:rFonts w:hint="eastAsia"/>
                      <w:color w:val="auto"/>
                      <w:sz w:val="21"/>
                      <w:szCs w:val="21"/>
                    </w:rPr>
                    <w:t>最大储存量（t）</w:t>
                  </w:r>
                </w:p>
              </w:tc>
              <w:tc>
                <w:tcPr>
                  <w:tcW w:w="635" w:type="pct"/>
                  <w:shd w:val="clear" w:color="auto" w:fill="FFFFFF"/>
                  <w:noWrap w:val="0"/>
                  <w:vAlign w:val="center"/>
                </w:tcPr>
                <w:p w14:paraId="2891CB73">
                  <w:pPr>
                    <w:spacing w:line="276" w:lineRule="auto"/>
                    <w:jc w:val="center"/>
                    <w:rPr>
                      <w:color w:val="auto"/>
                      <w:sz w:val="21"/>
                      <w:szCs w:val="21"/>
                    </w:rPr>
                  </w:pPr>
                  <w:r>
                    <w:rPr>
                      <w:rFonts w:hint="eastAsia"/>
                      <w:color w:val="auto"/>
                      <w:sz w:val="21"/>
                      <w:szCs w:val="21"/>
                    </w:rPr>
                    <w:t>临界量Qn/t</w:t>
                  </w:r>
                </w:p>
              </w:tc>
              <w:tc>
                <w:tcPr>
                  <w:tcW w:w="635" w:type="pct"/>
                  <w:shd w:val="clear" w:color="auto" w:fill="FFFFFF"/>
                  <w:noWrap w:val="0"/>
                  <w:vAlign w:val="center"/>
                </w:tcPr>
                <w:p w14:paraId="23E23CC9">
                  <w:pPr>
                    <w:spacing w:line="276" w:lineRule="auto"/>
                    <w:jc w:val="center"/>
                    <w:rPr>
                      <w:color w:val="auto"/>
                      <w:sz w:val="21"/>
                      <w:szCs w:val="21"/>
                    </w:rPr>
                  </w:pPr>
                  <w:r>
                    <w:rPr>
                      <w:rFonts w:hint="eastAsia"/>
                      <w:color w:val="auto"/>
                      <w:sz w:val="21"/>
                      <w:szCs w:val="21"/>
                    </w:rPr>
                    <w:t>q/Q</w:t>
                  </w:r>
                </w:p>
              </w:tc>
            </w:tr>
            <w:tr w14:paraId="168317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05" w:hRule="atLeast"/>
                <w:jc w:val="center"/>
              </w:trPr>
              <w:tc>
                <w:tcPr>
                  <w:tcW w:w="720" w:type="pct"/>
                  <w:shd w:val="clear" w:color="auto" w:fill="FFFFFF"/>
                  <w:noWrap w:val="0"/>
                  <w:vAlign w:val="center"/>
                </w:tcPr>
                <w:p w14:paraId="5F135FE4">
                  <w:pPr>
                    <w:pStyle w:val="59"/>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color w:val="auto"/>
                      <w:sz w:val="21"/>
                      <w:szCs w:val="21"/>
                    </w:rPr>
                  </w:pPr>
                  <w:r>
                    <w:rPr>
                      <w:rFonts w:hint="eastAsia" w:ascii="宋体" w:hAnsi="宋体" w:eastAsia="宋体" w:cs="宋体"/>
                      <w:color w:val="auto"/>
                      <w:sz w:val="21"/>
                      <w:szCs w:val="21"/>
                      <w:vertAlign w:val="baseline"/>
                      <w:lang w:val="en-US" w:eastAsia="zh-CN"/>
                    </w:rPr>
                    <w:t>废机油</w:t>
                  </w:r>
                </w:p>
              </w:tc>
              <w:tc>
                <w:tcPr>
                  <w:tcW w:w="966" w:type="pct"/>
                  <w:shd w:val="clear" w:color="auto" w:fill="FFFFFF"/>
                  <w:noWrap w:val="0"/>
                  <w:vAlign w:val="center"/>
                </w:tcPr>
                <w:p w14:paraId="3EB7E5A4">
                  <w:pPr>
                    <w:pStyle w:val="59"/>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eastAsia="宋体"/>
                      <w:color w:val="auto"/>
                      <w:sz w:val="21"/>
                      <w:szCs w:val="21"/>
                      <w:lang w:val="en-US" w:eastAsia="zh-CN"/>
                    </w:rPr>
                  </w:pPr>
                  <w:r>
                    <w:rPr>
                      <w:rFonts w:hint="eastAsia"/>
                      <w:color w:val="auto"/>
                      <w:sz w:val="21"/>
                      <w:szCs w:val="21"/>
                      <w:lang w:val="en-US" w:eastAsia="zh-CN"/>
                    </w:rPr>
                    <w:t>油类物质</w:t>
                  </w:r>
                </w:p>
              </w:tc>
              <w:tc>
                <w:tcPr>
                  <w:tcW w:w="789" w:type="pct"/>
                  <w:shd w:val="clear" w:color="auto" w:fill="FFFFFF"/>
                  <w:noWrap w:val="0"/>
                  <w:vAlign w:val="center"/>
                </w:tcPr>
                <w:p w14:paraId="25FF750B">
                  <w:pPr>
                    <w:widowControl/>
                    <w:adjustRightInd w:val="0"/>
                    <w:snapToGrid w:val="0"/>
                    <w:ind w:left="-63" w:leftChars="-30" w:right="-63" w:rightChars="-30"/>
                    <w:jc w:val="center"/>
                    <w:rPr>
                      <w:rFonts w:hint="default" w:ascii="Times New Roman" w:hAnsi="Times New Roman" w:eastAsia="宋体" w:cs="Times New Roman"/>
                      <w:color w:val="auto"/>
                      <w:sz w:val="21"/>
                      <w:szCs w:val="21"/>
                      <w:lang w:val="en-US" w:eastAsia="zh-CN"/>
                    </w:rPr>
                  </w:pPr>
                  <w:r>
                    <w:rPr>
                      <w:rFonts w:hint="eastAsia"/>
                      <w:color w:val="auto"/>
                      <w:sz w:val="21"/>
                      <w:szCs w:val="21"/>
                      <w:lang w:val="en-US" w:eastAsia="zh-CN"/>
                    </w:rPr>
                    <w:t>/</w:t>
                  </w:r>
                </w:p>
              </w:tc>
              <w:tc>
                <w:tcPr>
                  <w:tcW w:w="577" w:type="pct"/>
                  <w:shd w:val="clear" w:color="auto" w:fill="FFFFFF"/>
                  <w:noWrap w:val="0"/>
                  <w:vAlign w:val="center"/>
                </w:tcPr>
                <w:p w14:paraId="18049CE0">
                  <w:pPr>
                    <w:spacing w:line="276" w:lineRule="auto"/>
                    <w:jc w:val="center"/>
                    <w:rPr>
                      <w:rFonts w:hint="eastAsia" w:eastAsia="宋体"/>
                      <w:color w:val="auto"/>
                      <w:sz w:val="21"/>
                      <w:szCs w:val="21"/>
                      <w:lang w:eastAsia="zh-CN"/>
                    </w:rPr>
                  </w:pPr>
                  <w:r>
                    <w:rPr>
                      <w:rFonts w:hint="eastAsia"/>
                      <w:color w:val="auto"/>
                      <w:sz w:val="21"/>
                      <w:szCs w:val="21"/>
                      <w:lang w:val="en-US" w:eastAsia="zh-CN"/>
                    </w:rPr>
                    <w:t>/</w:t>
                  </w:r>
                </w:p>
              </w:tc>
              <w:tc>
                <w:tcPr>
                  <w:tcW w:w="675" w:type="pct"/>
                  <w:shd w:val="clear" w:color="auto" w:fill="FFFFFF"/>
                  <w:noWrap w:val="0"/>
                  <w:vAlign w:val="center"/>
                </w:tcPr>
                <w:p w14:paraId="02A40B9E">
                  <w:pPr>
                    <w:widowControl/>
                    <w:adjustRightInd w:val="0"/>
                    <w:snapToGrid w:val="0"/>
                    <w:ind w:left="-63" w:leftChars="-30" w:right="-63" w:rightChars="-3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w:t>
                  </w:r>
                </w:p>
              </w:tc>
              <w:tc>
                <w:tcPr>
                  <w:tcW w:w="635" w:type="pct"/>
                  <w:shd w:val="clear" w:color="auto" w:fill="FFFFFF"/>
                  <w:noWrap w:val="0"/>
                  <w:vAlign w:val="center"/>
                </w:tcPr>
                <w:p w14:paraId="701CF393">
                  <w:pPr>
                    <w:widowControl/>
                    <w:adjustRightInd w:val="0"/>
                    <w:snapToGrid w:val="0"/>
                    <w:ind w:left="-63" w:leftChars="-30" w:right="-63" w:rightChars="-3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2500</w:t>
                  </w:r>
                </w:p>
              </w:tc>
              <w:tc>
                <w:tcPr>
                  <w:tcW w:w="635" w:type="pct"/>
                  <w:shd w:val="clear" w:color="auto" w:fill="FFFFFF"/>
                  <w:noWrap w:val="0"/>
                  <w:vAlign w:val="center"/>
                </w:tcPr>
                <w:p w14:paraId="4D62FFDF">
                  <w:pPr>
                    <w:spacing w:line="276" w:lineRule="auto"/>
                    <w:jc w:val="center"/>
                    <w:rPr>
                      <w:rFonts w:hint="default" w:eastAsia="宋体"/>
                      <w:color w:val="auto"/>
                      <w:sz w:val="21"/>
                      <w:szCs w:val="21"/>
                      <w:lang w:val="en-US" w:eastAsia="zh-CN"/>
                    </w:rPr>
                  </w:pPr>
                  <w:r>
                    <w:rPr>
                      <w:rFonts w:hint="eastAsia"/>
                      <w:color w:val="auto"/>
                      <w:sz w:val="21"/>
                      <w:szCs w:val="21"/>
                      <w:lang w:val="en-US" w:eastAsia="zh-CN"/>
                    </w:rPr>
                    <w:t>0.000004</w:t>
                  </w:r>
                </w:p>
              </w:tc>
            </w:tr>
            <w:tr w14:paraId="0527AE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720" w:type="pct"/>
                  <w:shd w:val="clear" w:color="auto" w:fill="FFFFFF"/>
                  <w:noWrap w:val="0"/>
                  <w:vAlign w:val="center"/>
                </w:tcPr>
                <w:p w14:paraId="48E1DE5A">
                  <w:pPr>
                    <w:pStyle w:val="59"/>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废</w:t>
                  </w:r>
                  <w:r>
                    <w:rPr>
                      <w:rFonts w:hint="eastAsia" w:cs="宋体"/>
                      <w:color w:val="auto"/>
                      <w:sz w:val="21"/>
                      <w:szCs w:val="21"/>
                      <w:vertAlign w:val="baseline"/>
                      <w:lang w:val="en-US" w:eastAsia="zh-CN"/>
                    </w:rPr>
                    <w:t>铅酸电池</w:t>
                  </w:r>
                </w:p>
              </w:tc>
              <w:tc>
                <w:tcPr>
                  <w:tcW w:w="966" w:type="pct"/>
                  <w:shd w:val="clear" w:color="auto" w:fill="FFFFFF"/>
                  <w:noWrap w:val="0"/>
                  <w:vAlign w:val="center"/>
                </w:tcPr>
                <w:p w14:paraId="73D738F2">
                  <w:pPr>
                    <w:pStyle w:val="59"/>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硫酸</w:t>
                  </w:r>
                </w:p>
              </w:tc>
              <w:tc>
                <w:tcPr>
                  <w:tcW w:w="789" w:type="pct"/>
                  <w:shd w:val="clear" w:color="auto" w:fill="FFFFFF"/>
                  <w:noWrap w:val="0"/>
                  <w:vAlign w:val="center"/>
                </w:tcPr>
                <w:p w14:paraId="39890778">
                  <w:pPr>
                    <w:widowControl/>
                    <w:adjustRightInd w:val="0"/>
                    <w:snapToGrid w:val="0"/>
                    <w:ind w:left="-63" w:leftChars="-30" w:right="-63" w:rightChars="-30"/>
                    <w:jc w:val="center"/>
                    <w:rPr>
                      <w:rFonts w:hint="default"/>
                      <w:color w:val="auto"/>
                      <w:sz w:val="21"/>
                      <w:szCs w:val="21"/>
                      <w:lang w:val="en-US" w:eastAsia="zh-CN"/>
                    </w:rPr>
                  </w:pPr>
                  <w:r>
                    <w:rPr>
                      <w:rFonts w:hint="eastAsia"/>
                      <w:color w:val="auto"/>
                      <w:sz w:val="21"/>
                      <w:szCs w:val="21"/>
                      <w:lang w:val="en-US" w:eastAsia="zh-CN"/>
                    </w:rPr>
                    <w:t>7664-93-9</w:t>
                  </w:r>
                </w:p>
              </w:tc>
              <w:tc>
                <w:tcPr>
                  <w:tcW w:w="577" w:type="pct"/>
                  <w:shd w:val="clear" w:color="auto" w:fill="FFFFFF"/>
                  <w:noWrap w:val="0"/>
                  <w:vAlign w:val="center"/>
                </w:tcPr>
                <w:p w14:paraId="7F6EE1E8">
                  <w:pPr>
                    <w:spacing w:line="276" w:lineRule="auto"/>
                    <w:jc w:val="center"/>
                    <w:rPr>
                      <w:rFonts w:hint="default"/>
                      <w:color w:val="auto"/>
                      <w:sz w:val="21"/>
                      <w:szCs w:val="21"/>
                      <w:lang w:val="en-US" w:eastAsia="zh-CN"/>
                    </w:rPr>
                  </w:pPr>
                  <w:r>
                    <w:rPr>
                      <w:rFonts w:hint="eastAsia"/>
                      <w:color w:val="auto"/>
                      <w:sz w:val="21"/>
                      <w:szCs w:val="21"/>
                      <w:lang w:val="en-US" w:eastAsia="zh-CN"/>
                    </w:rPr>
                    <w:t>0.01</w:t>
                  </w:r>
                </w:p>
              </w:tc>
              <w:tc>
                <w:tcPr>
                  <w:tcW w:w="675" w:type="pct"/>
                  <w:shd w:val="clear" w:color="auto" w:fill="FFFFFF"/>
                  <w:noWrap w:val="0"/>
                  <w:vAlign w:val="center"/>
                </w:tcPr>
                <w:p w14:paraId="61A6B85A">
                  <w:pPr>
                    <w:widowControl/>
                    <w:adjustRightInd w:val="0"/>
                    <w:snapToGrid w:val="0"/>
                    <w:ind w:left="-63" w:leftChars="-30" w:right="-63" w:rightChars="-3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0.02</w:t>
                  </w:r>
                </w:p>
              </w:tc>
              <w:tc>
                <w:tcPr>
                  <w:tcW w:w="635" w:type="pct"/>
                  <w:shd w:val="clear" w:color="auto" w:fill="FFFFFF"/>
                  <w:noWrap w:val="0"/>
                  <w:vAlign w:val="center"/>
                </w:tcPr>
                <w:p w14:paraId="4E4766FC">
                  <w:pPr>
                    <w:widowControl/>
                    <w:adjustRightInd w:val="0"/>
                    <w:snapToGrid w:val="0"/>
                    <w:ind w:left="-63" w:leftChars="-30" w:right="-63" w:rightChars="-3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10</w:t>
                  </w:r>
                </w:p>
              </w:tc>
              <w:tc>
                <w:tcPr>
                  <w:tcW w:w="635" w:type="pct"/>
                  <w:shd w:val="clear" w:color="auto" w:fill="FFFFFF"/>
                  <w:noWrap w:val="0"/>
                  <w:vAlign w:val="center"/>
                </w:tcPr>
                <w:p w14:paraId="0B1D1F59">
                  <w:pPr>
                    <w:spacing w:line="276" w:lineRule="auto"/>
                    <w:jc w:val="center"/>
                    <w:rPr>
                      <w:rFonts w:hint="default" w:eastAsia="宋体"/>
                      <w:color w:val="auto"/>
                      <w:sz w:val="21"/>
                      <w:szCs w:val="21"/>
                      <w:lang w:val="en-US" w:eastAsia="zh-CN"/>
                    </w:rPr>
                  </w:pPr>
                  <w:r>
                    <w:rPr>
                      <w:rFonts w:hint="eastAsia"/>
                      <w:color w:val="auto"/>
                      <w:sz w:val="21"/>
                      <w:szCs w:val="21"/>
                      <w:lang w:val="en-US" w:eastAsia="zh-CN"/>
                    </w:rPr>
                    <w:t>0.002</w:t>
                  </w:r>
                </w:p>
              </w:tc>
            </w:tr>
          </w:tbl>
          <w:p w14:paraId="41024551">
            <w:pPr>
              <w:pStyle w:val="12"/>
              <w:widowControl w:val="0"/>
              <w:snapToGrid/>
              <w:spacing w:after="0" w:line="360" w:lineRule="auto"/>
              <w:ind w:right="0" w:firstLine="420" w:firstLineChars="200"/>
              <w:rPr>
                <w:rFonts w:hint="eastAsia" w:ascii="宋体" w:hAnsi="宋体" w:eastAsia="宋体" w:cs="宋体"/>
                <w:color w:val="auto"/>
                <w:sz w:val="21"/>
                <w:szCs w:val="21"/>
              </w:rPr>
            </w:pPr>
          </w:p>
          <w:p w14:paraId="6F31FD50">
            <w:pPr>
              <w:pStyle w:val="12"/>
              <w:widowControl w:val="0"/>
              <w:snapToGrid/>
              <w:spacing w:after="0" w:line="360" w:lineRule="auto"/>
              <w:ind w:right="0" w:firstLine="420" w:firstLineChars="2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根据《建设项目环境风险评价技术导则》（HJ169－2018）及上表，</w:t>
            </w:r>
            <w:r>
              <w:rPr>
                <w:rFonts w:hint="eastAsia" w:ascii="宋体" w:hAnsi="宋体" w:cs="宋体"/>
                <w:color w:val="auto"/>
                <w:sz w:val="21"/>
                <w:szCs w:val="21"/>
              </w:rPr>
              <w:t>本项目涉及的有毒有害和易燃易爆危险物质储量未超过临界量，</w:t>
            </w:r>
            <w:r>
              <w:rPr>
                <w:rFonts w:hint="eastAsia" w:ascii="宋体" w:hAnsi="宋体" w:eastAsia="宋体" w:cs="宋体"/>
                <w:color w:val="auto"/>
                <w:sz w:val="21"/>
                <w:szCs w:val="21"/>
                <w:lang w:val="en-US" w:eastAsia="zh-CN"/>
              </w:rPr>
              <w:t>本项目Q=0.</w:t>
            </w:r>
            <w:r>
              <w:rPr>
                <w:rFonts w:hint="eastAsia" w:ascii="宋体" w:hAnsi="宋体" w:cs="宋体"/>
                <w:color w:val="auto"/>
                <w:sz w:val="21"/>
                <w:szCs w:val="21"/>
                <w:lang w:val="en-US" w:eastAsia="zh-CN"/>
              </w:rPr>
              <w:t>002004</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不构成重大危险源，项目环境风险潜势为Ⅰ，本项目环境风险评价仅需简单分析，</w:t>
            </w:r>
            <w:r>
              <w:rPr>
                <w:rFonts w:hint="eastAsia" w:ascii="宋体" w:hAnsi="宋体" w:cs="宋体"/>
                <w:color w:val="auto"/>
                <w:sz w:val="21"/>
                <w:szCs w:val="21"/>
              </w:rPr>
              <w:t>故</w:t>
            </w:r>
            <w:r>
              <w:rPr>
                <w:rFonts w:hint="eastAsia" w:ascii="宋体" w:hAnsi="宋体" w:cs="宋体"/>
                <w:color w:val="auto"/>
                <w:sz w:val="21"/>
                <w:szCs w:val="21"/>
                <w:lang w:eastAsia="zh-CN"/>
              </w:rPr>
              <w:t>无须设置</w:t>
            </w:r>
            <w:r>
              <w:rPr>
                <w:rFonts w:hint="eastAsia" w:ascii="宋体" w:hAnsi="宋体" w:cs="宋体"/>
                <w:color w:val="auto"/>
                <w:sz w:val="21"/>
                <w:szCs w:val="21"/>
              </w:rPr>
              <w:t>环境风险专项评价</w:t>
            </w:r>
            <w:r>
              <w:rPr>
                <w:rFonts w:hint="eastAsia" w:ascii="宋体" w:hAnsi="宋体" w:cs="宋体"/>
                <w:color w:val="auto"/>
                <w:sz w:val="21"/>
                <w:szCs w:val="21"/>
                <w:lang w:eastAsia="zh-CN"/>
              </w:rPr>
              <w:t>。</w:t>
            </w:r>
          </w:p>
          <w:p w14:paraId="2516A8E4">
            <w:pPr>
              <w:pStyle w:val="3"/>
              <w:keepNext/>
              <w:keepLines/>
              <w:pageBreakBefore w:val="0"/>
              <w:widowControl w:val="0"/>
              <w:numPr>
                <w:ilvl w:val="0"/>
                <w:numId w:val="0"/>
              </w:numPr>
              <w:tabs>
                <w:tab w:val="left" w:pos="948"/>
              </w:tabs>
              <w:kinsoku/>
              <w:wordWrap/>
              <w:overflowPunct/>
              <w:topLinePunct/>
              <w:autoSpaceDE/>
              <w:autoSpaceDN/>
              <w:bidi w:val="0"/>
              <w:adjustRightInd/>
              <w:snapToGrid/>
              <w:spacing w:before="0" w:after="0" w:line="360" w:lineRule="auto"/>
              <w:ind w:right="0" w:rightChars="0" w:firstLine="422" w:firstLineChars="200"/>
              <w:jc w:val="left"/>
              <w:textAlignment w:val="auto"/>
              <w:outlineLvl w:val="1"/>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6.4、环境风险分析</w:t>
            </w:r>
          </w:p>
          <w:p w14:paraId="389D6B8B">
            <w:pPr>
              <w:pStyle w:val="3"/>
              <w:keepNext/>
              <w:keepLines/>
              <w:pageBreakBefore w:val="0"/>
              <w:widowControl w:val="0"/>
              <w:numPr>
                <w:ilvl w:val="0"/>
                <w:numId w:val="0"/>
              </w:numPr>
              <w:tabs>
                <w:tab w:val="left" w:pos="948"/>
              </w:tabs>
              <w:kinsoku/>
              <w:wordWrap/>
              <w:overflowPunct/>
              <w:topLinePunct/>
              <w:autoSpaceDE/>
              <w:autoSpaceDN/>
              <w:bidi w:val="0"/>
              <w:adjustRightInd/>
              <w:snapToGrid/>
              <w:spacing w:before="0" w:after="0" w:line="360" w:lineRule="auto"/>
              <w:ind w:right="0" w:rightChars="0" w:firstLine="422" w:firstLineChars="200"/>
              <w:jc w:val="left"/>
              <w:textAlignment w:val="auto"/>
              <w:outlineLvl w:val="1"/>
              <w:rPr>
                <w:rFonts w:hint="eastAsia" w:ascii="宋体" w:hAnsi="宋体" w:eastAsia="宋体" w:cs="宋体"/>
                <w:b/>
                <w:bCs w:val="0"/>
                <w:color w:val="auto"/>
                <w:sz w:val="21"/>
                <w:szCs w:val="21"/>
                <w:lang w:val="en-US" w:eastAsia="zh-CN"/>
              </w:rPr>
            </w:pPr>
            <w:r>
              <w:rPr>
                <w:rFonts w:hint="eastAsia" w:ascii="宋体" w:hAnsi="宋体" w:eastAsia="宋体" w:cs="宋体"/>
                <w:b/>
                <w:bCs w:val="0"/>
                <w:color w:val="auto"/>
                <w:sz w:val="21"/>
                <w:szCs w:val="21"/>
                <w:lang w:val="en-US" w:eastAsia="zh-CN"/>
              </w:rPr>
              <w:t>（一）泄漏事故的风险</w:t>
            </w:r>
          </w:p>
          <w:p w14:paraId="5410F1C4">
            <w:pPr>
              <w:pStyle w:val="12"/>
              <w:keepNext w:val="0"/>
              <w:keepLines w:val="0"/>
              <w:pageBreakBefore w:val="0"/>
              <w:widowControl w:val="0"/>
              <w:kinsoku/>
              <w:wordWrap/>
              <w:overflowPunct/>
              <w:topLinePunct w:val="0"/>
              <w:autoSpaceDE/>
              <w:autoSpaceDN/>
              <w:bidi w:val="0"/>
              <w:adjustRightInd/>
              <w:snapToGrid/>
              <w:spacing w:before="0" w:after="0" w:line="360" w:lineRule="auto"/>
              <w:ind w:left="0" w:leftChars="0" w:right="0" w:firstLine="420" w:firstLineChars="200"/>
              <w:jc w:val="both"/>
              <w:textAlignment w:val="auto"/>
              <w:outlineLvl w:val="9"/>
              <w:rPr>
                <w:rFonts w:hint="eastAsia" w:ascii="宋体" w:hAnsi="宋体" w:eastAsia="宋体" w:cs="宋体"/>
                <w:color w:val="auto"/>
                <w:sz w:val="21"/>
                <w:szCs w:val="21"/>
              </w:rPr>
            </w:pPr>
            <w:r>
              <w:rPr>
                <w:rFonts w:hint="eastAsia" w:ascii="宋体" w:hAnsi="宋体" w:cs="宋体"/>
                <w:color w:val="auto"/>
                <w:sz w:val="21"/>
                <w:szCs w:val="21"/>
                <w:lang w:val="en-US" w:eastAsia="zh-CN"/>
              </w:rPr>
              <w:t>危废贮存库</w:t>
            </w:r>
            <w:r>
              <w:rPr>
                <w:rFonts w:hint="eastAsia" w:ascii="宋体" w:hAnsi="宋体" w:eastAsia="宋体" w:cs="宋体"/>
                <w:color w:val="auto"/>
                <w:sz w:val="21"/>
                <w:szCs w:val="21"/>
                <w:lang w:val="en-US" w:eastAsia="zh-CN"/>
              </w:rPr>
              <w:t>的危险废物等发生泄漏和漫流，产生的主要环境危害为液体物料进入环境污染地表水体、地下水和土壤；挥发性的液体产生的废气将污染当地大气环境</w:t>
            </w:r>
            <w:r>
              <w:rPr>
                <w:rFonts w:hint="eastAsia" w:ascii="宋体" w:hAnsi="宋体" w:eastAsia="宋体" w:cs="宋体"/>
                <w:color w:val="auto"/>
                <w:sz w:val="21"/>
                <w:szCs w:val="21"/>
              </w:rPr>
              <w:t>。</w:t>
            </w:r>
          </w:p>
          <w:p w14:paraId="1DCB7651">
            <w:pPr>
              <w:pStyle w:val="3"/>
              <w:keepNext/>
              <w:keepLines/>
              <w:pageBreakBefore w:val="0"/>
              <w:widowControl w:val="0"/>
              <w:numPr>
                <w:ilvl w:val="0"/>
                <w:numId w:val="0"/>
              </w:numPr>
              <w:tabs>
                <w:tab w:val="left" w:pos="948"/>
              </w:tabs>
              <w:kinsoku/>
              <w:wordWrap/>
              <w:overflowPunct/>
              <w:topLinePunct/>
              <w:autoSpaceDE/>
              <w:autoSpaceDN/>
              <w:bidi w:val="0"/>
              <w:adjustRightInd/>
              <w:snapToGrid/>
              <w:spacing w:before="0" w:after="0" w:line="360" w:lineRule="auto"/>
              <w:ind w:left="0" w:leftChars="0" w:right="0" w:rightChars="0" w:firstLine="422" w:firstLineChars="200"/>
              <w:jc w:val="left"/>
              <w:textAlignment w:val="auto"/>
              <w:outlineLvl w:val="1"/>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（二）火灾爆炸及引起二次污染的分析</w:t>
            </w:r>
          </w:p>
          <w:p w14:paraId="098EECF6">
            <w:pPr>
              <w:pStyle w:val="12"/>
              <w:keepNext w:val="0"/>
              <w:keepLines w:val="0"/>
              <w:pageBreakBefore w:val="0"/>
              <w:widowControl w:val="0"/>
              <w:kinsoku/>
              <w:wordWrap/>
              <w:overflowPunct/>
              <w:topLinePunct w:val="0"/>
              <w:autoSpaceDE/>
              <w:autoSpaceDN/>
              <w:bidi w:val="0"/>
              <w:adjustRightInd/>
              <w:snapToGrid/>
              <w:spacing w:before="0" w:after="0" w:line="360" w:lineRule="auto"/>
              <w:ind w:left="0" w:leftChars="0" w:right="0" w:firstLine="420" w:firstLineChars="20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电气火灾。电气设备老化、绝缘破损、过流、短路、接线不规范、电器使用不当等遇明火等引起火灾，鼠患导致电线短路，造成火灾；</w:t>
            </w:r>
          </w:p>
          <w:p w14:paraId="3041170D">
            <w:pPr>
              <w:pStyle w:val="12"/>
              <w:keepNext w:val="0"/>
              <w:keepLines w:val="0"/>
              <w:pageBreakBefore w:val="0"/>
              <w:widowControl w:val="0"/>
              <w:kinsoku/>
              <w:wordWrap/>
              <w:overflowPunct/>
              <w:topLinePunct w:val="0"/>
              <w:autoSpaceDE/>
              <w:autoSpaceDN/>
              <w:bidi w:val="0"/>
              <w:adjustRightInd/>
              <w:snapToGrid/>
              <w:spacing w:before="0" w:after="0" w:line="360" w:lineRule="auto"/>
              <w:ind w:left="0" w:leftChars="0" w:right="0" w:firstLine="420" w:firstLineChars="20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工人抽烟，乱扔烟头，导致火灾；</w:t>
            </w:r>
          </w:p>
          <w:p w14:paraId="0C0B90BE">
            <w:pPr>
              <w:pStyle w:val="12"/>
              <w:keepNext w:val="0"/>
              <w:keepLines w:val="0"/>
              <w:pageBreakBefore w:val="0"/>
              <w:widowControl w:val="0"/>
              <w:kinsoku/>
              <w:wordWrap/>
              <w:overflowPunct/>
              <w:topLinePunct w:val="0"/>
              <w:autoSpaceDE/>
              <w:autoSpaceDN/>
              <w:bidi w:val="0"/>
              <w:adjustRightInd/>
              <w:snapToGrid/>
              <w:spacing w:before="0" w:after="0" w:line="360" w:lineRule="auto"/>
              <w:ind w:left="0" w:leftChars="0" w:right="0" w:firstLine="420" w:firstLineChars="20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明火管理不严。生产、生活用火失控，导致火灾；</w:t>
            </w:r>
          </w:p>
          <w:p w14:paraId="02C61057">
            <w:pPr>
              <w:pStyle w:val="12"/>
              <w:keepNext w:val="0"/>
              <w:keepLines w:val="0"/>
              <w:pageBreakBefore w:val="0"/>
              <w:widowControl w:val="0"/>
              <w:kinsoku/>
              <w:wordWrap/>
              <w:overflowPunct/>
              <w:topLinePunct w:val="0"/>
              <w:autoSpaceDE/>
              <w:autoSpaceDN/>
              <w:bidi w:val="0"/>
              <w:adjustRightInd/>
              <w:snapToGrid/>
              <w:spacing w:before="0" w:after="0" w:line="360" w:lineRule="auto"/>
              <w:ind w:left="0" w:leftChars="0" w:right="0" w:firstLine="420" w:firstLineChars="20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原材料等保存不规范，遇明火造成的火灾：</w:t>
            </w:r>
          </w:p>
          <w:p w14:paraId="738D118C">
            <w:pPr>
              <w:pStyle w:val="3"/>
              <w:keepNext/>
              <w:keepLines/>
              <w:pageBreakBefore w:val="0"/>
              <w:widowControl w:val="0"/>
              <w:numPr>
                <w:ilvl w:val="0"/>
                <w:numId w:val="0"/>
              </w:numPr>
              <w:tabs>
                <w:tab w:val="left" w:pos="948"/>
              </w:tabs>
              <w:kinsoku/>
              <w:wordWrap/>
              <w:overflowPunct/>
              <w:topLinePunct/>
              <w:autoSpaceDE/>
              <w:autoSpaceDN/>
              <w:bidi w:val="0"/>
              <w:adjustRightInd/>
              <w:snapToGrid/>
              <w:spacing w:before="0" w:after="0" w:line="360" w:lineRule="auto"/>
              <w:ind w:right="0" w:rightChars="0" w:firstLine="422" w:firstLineChars="200"/>
              <w:jc w:val="left"/>
              <w:textAlignment w:val="auto"/>
              <w:outlineLvl w:val="1"/>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（三）次生环境污染分析</w:t>
            </w:r>
          </w:p>
          <w:p w14:paraId="29EC7142">
            <w:pPr>
              <w:pStyle w:val="58"/>
              <w:keepNext w:val="0"/>
              <w:keepLines w:val="0"/>
              <w:pageBreakBefore w:val="0"/>
              <w:widowControl w:val="0"/>
              <w:numPr>
                <w:ilvl w:val="0"/>
                <w:numId w:val="0"/>
              </w:numPr>
              <w:tabs>
                <w:tab w:val="left" w:pos="1521"/>
              </w:tabs>
              <w:kinsoku/>
              <w:wordWrap/>
              <w:overflowPunct/>
              <w:topLinePunct w:val="0"/>
              <w:autoSpaceDE/>
              <w:autoSpaceDN/>
              <w:bidi w:val="0"/>
              <w:adjustRightInd/>
              <w:snapToGrid/>
              <w:spacing w:after="0" w:line="360" w:lineRule="auto"/>
              <w:ind w:left="0" w:leftChars="0" w:right="0" w:rightChars="0" w:firstLine="420" w:firstLineChars="200"/>
              <w:jc w:val="left"/>
              <w:textAlignment w:val="auto"/>
              <w:outlineLvl w:val="9"/>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油类物质、塑料配件等在遇高温明火可能发生燃烧，如营运期安全措施不到位，极易引发火灾事故和污染事故。一般火灾事故会造成较大的人身财产安全，在物料燃烧过程中会造成大气环境污染。燃烧过程中会产生如CO、烟尘等由于有毒有害气体。CO在大气中比较稳定，不易与其他</w:t>
            </w:r>
            <w:r>
              <w:rPr>
                <w:rFonts w:hint="eastAsia" w:cs="宋体"/>
                <w:color w:val="auto"/>
                <w:sz w:val="21"/>
                <w:szCs w:val="21"/>
                <w:lang w:val="en-US" w:eastAsia="zh-CN"/>
              </w:rPr>
              <w:t>物质</w:t>
            </w:r>
            <w:r>
              <w:rPr>
                <w:rFonts w:hint="eastAsia" w:ascii="宋体" w:hAnsi="宋体" w:eastAsia="宋体" w:cs="宋体"/>
                <w:color w:val="auto"/>
                <w:sz w:val="21"/>
                <w:szCs w:val="21"/>
                <w:lang w:val="en-US" w:eastAsia="zh-CN"/>
              </w:rPr>
              <w:t>产生化学反应，但当CO浓度过高时，人在这种环境下待的时间较</w:t>
            </w:r>
            <w:r>
              <w:rPr>
                <w:rFonts w:hint="eastAsia" w:cs="宋体"/>
                <w:color w:val="auto"/>
                <w:sz w:val="21"/>
                <w:szCs w:val="21"/>
                <w:lang w:val="en-US" w:eastAsia="zh-CN"/>
              </w:rPr>
              <w:t>长</w:t>
            </w:r>
            <w:r>
              <w:rPr>
                <w:rFonts w:hint="eastAsia" w:ascii="宋体" w:hAnsi="宋体" w:eastAsia="宋体" w:cs="宋体"/>
                <w:color w:val="auto"/>
                <w:sz w:val="21"/>
                <w:szCs w:val="21"/>
                <w:lang w:val="en-US" w:eastAsia="zh-CN"/>
              </w:rPr>
              <w:t>，就会出现</w:t>
            </w:r>
            <w:r>
              <w:rPr>
                <w:rFonts w:hint="eastAsia" w:cs="宋体"/>
                <w:color w:val="auto"/>
                <w:sz w:val="21"/>
                <w:szCs w:val="21"/>
                <w:lang w:val="en-US" w:eastAsia="zh-CN"/>
              </w:rPr>
              <w:t>眩晕</w:t>
            </w:r>
            <w:r>
              <w:rPr>
                <w:rFonts w:hint="eastAsia" w:ascii="宋体" w:hAnsi="宋体" w:eastAsia="宋体" w:cs="宋体"/>
                <w:color w:val="auto"/>
                <w:sz w:val="21"/>
                <w:szCs w:val="21"/>
                <w:lang w:val="en-US" w:eastAsia="zh-CN"/>
              </w:rPr>
              <w:t>、头痛、</w:t>
            </w:r>
            <w:r>
              <w:rPr>
                <w:rFonts w:hint="eastAsia" w:cs="宋体"/>
                <w:color w:val="auto"/>
                <w:sz w:val="21"/>
                <w:szCs w:val="21"/>
                <w:lang w:val="en-US" w:eastAsia="zh-CN"/>
              </w:rPr>
              <w:t>倦怠</w:t>
            </w:r>
            <w:r>
              <w:rPr>
                <w:rFonts w:hint="eastAsia" w:ascii="宋体" w:hAnsi="宋体" w:eastAsia="宋体" w:cs="宋体"/>
                <w:color w:val="auto"/>
                <w:sz w:val="21"/>
                <w:szCs w:val="21"/>
                <w:lang w:val="en-US" w:eastAsia="zh-CN"/>
              </w:rPr>
              <w:t>的现象，CO对人的主要危害就是引起组织缺氧，导致急性或慢性中毒甚至有死亡的威胁。此外，CO还可能造成听力与视力的损害，比如视野的减小或者听力的丧失。</w:t>
            </w:r>
          </w:p>
          <w:p w14:paraId="77F0BF95">
            <w:pPr>
              <w:pStyle w:val="12"/>
              <w:keepNext w:val="0"/>
              <w:keepLines w:val="0"/>
              <w:pageBreakBefore w:val="0"/>
              <w:widowControl w:val="0"/>
              <w:kinsoku/>
              <w:wordWrap/>
              <w:overflowPunct/>
              <w:topLinePunct w:val="0"/>
              <w:autoSpaceDE/>
              <w:autoSpaceDN/>
              <w:bidi w:val="0"/>
              <w:adjustRightInd/>
              <w:snapToGrid/>
              <w:spacing w:before="0" w:after="0" w:line="360" w:lineRule="auto"/>
              <w:ind w:left="0" w:leftChars="0" w:right="0" w:firstLine="420"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厂区内一旦发生火灾爆炸等事故后，伴随在消防过程中会产生二次环境污染问题，主要体现在消防污水如直接经过市政雨水或污水管网进入纳污水体，含高浓度污染物的消防排水将对项目附近的地面水体造成不利的影响</w:t>
            </w:r>
            <w:r>
              <w:rPr>
                <w:rFonts w:hint="eastAsia" w:ascii="宋体" w:hAnsi="宋体" w:eastAsia="宋体" w:cs="宋体"/>
                <w:color w:val="auto"/>
                <w:sz w:val="21"/>
                <w:szCs w:val="21"/>
                <w:lang w:eastAsia="zh-CN"/>
              </w:rPr>
              <w:t>。</w:t>
            </w:r>
          </w:p>
          <w:p w14:paraId="4E9351A2">
            <w:pPr>
              <w:pStyle w:val="3"/>
              <w:keepNext/>
              <w:keepLines/>
              <w:pageBreakBefore w:val="0"/>
              <w:widowControl w:val="0"/>
              <w:numPr>
                <w:ilvl w:val="0"/>
                <w:numId w:val="0"/>
              </w:numPr>
              <w:tabs>
                <w:tab w:val="left" w:pos="948"/>
              </w:tabs>
              <w:kinsoku/>
              <w:wordWrap/>
              <w:overflowPunct/>
              <w:topLinePunct/>
              <w:autoSpaceDE/>
              <w:autoSpaceDN/>
              <w:bidi w:val="0"/>
              <w:adjustRightInd/>
              <w:snapToGrid/>
              <w:spacing w:before="0" w:after="0" w:line="360" w:lineRule="auto"/>
              <w:ind w:right="0" w:rightChars="0" w:firstLine="422" w:firstLineChars="200"/>
              <w:jc w:val="left"/>
              <w:textAlignment w:val="auto"/>
              <w:outlineLvl w:val="1"/>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6.4、环境风险防范措施及应急要求</w:t>
            </w:r>
          </w:p>
          <w:p w14:paraId="3AC37112">
            <w:pPr>
              <w:pStyle w:val="58"/>
              <w:keepNext w:val="0"/>
              <w:keepLines w:val="0"/>
              <w:pageBreakBefore w:val="0"/>
              <w:widowControl w:val="0"/>
              <w:numPr>
                <w:ilvl w:val="0"/>
                <w:numId w:val="0"/>
              </w:numPr>
              <w:tabs>
                <w:tab w:val="left" w:pos="1521"/>
              </w:tabs>
              <w:kinsoku/>
              <w:wordWrap/>
              <w:overflowPunct/>
              <w:topLinePunct w:val="0"/>
              <w:autoSpaceDE/>
              <w:autoSpaceDN/>
              <w:bidi w:val="0"/>
              <w:adjustRightInd/>
              <w:snapToGrid/>
              <w:spacing w:after="0" w:line="360" w:lineRule="auto"/>
              <w:ind w:left="0" w:leftChars="0" w:right="0" w:rightChars="0" w:firstLine="422" w:firstLineChars="200"/>
              <w:jc w:val="left"/>
              <w:textAlignment w:val="auto"/>
              <w:outlineLvl w:val="9"/>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（一）火灾、爆炸风险防范措施</w:t>
            </w:r>
          </w:p>
          <w:p w14:paraId="71D711F6">
            <w:pPr>
              <w:pStyle w:val="58"/>
              <w:keepNext w:val="0"/>
              <w:keepLines w:val="0"/>
              <w:pageBreakBefore w:val="0"/>
              <w:widowControl w:val="0"/>
              <w:numPr>
                <w:ilvl w:val="0"/>
                <w:numId w:val="0"/>
              </w:numPr>
              <w:tabs>
                <w:tab w:val="left" w:pos="1521"/>
              </w:tabs>
              <w:kinsoku/>
              <w:wordWrap/>
              <w:overflowPunct/>
              <w:topLinePunct w:val="0"/>
              <w:autoSpaceDE/>
              <w:autoSpaceDN/>
              <w:bidi w:val="0"/>
              <w:adjustRightInd/>
              <w:snapToGrid/>
              <w:spacing w:after="0" w:line="360" w:lineRule="auto"/>
              <w:ind w:left="0" w:leftChars="0" w:right="0" w:rightChars="0" w:firstLine="420" w:firstLineChars="200"/>
              <w:jc w:val="left"/>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（1）严禁火源进入生产车间、仓库，对明火严格控制。</w:t>
            </w:r>
          </w:p>
          <w:p w14:paraId="382A6F8E">
            <w:pPr>
              <w:pStyle w:val="58"/>
              <w:keepNext w:val="0"/>
              <w:keepLines w:val="0"/>
              <w:pageBreakBefore w:val="0"/>
              <w:widowControl w:val="0"/>
              <w:numPr>
                <w:ilvl w:val="0"/>
                <w:numId w:val="0"/>
              </w:numPr>
              <w:tabs>
                <w:tab w:val="left" w:pos="1521"/>
              </w:tabs>
              <w:kinsoku/>
              <w:wordWrap/>
              <w:overflowPunct/>
              <w:topLinePunct w:val="0"/>
              <w:autoSpaceDE/>
              <w:autoSpaceDN/>
              <w:bidi w:val="0"/>
              <w:adjustRightInd/>
              <w:snapToGrid/>
              <w:spacing w:after="0" w:line="360" w:lineRule="auto"/>
              <w:ind w:left="0" w:leftChars="0" w:right="0" w:rightChars="0" w:firstLine="420" w:firstLineChars="200"/>
              <w:jc w:val="left"/>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（2）为防止由于容器静电引起事故，必须使用除静电装置，不使用塑料容器。</w:t>
            </w:r>
          </w:p>
          <w:p w14:paraId="42A007AF">
            <w:pPr>
              <w:pStyle w:val="58"/>
              <w:keepNext w:val="0"/>
              <w:keepLines w:val="0"/>
              <w:pageBreakBefore w:val="0"/>
              <w:widowControl w:val="0"/>
              <w:numPr>
                <w:ilvl w:val="0"/>
                <w:numId w:val="0"/>
              </w:numPr>
              <w:tabs>
                <w:tab w:val="left" w:pos="1521"/>
              </w:tabs>
              <w:kinsoku/>
              <w:wordWrap/>
              <w:overflowPunct/>
              <w:topLinePunct w:val="0"/>
              <w:autoSpaceDE/>
              <w:autoSpaceDN/>
              <w:bidi w:val="0"/>
              <w:adjustRightInd/>
              <w:snapToGrid/>
              <w:spacing w:after="0" w:line="360" w:lineRule="auto"/>
              <w:ind w:left="0" w:leftChars="0" w:right="0" w:rightChars="0" w:firstLine="420" w:firstLineChars="200"/>
              <w:jc w:val="left"/>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（3）为防止摩擦、冲击等发热、发火花而起火，应使用铜、铝等有色金属制造的工具。</w:t>
            </w:r>
          </w:p>
          <w:p w14:paraId="68AF44BA">
            <w:pPr>
              <w:pStyle w:val="58"/>
              <w:keepNext w:val="0"/>
              <w:keepLines w:val="0"/>
              <w:pageBreakBefore w:val="0"/>
              <w:widowControl w:val="0"/>
              <w:numPr>
                <w:ilvl w:val="0"/>
                <w:numId w:val="0"/>
              </w:numPr>
              <w:tabs>
                <w:tab w:val="left" w:pos="1521"/>
              </w:tabs>
              <w:kinsoku/>
              <w:wordWrap/>
              <w:overflowPunct/>
              <w:topLinePunct w:val="0"/>
              <w:autoSpaceDE/>
              <w:autoSpaceDN/>
              <w:bidi w:val="0"/>
              <w:adjustRightInd/>
              <w:snapToGrid/>
              <w:spacing w:after="0" w:line="360" w:lineRule="auto"/>
              <w:ind w:left="0" w:leftChars="0" w:right="0" w:rightChars="0" w:firstLine="420" w:firstLineChars="200"/>
              <w:jc w:val="left"/>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（4）严禁使用破损、腐蚀、有裂痕的容器；搬运时不要在地上抛掷拖拉，以防意外事故的发生。</w:t>
            </w:r>
          </w:p>
          <w:p w14:paraId="4CA8A1E8">
            <w:pPr>
              <w:pStyle w:val="58"/>
              <w:keepNext w:val="0"/>
              <w:keepLines w:val="0"/>
              <w:pageBreakBefore w:val="0"/>
              <w:widowControl w:val="0"/>
              <w:numPr>
                <w:ilvl w:val="0"/>
                <w:numId w:val="0"/>
              </w:numPr>
              <w:tabs>
                <w:tab w:val="left" w:pos="1521"/>
              </w:tabs>
              <w:kinsoku/>
              <w:wordWrap/>
              <w:overflowPunct/>
              <w:topLinePunct w:val="0"/>
              <w:autoSpaceDE/>
              <w:autoSpaceDN/>
              <w:bidi w:val="0"/>
              <w:adjustRightInd/>
              <w:snapToGrid/>
              <w:spacing w:after="0" w:line="360" w:lineRule="auto"/>
              <w:ind w:left="0" w:leftChars="0" w:right="0" w:rightChars="0" w:firstLine="420" w:firstLineChars="200"/>
              <w:jc w:val="left"/>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（5）电气设备应定期检修，发现可能引起火花，短路，发热及电气绝缘损坏，接触电阻；</w:t>
            </w:r>
          </w:p>
          <w:p w14:paraId="647BFC5C">
            <w:pPr>
              <w:pStyle w:val="58"/>
              <w:keepNext w:val="0"/>
              <w:keepLines w:val="0"/>
              <w:pageBreakBefore w:val="0"/>
              <w:widowControl w:val="0"/>
              <w:numPr>
                <w:ilvl w:val="0"/>
                <w:numId w:val="0"/>
              </w:numPr>
              <w:tabs>
                <w:tab w:val="left" w:pos="1521"/>
              </w:tabs>
              <w:kinsoku/>
              <w:wordWrap/>
              <w:overflowPunct/>
              <w:topLinePunct w:val="0"/>
              <w:autoSpaceDE/>
              <w:autoSpaceDN/>
              <w:bidi w:val="0"/>
              <w:adjustRightInd/>
              <w:snapToGrid/>
              <w:spacing w:after="0" w:line="360" w:lineRule="auto"/>
              <w:ind w:left="0" w:leftChars="0" w:right="0" w:rightChars="0" w:firstLine="420" w:firstLineChars="200"/>
              <w:jc w:val="left"/>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（6）项目严格执行相关规范要求，所有建、构筑物之间或与</w:t>
            </w:r>
            <w:r>
              <w:rPr>
                <w:rFonts w:hint="eastAsia" w:cs="宋体"/>
                <w:b w:val="0"/>
                <w:bCs w:val="0"/>
                <w:color w:val="auto"/>
                <w:sz w:val="21"/>
                <w:szCs w:val="21"/>
                <w:lang w:val="en-US" w:eastAsia="zh-CN"/>
              </w:rPr>
              <w:t>其他</w:t>
            </w:r>
            <w:r>
              <w:rPr>
                <w:rFonts w:hint="eastAsia" w:ascii="宋体" w:hAnsi="宋体" w:eastAsia="宋体" w:cs="宋体"/>
                <w:b w:val="0"/>
                <w:bCs w:val="0"/>
                <w:color w:val="auto"/>
                <w:sz w:val="21"/>
                <w:szCs w:val="21"/>
                <w:lang w:val="en-US" w:eastAsia="zh-CN"/>
              </w:rPr>
              <w:t>场所之间留有足够的防火间距，以防止在火灾时相互影响。项目根据《建筑设计防火规范</w:t>
            </w:r>
            <w:r>
              <w:rPr>
                <w:rFonts w:hint="eastAsia" w:cs="宋体"/>
                <w:b w:val="0"/>
                <w:bCs w:val="0"/>
                <w:color w:val="auto"/>
                <w:sz w:val="21"/>
                <w:szCs w:val="21"/>
                <w:lang w:val="en-US" w:eastAsia="zh-CN"/>
              </w:rPr>
              <w:t>》</w:t>
            </w:r>
            <w:r>
              <w:rPr>
                <w:rFonts w:hint="eastAsia" w:ascii="宋体" w:hAnsi="宋体" w:eastAsia="宋体" w:cs="宋体"/>
                <w:b w:val="0"/>
                <w:bCs w:val="0"/>
                <w:color w:val="auto"/>
                <w:sz w:val="21"/>
                <w:szCs w:val="21"/>
                <w:lang w:val="en-US" w:eastAsia="zh-CN"/>
              </w:rPr>
              <w:t>（GB50016-2014）的要求：火灾危险性等级和防火、防爆，对建筑物的防火等级均采用国家现行规范要求的耐火等级设计，满足建筑防火要求。</w:t>
            </w:r>
          </w:p>
          <w:p w14:paraId="2BF07EFD">
            <w:pPr>
              <w:pStyle w:val="58"/>
              <w:keepNext w:val="0"/>
              <w:keepLines w:val="0"/>
              <w:pageBreakBefore w:val="0"/>
              <w:widowControl w:val="0"/>
              <w:numPr>
                <w:ilvl w:val="0"/>
                <w:numId w:val="0"/>
              </w:numPr>
              <w:tabs>
                <w:tab w:val="left" w:pos="1521"/>
              </w:tabs>
              <w:kinsoku/>
              <w:wordWrap/>
              <w:overflowPunct/>
              <w:topLinePunct w:val="0"/>
              <w:autoSpaceDE/>
              <w:autoSpaceDN/>
              <w:bidi w:val="0"/>
              <w:adjustRightInd/>
              <w:snapToGrid/>
              <w:spacing w:after="0" w:line="360" w:lineRule="auto"/>
              <w:ind w:left="0" w:leftChars="0" w:right="0" w:rightChars="0" w:firstLine="420" w:firstLineChars="200"/>
              <w:jc w:val="left"/>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b w:val="0"/>
                <w:bCs w:val="0"/>
                <w:color w:val="auto"/>
                <w:sz w:val="21"/>
                <w:szCs w:val="21"/>
                <w:lang w:val="en-US" w:eastAsia="zh-CN"/>
              </w:rPr>
              <w:t>（7）针对不同的工作部位，设计相应的消防系统。消防系统的设计应严格遵守《建筑设计防火规范》（GB50016-2014）及《自动喷水灭火系统设计规范》（GBJ50084-2001）的有关规定。在火灾爆炸的敏感区设计符合设计规范的消防管网、消防栓、喷淋系统和各种手持式灭火器材，一旦发生险情可及时发现处理，消除隐患。设置“危险</w:t>
            </w:r>
            <w:r>
              <w:rPr>
                <w:rFonts w:hint="eastAsia" w:cs="宋体"/>
                <w:b w:val="0"/>
                <w:bCs w:val="0"/>
                <w:color w:val="auto"/>
                <w:sz w:val="21"/>
                <w:szCs w:val="21"/>
                <w:lang w:val="en-US" w:eastAsia="zh-CN"/>
              </w:rPr>
              <w:t>”“</w:t>
            </w:r>
            <w:r>
              <w:rPr>
                <w:rFonts w:hint="eastAsia" w:ascii="宋体" w:hAnsi="宋体" w:eastAsia="宋体" w:cs="宋体"/>
                <w:b w:val="0"/>
                <w:bCs w:val="0"/>
                <w:color w:val="auto"/>
                <w:sz w:val="21"/>
                <w:szCs w:val="21"/>
                <w:lang w:val="en-US" w:eastAsia="zh-CN"/>
              </w:rPr>
              <w:t>禁止烟火”等警示标志</w:t>
            </w:r>
          </w:p>
          <w:p w14:paraId="230A4DB5">
            <w:pPr>
              <w:pStyle w:val="58"/>
              <w:keepNext w:val="0"/>
              <w:keepLines w:val="0"/>
              <w:pageBreakBefore w:val="0"/>
              <w:widowControl w:val="0"/>
              <w:numPr>
                <w:ilvl w:val="0"/>
                <w:numId w:val="0"/>
              </w:numPr>
              <w:tabs>
                <w:tab w:val="left" w:pos="1521"/>
              </w:tabs>
              <w:kinsoku/>
              <w:wordWrap/>
              <w:overflowPunct/>
              <w:topLinePunct w:val="0"/>
              <w:autoSpaceDE/>
              <w:autoSpaceDN/>
              <w:bidi w:val="0"/>
              <w:adjustRightInd/>
              <w:snapToGrid/>
              <w:spacing w:after="0" w:line="360" w:lineRule="auto"/>
              <w:ind w:left="0" w:leftChars="0" w:right="0" w:rightChars="0" w:firstLine="422" w:firstLineChars="200"/>
              <w:jc w:val="left"/>
              <w:textAlignment w:val="auto"/>
              <w:outlineLvl w:val="9"/>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w:t>
            </w:r>
            <w:r>
              <w:rPr>
                <w:rFonts w:hint="eastAsia" w:cs="宋体"/>
                <w:b/>
                <w:bCs/>
                <w:color w:val="auto"/>
                <w:sz w:val="21"/>
                <w:szCs w:val="21"/>
                <w:lang w:val="en-US" w:eastAsia="zh-CN"/>
              </w:rPr>
              <w:t>二</w:t>
            </w:r>
            <w:r>
              <w:rPr>
                <w:rFonts w:hint="eastAsia" w:ascii="宋体" w:hAnsi="宋体" w:eastAsia="宋体" w:cs="宋体"/>
                <w:b/>
                <w:bCs/>
                <w:color w:val="auto"/>
                <w:sz w:val="21"/>
                <w:szCs w:val="21"/>
                <w:lang w:val="en-US" w:eastAsia="zh-CN"/>
              </w:rPr>
              <w:t>）泄漏风险防范措施</w:t>
            </w:r>
          </w:p>
          <w:p w14:paraId="53CE5AA7">
            <w:pPr>
              <w:pStyle w:val="58"/>
              <w:keepNext w:val="0"/>
              <w:keepLines w:val="0"/>
              <w:pageBreakBefore w:val="0"/>
              <w:widowControl w:val="0"/>
              <w:numPr>
                <w:ilvl w:val="0"/>
                <w:numId w:val="0"/>
              </w:numPr>
              <w:tabs>
                <w:tab w:val="left" w:pos="1521"/>
              </w:tabs>
              <w:kinsoku/>
              <w:wordWrap/>
              <w:overflowPunct/>
              <w:topLinePunct w:val="0"/>
              <w:autoSpaceDE/>
              <w:autoSpaceDN/>
              <w:bidi w:val="0"/>
              <w:adjustRightInd/>
              <w:snapToGrid/>
              <w:spacing w:after="0" w:line="360" w:lineRule="auto"/>
              <w:ind w:left="0" w:leftChars="0" w:right="0" w:rightChars="0" w:firstLine="420" w:firstLineChars="200"/>
              <w:jc w:val="left"/>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①</w:t>
            </w:r>
            <w:r>
              <w:rPr>
                <w:rFonts w:hint="eastAsia" w:cs="宋体"/>
                <w:b w:val="0"/>
                <w:bCs w:val="0"/>
                <w:color w:val="auto"/>
                <w:sz w:val="21"/>
                <w:szCs w:val="21"/>
                <w:lang w:val="en-US" w:eastAsia="zh-CN"/>
              </w:rPr>
              <w:t>危废间、生产车间</w:t>
            </w:r>
            <w:r>
              <w:rPr>
                <w:rFonts w:hint="eastAsia" w:ascii="宋体" w:hAnsi="宋体" w:eastAsia="宋体" w:cs="宋体"/>
                <w:b w:val="0"/>
                <w:bCs w:val="0"/>
                <w:color w:val="auto"/>
                <w:sz w:val="21"/>
                <w:szCs w:val="21"/>
                <w:lang w:val="en-US" w:eastAsia="zh-CN"/>
              </w:rPr>
              <w:t>应备有泄漏应急处理设备和合适的收容材料。</w:t>
            </w:r>
          </w:p>
          <w:p w14:paraId="61E12ED7">
            <w:pPr>
              <w:pStyle w:val="58"/>
              <w:keepNext w:val="0"/>
              <w:keepLines w:val="0"/>
              <w:pageBreakBefore w:val="0"/>
              <w:widowControl w:val="0"/>
              <w:numPr>
                <w:ilvl w:val="0"/>
                <w:numId w:val="0"/>
              </w:numPr>
              <w:tabs>
                <w:tab w:val="left" w:pos="1521"/>
              </w:tabs>
              <w:kinsoku/>
              <w:wordWrap/>
              <w:overflowPunct/>
              <w:topLinePunct w:val="0"/>
              <w:autoSpaceDE/>
              <w:autoSpaceDN/>
              <w:bidi w:val="0"/>
              <w:adjustRightInd/>
              <w:snapToGrid/>
              <w:spacing w:after="0" w:line="360" w:lineRule="auto"/>
              <w:ind w:left="0" w:leftChars="0" w:right="0" w:rightChars="0" w:firstLine="420" w:firstLineChars="200"/>
              <w:jc w:val="left"/>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②如发生小量泄漏，用砂土或其他不燃材料吸收，使用洁净的无火花工具收集吸收材料；如发生大量泄漏，构筑围堤或挖坑收容。用抗溶性泡沫覆盖，减少蒸发。</w:t>
            </w:r>
          </w:p>
          <w:p w14:paraId="0BE9A5D4">
            <w:pPr>
              <w:pStyle w:val="58"/>
              <w:keepNext w:val="0"/>
              <w:keepLines w:val="0"/>
              <w:pageBreakBefore w:val="0"/>
              <w:widowControl w:val="0"/>
              <w:numPr>
                <w:ilvl w:val="0"/>
                <w:numId w:val="0"/>
              </w:numPr>
              <w:tabs>
                <w:tab w:val="left" w:pos="1334"/>
              </w:tabs>
              <w:kinsoku/>
              <w:wordWrap/>
              <w:overflowPunct/>
              <w:topLinePunct w:val="0"/>
              <w:autoSpaceDE w:val="0"/>
              <w:autoSpaceDN w:val="0"/>
              <w:bidi w:val="0"/>
              <w:adjustRightInd/>
              <w:snapToGrid/>
              <w:spacing w:before="0" w:after="0" w:line="360" w:lineRule="auto"/>
              <w:ind w:left="0" w:leftChars="0" w:right="0" w:rightChars="0" w:firstLine="422" w:firstLineChars="200"/>
              <w:jc w:val="left"/>
              <w:textAlignment w:val="auto"/>
              <w:outlineLvl w:val="9"/>
              <w:rPr>
                <w:rFonts w:hint="default" w:ascii="宋体" w:hAnsi="宋体" w:eastAsia="宋体" w:cs="宋体"/>
                <w:b/>
                <w:bCs/>
                <w:color w:val="auto"/>
                <w:sz w:val="21"/>
                <w:szCs w:val="21"/>
                <w:lang w:val="en-US" w:eastAsia="zh-CN"/>
              </w:rPr>
            </w:pPr>
            <w:r>
              <w:rPr>
                <w:rFonts w:hint="eastAsia" w:cs="宋体"/>
                <w:b/>
                <w:bCs/>
                <w:color w:val="auto"/>
                <w:sz w:val="21"/>
                <w:szCs w:val="21"/>
                <w:lang w:val="en-US" w:eastAsia="zh-CN"/>
              </w:rPr>
              <w:t>（三）消防废水防范措施</w:t>
            </w:r>
          </w:p>
          <w:p w14:paraId="52256569">
            <w:pPr>
              <w:pStyle w:val="58"/>
              <w:keepNext w:val="0"/>
              <w:keepLines w:val="0"/>
              <w:pageBreakBefore w:val="0"/>
              <w:widowControl w:val="0"/>
              <w:numPr>
                <w:ilvl w:val="0"/>
                <w:numId w:val="0"/>
              </w:numPr>
              <w:tabs>
                <w:tab w:val="left" w:pos="1521"/>
              </w:tabs>
              <w:kinsoku/>
              <w:wordWrap/>
              <w:overflowPunct/>
              <w:topLinePunct w:val="0"/>
              <w:autoSpaceDE/>
              <w:autoSpaceDN/>
              <w:bidi w:val="0"/>
              <w:adjustRightInd/>
              <w:snapToGrid/>
              <w:spacing w:after="0" w:line="360" w:lineRule="auto"/>
              <w:ind w:left="0" w:leftChars="0" w:right="0" w:rightChars="0" w:firstLine="420" w:firstLineChars="200"/>
              <w:jc w:val="left"/>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项目发生火灾在扑救过程消防水会在瞬间大量排出，而且危险废物仓库中储存的物质可能随消防水一起流出，如任其漫流进入附近水体或市政管网，会引起环境污染，及影响到城市污水处理厂，项目采取以下措施防止消防废水进入附近水体或市政管网。</w:t>
            </w:r>
          </w:p>
          <w:p w14:paraId="70A6A07D">
            <w:pPr>
              <w:pStyle w:val="58"/>
              <w:keepNext w:val="0"/>
              <w:keepLines w:val="0"/>
              <w:pageBreakBefore w:val="0"/>
              <w:widowControl w:val="0"/>
              <w:numPr>
                <w:ilvl w:val="0"/>
                <w:numId w:val="0"/>
              </w:numPr>
              <w:tabs>
                <w:tab w:val="left" w:pos="1521"/>
              </w:tabs>
              <w:kinsoku/>
              <w:wordWrap/>
              <w:overflowPunct/>
              <w:topLinePunct w:val="0"/>
              <w:autoSpaceDE/>
              <w:autoSpaceDN/>
              <w:bidi w:val="0"/>
              <w:adjustRightInd/>
              <w:snapToGrid/>
              <w:spacing w:after="0" w:line="360" w:lineRule="auto"/>
              <w:ind w:left="0" w:leftChars="0" w:right="0" w:rightChars="0" w:firstLine="420" w:firstLineChars="200"/>
              <w:jc w:val="left"/>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（1）建议项目设置事故应急池，产生的消防废水可经事故应急池收集。</w:t>
            </w:r>
          </w:p>
          <w:p w14:paraId="6821357E">
            <w:pPr>
              <w:pStyle w:val="58"/>
              <w:keepNext w:val="0"/>
              <w:keepLines w:val="0"/>
              <w:pageBreakBefore w:val="0"/>
              <w:widowControl w:val="0"/>
              <w:numPr>
                <w:ilvl w:val="0"/>
                <w:numId w:val="0"/>
              </w:numPr>
              <w:tabs>
                <w:tab w:val="left" w:pos="1521"/>
              </w:tabs>
              <w:kinsoku/>
              <w:wordWrap/>
              <w:overflowPunct/>
              <w:topLinePunct w:val="0"/>
              <w:autoSpaceDE/>
              <w:autoSpaceDN/>
              <w:bidi w:val="0"/>
              <w:adjustRightInd/>
              <w:snapToGrid/>
              <w:spacing w:after="0" w:line="360" w:lineRule="auto"/>
              <w:ind w:left="0" w:leftChars="0" w:right="0" w:rightChars="0" w:firstLine="420" w:firstLineChars="200"/>
              <w:jc w:val="left"/>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事故应急池为钢筋混凝土结构，四边墙体为垂直，并做好防渗漏措施，以防止废水渗透入地下而污染地下水体。同时设置消防废水收集管网系统，并将管网系统与事故应急池连接，确保事故时的消防废水经管网收集进入事故应急池中暂存。</w:t>
            </w:r>
          </w:p>
          <w:p w14:paraId="09ABB205">
            <w:pPr>
              <w:pStyle w:val="58"/>
              <w:keepNext w:val="0"/>
              <w:keepLines w:val="0"/>
              <w:pageBreakBefore w:val="0"/>
              <w:widowControl w:val="0"/>
              <w:numPr>
                <w:ilvl w:val="0"/>
                <w:numId w:val="0"/>
              </w:numPr>
              <w:tabs>
                <w:tab w:val="left" w:pos="1521"/>
              </w:tabs>
              <w:kinsoku/>
              <w:wordWrap/>
              <w:overflowPunct/>
              <w:topLinePunct w:val="0"/>
              <w:autoSpaceDE/>
              <w:autoSpaceDN/>
              <w:bidi w:val="0"/>
              <w:adjustRightInd/>
              <w:snapToGrid/>
              <w:spacing w:after="0" w:line="360" w:lineRule="auto"/>
              <w:ind w:left="0" w:leftChars="0" w:right="0" w:rightChars="0" w:firstLine="420" w:firstLineChars="200"/>
              <w:jc w:val="left"/>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（3）厂区雨水总排水口设置截断阀门，发生事故时，立即将雨水等排放口与外水体切断，使废水截留在事故应急池中，不会进入附近水体或市政管网。</w:t>
            </w:r>
          </w:p>
          <w:p w14:paraId="0EBD3B84">
            <w:pPr>
              <w:pStyle w:val="58"/>
              <w:keepNext w:val="0"/>
              <w:keepLines w:val="0"/>
              <w:pageBreakBefore w:val="0"/>
              <w:widowControl w:val="0"/>
              <w:numPr>
                <w:ilvl w:val="0"/>
                <w:numId w:val="0"/>
              </w:numPr>
              <w:tabs>
                <w:tab w:val="left" w:pos="1521"/>
              </w:tabs>
              <w:kinsoku/>
              <w:wordWrap/>
              <w:overflowPunct/>
              <w:topLinePunct w:val="0"/>
              <w:autoSpaceDE/>
              <w:autoSpaceDN/>
              <w:bidi w:val="0"/>
              <w:adjustRightInd/>
              <w:snapToGrid/>
              <w:spacing w:after="0" w:line="360" w:lineRule="auto"/>
              <w:ind w:left="0" w:leftChars="0" w:right="0" w:rightChars="0" w:firstLine="420" w:firstLineChars="200"/>
              <w:jc w:val="left"/>
              <w:textAlignment w:val="auto"/>
              <w:outlineLvl w:val="9"/>
              <w:rPr>
                <w:rFonts w:hint="eastAsia" w:ascii="宋体" w:hAnsi="宋体" w:eastAsia="宋体" w:cs="宋体"/>
                <w:b/>
                <w:bCs/>
                <w:color w:val="auto"/>
                <w:sz w:val="21"/>
                <w:szCs w:val="21"/>
                <w:lang w:val="en-US" w:eastAsia="zh-CN"/>
              </w:rPr>
            </w:pPr>
            <w:r>
              <w:rPr>
                <w:rFonts w:hint="eastAsia" w:ascii="宋体" w:hAnsi="宋体" w:eastAsia="宋体" w:cs="宋体"/>
                <w:b w:val="0"/>
                <w:bCs w:val="0"/>
                <w:color w:val="auto"/>
                <w:sz w:val="21"/>
                <w:szCs w:val="21"/>
                <w:lang w:val="en-US" w:eastAsia="zh-CN"/>
              </w:rPr>
              <w:t>（4）厂区四周由围墙包围，大门口设置3cm以上的围堰，确保事故废水截留在厂区范围内。</w:t>
            </w:r>
          </w:p>
          <w:p w14:paraId="3D86BDA8">
            <w:pPr>
              <w:pStyle w:val="58"/>
              <w:keepNext w:val="0"/>
              <w:keepLines w:val="0"/>
              <w:pageBreakBefore w:val="0"/>
              <w:widowControl w:val="0"/>
              <w:numPr>
                <w:ilvl w:val="0"/>
                <w:numId w:val="0"/>
              </w:numPr>
              <w:tabs>
                <w:tab w:val="left" w:pos="1334"/>
              </w:tabs>
              <w:kinsoku/>
              <w:wordWrap/>
              <w:overflowPunct/>
              <w:topLinePunct w:val="0"/>
              <w:autoSpaceDE w:val="0"/>
              <w:autoSpaceDN w:val="0"/>
              <w:bidi w:val="0"/>
              <w:adjustRightInd/>
              <w:snapToGrid/>
              <w:spacing w:before="0" w:after="0" w:line="360" w:lineRule="auto"/>
              <w:ind w:left="0" w:leftChars="0" w:right="0" w:rightChars="0" w:firstLine="422" w:firstLineChars="200"/>
              <w:jc w:val="left"/>
              <w:textAlignment w:val="auto"/>
              <w:outlineLvl w:val="9"/>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w:t>
            </w:r>
            <w:r>
              <w:rPr>
                <w:rFonts w:hint="eastAsia" w:cs="宋体"/>
                <w:b/>
                <w:bCs/>
                <w:color w:val="auto"/>
                <w:sz w:val="21"/>
                <w:szCs w:val="21"/>
                <w:lang w:val="en-US" w:eastAsia="zh-CN"/>
              </w:rPr>
              <w:t>四</w:t>
            </w:r>
            <w:r>
              <w:rPr>
                <w:rFonts w:hint="eastAsia" w:ascii="宋体" w:hAnsi="宋体" w:eastAsia="宋体" w:cs="宋体"/>
                <w:b/>
                <w:bCs/>
                <w:color w:val="auto"/>
                <w:sz w:val="21"/>
                <w:szCs w:val="21"/>
                <w:lang w:val="en-US" w:eastAsia="zh-CN"/>
              </w:rPr>
              <w:t>）运行过程安全管理措施</w:t>
            </w:r>
          </w:p>
          <w:p w14:paraId="0AF8C5BB">
            <w:pPr>
              <w:pStyle w:val="58"/>
              <w:keepNext w:val="0"/>
              <w:keepLines w:val="0"/>
              <w:pageBreakBefore w:val="0"/>
              <w:widowControl w:val="0"/>
              <w:numPr>
                <w:ilvl w:val="0"/>
                <w:numId w:val="0"/>
              </w:numPr>
              <w:tabs>
                <w:tab w:val="left" w:pos="1334"/>
              </w:tabs>
              <w:kinsoku/>
              <w:wordWrap/>
              <w:overflowPunct/>
              <w:topLinePunct w:val="0"/>
              <w:autoSpaceDE w:val="0"/>
              <w:autoSpaceDN w:val="0"/>
              <w:bidi w:val="0"/>
              <w:adjustRightInd/>
              <w:snapToGrid/>
              <w:spacing w:before="0" w:after="0" w:line="360" w:lineRule="auto"/>
              <w:ind w:left="0" w:leftChars="0" w:right="0" w:rightChars="0" w:firstLine="420" w:firstLineChars="200"/>
              <w:jc w:val="left"/>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1、加强内部安全管理</w:t>
            </w:r>
          </w:p>
          <w:p w14:paraId="1BBF1883">
            <w:pPr>
              <w:pStyle w:val="58"/>
              <w:keepNext w:val="0"/>
              <w:keepLines w:val="0"/>
              <w:pageBreakBefore w:val="0"/>
              <w:widowControl w:val="0"/>
              <w:numPr>
                <w:ilvl w:val="0"/>
                <w:numId w:val="0"/>
              </w:numPr>
              <w:tabs>
                <w:tab w:val="left" w:pos="1334"/>
              </w:tabs>
              <w:kinsoku/>
              <w:wordWrap/>
              <w:overflowPunct/>
              <w:topLinePunct w:val="0"/>
              <w:autoSpaceDE w:val="0"/>
              <w:autoSpaceDN w:val="0"/>
              <w:bidi w:val="0"/>
              <w:adjustRightInd/>
              <w:snapToGrid/>
              <w:spacing w:before="0" w:after="0" w:line="360" w:lineRule="auto"/>
              <w:ind w:left="0" w:leftChars="0" w:right="0" w:rightChars="0" w:firstLine="420" w:firstLineChars="200"/>
              <w:jc w:val="left"/>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建立并完善生产经营单位的安全管理组织机构和人员配置，保证各类安全生产管理制度能认真贯彻执行，各项安全生产责任制能落实到人。明确各级第一负责人为安全生产第一责任人。在落实安全生产管理机构和人员配置后，还需建立各级机构和人员安全生产责任制。</w:t>
            </w:r>
          </w:p>
          <w:p w14:paraId="77AF76BA">
            <w:pPr>
              <w:pStyle w:val="58"/>
              <w:keepNext w:val="0"/>
              <w:keepLines w:val="0"/>
              <w:pageBreakBefore w:val="0"/>
              <w:widowControl w:val="0"/>
              <w:numPr>
                <w:ilvl w:val="0"/>
                <w:numId w:val="0"/>
              </w:numPr>
              <w:tabs>
                <w:tab w:val="left" w:pos="1334"/>
              </w:tabs>
              <w:kinsoku/>
              <w:wordWrap/>
              <w:overflowPunct/>
              <w:topLinePunct w:val="0"/>
              <w:autoSpaceDE w:val="0"/>
              <w:autoSpaceDN w:val="0"/>
              <w:bidi w:val="0"/>
              <w:adjustRightInd/>
              <w:snapToGrid/>
              <w:spacing w:before="0" w:after="0" w:line="360" w:lineRule="auto"/>
              <w:ind w:left="0" w:leftChars="0" w:right="0" w:rightChars="0" w:firstLine="420" w:firstLineChars="200"/>
              <w:jc w:val="left"/>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生产经营单位的主要负责人、安全生产管理人员、特种作业人员和生产一线操作人员，都必须接受相应的安全教育和培训，并且考试合格。</w:t>
            </w:r>
          </w:p>
          <w:p w14:paraId="755DD1E7">
            <w:pPr>
              <w:pStyle w:val="58"/>
              <w:keepNext w:val="0"/>
              <w:keepLines w:val="0"/>
              <w:pageBreakBefore w:val="0"/>
              <w:widowControl w:val="0"/>
              <w:numPr>
                <w:ilvl w:val="0"/>
                <w:numId w:val="0"/>
              </w:numPr>
              <w:tabs>
                <w:tab w:val="left" w:pos="1334"/>
              </w:tabs>
              <w:kinsoku/>
              <w:wordWrap/>
              <w:overflowPunct/>
              <w:topLinePunct w:val="0"/>
              <w:autoSpaceDE w:val="0"/>
              <w:autoSpaceDN w:val="0"/>
              <w:bidi w:val="0"/>
              <w:adjustRightInd/>
              <w:snapToGrid/>
              <w:spacing w:before="0" w:after="0" w:line="360" w:lineRule="auto"/>
              <w:ind w:left="0" w:leftChars="0" w:right="0" w:rightChars="0" w:firstLine="420" w:firstLineChars="200"/>
              <w:jc w:val="left"/>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（2）安全投入</w:t>
            </w:r>
          </w:p>
          <w:p w14:paraId="2CD2C1E1">
            <w:pPr>
              <w:pStyle w:val="58"/>
              <w:keepNext w:val="0"/>
              <w:keepLines w:val="0"/>
              <w:pageBreakBefore w:val="0"/>
              <w:widowControl w:val="0"/>
              <w:numPr>
                <w:ilvl w:val="0"/>
                <w:numId w:val="0"/>
              </w:numPr>
              <w:tabs>
                <w:tab w:val="left" w:pos="1334"/>
              </w:tabs>
              <w:kinsoku/>
              <w:wordWrap/>
              <w:overflowPunct/>
              <w:topLinePunct w:val="0"/>
              <w:autoSpaceDE w:val="0"/>
              <w:autoSpaceDN w:val="0"/>
              <w:bidi w:val="0"/>
              <w:adjustRightInd/>
              <w:snapToGrid/>
              <w:spacing w:before="0" w:after="0" w:line="360" w:lineRule="auto"/>
              <w:ind w:left="0" w:leftChars="0" w:right="0" w:rightChars="0" w:firstLine="420" w:firstLineChars="200"/>
              <w:jc w:val="left"/>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建立健全生产经营单位安全生产投入的长效保障机制，从资金和设施装备等物质方面保障安全生产工作正常进行。</w:t>
            </w:r>
          </w:p>
          <w:p w14:paraId="00BE7397">
            <w:pPr>
              <w:pStyle w:val="58"/>
              <w:keepNext w:val="0"/>
              <w:keepLines w:val="0"/>
              <w:pageBreakBefore w:val="0"/>
              <w:widowControl w:val="0"/>
              <w:numPr>
                <w:ilvl w:val="0"/>
                <w:numId w:val="0"/>
              </w:numPr>
              <w:tabs>
                <w:tab w:val="left" w:pos="1334"/>
              </w:tabs>
              <w:kinsoku/>
              <w:wordWrap/>
              <w:overflowPunct/>
              <w:topLinePunct w:val="0"/>
              <w:autoSpaceDE w:val="0"/>
              <w:autoSpaceDN w:val="0"/>
              <w:bidi w:val="0"/>
              <w:adjustRightInd/>
              <w:snapToGrid/>
              <w:spacing w:before="0" w:after="0" w:line="360" w:lineRule="auto"/>
              <w:ind w:left="0" w:leftChars="0" w:right="0" w:rightChars="0" w:firstLine="420" w:firstLineChars="200"/>
              <w:jc w:val="left"/>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建设项目安全设施，必须与主体工程同时设计，同时施工，同时投入生产和使用。安全设施投资应当纳入建设项目概算。</w:t>
            </w:r>
          </w:p>
          <w:p w14:paraId="5E068CA1">
            <w:pPr>
              <w:pStyle w:val="58"/>
              <w:keepNext w:val="0"/>
              <w:keepLines w:val="0"/>
              <w:pageBreakBefore w:val="0"/>
              <w:widowControl w:val="0"/>
              <w:numPr>
                <w:ilvl w:val="0"/>
                <w:numId w:val="0"/>
              </w:numPr>
              <w:tabs>
                <w:tab w:val="left" w:pos="1334"/>
              </w:tabs>
              <w:kinsoku/>
              <w:wordWrap/>
              <w:overflowPunct/>
              <w:topLinePunct w:val="0"/>
              <w:autoSpaceDE w:val="0"/>
              <w:autoSpaceDN w:val="0"/>
              <w:bidi w:val="0"/>
              <w:adjustRightInd/>
              <w:snapToGrid/>
              <w:spacing w:before="0" w:after="0" w:line="360" w:lineRule="auto"/>
              <w:ind w:left="0" w:leftChars="0" w:right="0" w:rightChars="0" w:firstLine="420" w:firstLineChars="200"/>
              <w:jc w:val="left"/>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建设单位在日常运行过程中应根据国家相关规定提取用于安全生产的专项资金，专款专用，进行安全生产方面的技术改造，增添安全设施和防护设备以及个体防护用品。</w:t>
            </w:r>
          </w:p>
          <w:p w14:paraId="1C97059D">
            <w:pPr>
              <w:pStyle w:val="58"/>
              <w:keepNext w:val="0"/>
              <w:keepLines w:val="0"/>
              <w:pageBreakBefore w:val="0"/>
              <w:widowControl w:val="0"/>
              <w:numPr>
                <w:ilvl w:val="0"/>
                <w:numId w:val="0"/>
              </w:numPr>
              <w:tabs>
                <w:tab w:val="left" w:pos="1334"/>
              </w:tabs>
              <w:kinsoku/>
              <w:wordWrap/>
              <w:overflowPunct/>
              <w:topLinePunct w:val="0"/>
              <w:autoSpaceDE w:val="0"/>
              <w:autoSpaceDN w:val="0"/>
              <w:bidi w:val="0"/>
              <w:adjustRightInd/>
              <w:snapToGrid/>
              <w:spacing w:before="0" w:after="0" w:line="360" w:lineRule="auto"/>
              <w:ind w:left="0" w:leftChars="0" w:right="0" w:rightChars="0" w:firstLine="420" w:firstLineChars="200"/>
              <w:jc w:val="left"/>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对于可能引发事故的场所、设备设施应制定必要的应急救援措施和配备相应的消防、救援设施。</w:t>
            </w:r>
          </w:p>
          <w:p w14:paraId="03F22BCE">
            <w:pPr>
              <w:pStyle w:val="58"/>
              <w:keepNext w:val="0"/>
              <w:keepLines w:val="0"/>
              <w:pageBreakBefore w:val="0"/>
              <w:widowControl w:val="0"/>
              <w:numPr>
                <w:ilvl w:val="0"/>
                <w:numId w:val="0"/>
              </w:numPr>
              <w:tabs>
                <w:tab w:val="left" w:pos="1334"/>
              </w:tabs>
              <w:kinsoku/>
              <w:wordWrap/>
              <w:overflowPunct/>
              <w:topLinePunct w:val="0"/>
              <w:autoSpaceDE w:val="0"/>
              <w:autoSpaceDN w:val="0"/>
              <w:bidi w:val="0"/>
              <w:adjustRightInd/>
              <w:snapToGrid/>
              <w:spacing w:before="0" w:after="0" w:line="360" w:lineRule="auto"/>
              <w:ind w:left="0" w:leftChars="0" w:right="0" w:rightChars="0" w:firstLine="420" w:firstLineChars="200"/>
              <w:jc w:val="left"/>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2、加强对工艺操作的安全管理</w:t>
            </w:r>
          </w:p>
          <w:p w14:paraId="5403E9A9">
            <w:pPr>
              <w:pStyle w:val="58"/>
              <w:keepNext w:val="0"/>
              <w:keepLines w:val="0"/>
              <w:pageBreakBefore w:val="0"/>
              <w:widowControl w:val="0"/>
              <w:numPr>
                <w:ilvl w:val="0"/>
                <w:numId w:val="0"/>
              </w:numPr>
              <w:tabs>
                <w:tab w:val="left" w:pos="1334"/>
              </w:tabs>
              <w:kinsoku/>
              <w:wordWrap/>
              <w:overflowPunct/>
              <w:topLinePunct w:val="0"/>
              <w:autoSpaceDE w:val="0"/>
              <w:autoSpaceDN w:val="0"/>
              <w:bidi w:val="0"/>
              <w:adjustRightInd/>
              <w:snapToGrid/>
              <w:spacing w:before="0" w:after="0" w:line="360" w:lineRule="auto"/>
              <w:ind w:left="0" w:leftChars="0" w:right="0" w:rightChars="0" w:firstLine="420" w:firstLineChars="200"/>
              <w:jc w:val="left"/>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（1）贯彻执行工艺操作规程</w:t>
            </w:r>
          </w:p>
          <w:p w14:paraId="627B07FA">
            <w:pPr>
              <w:pStyle w:val="58"/>
              <w:keepNext w:val="0"/>
              <w:keepLines w:val="0"/>
              <w:pageBreakBefore w:val="0"/>
              <w:widowControl w:val="0"/>
              <w:numPr>
                <w:ilvl w:val="0"/>
                <w:numId w:val="0"/>
              </w:numPr>
              <w:tabs>
                <w:tab w:val="left" w:pos="1334"/>
              </w:tabs>
              <w:kinsoku/>
              <w:wordWrap/>
              <w:overflowPunct/>
              <w:topLinePunct w:val="0"/>
              <w:autoSpaceDE w:val="0"/>
              <w:autoSpaceDN w:val="0"/>
              <w:bidi w:val="0"/>
              <w:adjustRightInd/>
              <w:snapToGrid/>
              <w:spacing w:before="0" w:after="0" w:line="360" w:lineRule="auto"/>
              <w:ind w:left="0" w:leftChars="0" w:right="0" w:rightChars="0" w:firstLine="420" w:firstLineChars="200"/>
              <w:jc w:val="left"/>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工艺操作规程是生产活动的主要依据，也是制定企业各类生产性规程、制度的依据。工艺操作规程是企业重要和基本的技术文件。工艺操作规程</w:t>
            </w:r>
            <w:r>
              <w:rPr>
                <w:rFonts w:hint="eastAsia" w:cs="宋体"/>
                <w:color w:val="auto"/>
                <w:sz w:val="21"/>
                <w:szCs w:val="21"/>
                <w:lang w:val="en-US" w:eastAsia="zh-CN"/>
              </w:rPr>
              <w:t>制定</w:t>
            </w:r>
            <w:r>
              <w:rPr>
                <w:rFonts w:hint="eastAsia" w:ascii="宋体" w:hAnsi="宋体" w:eastAsia="宋体" w:cs="宋体"/>
                <w:color w:val="auto"/>
                <w:sz w:val="21"/>
                <w:szCs w:val="21"/>
                <w:lang w:val="en-US" w:eastAsia="zh-CN"/>
              </w:rPr>
              <w:t>后，凡与产品生产有关的职能部门和职工都必须严格执行，不得违反。工厂应加强对操作人员，特别是对新入厂的操作人员进行工艺操作规程的培训，使操作人员严格按工艺操作规程操作。</w:t>
            </w:r>
          </w:p>
          <w:p w14:paraId="478EDF30">
            <w:pPr>
              <w:pStyle w:val="58"/>
              <w:keepNext w:val="0"/>
              <w:keepLines w:val="0"/>
              <w:pageBreakBefore w:val="0"/>
              <w:widowControl w:val="0"/>
              <w:numPr>
                <w:ilvl w:val="0"/>
                <w:numId w:val="0"/>
              </w:numPr>
              <w:tabs>
                <w:tab w:val="left" w:pos="1334"/>
              </w:tabs>
              <w:kinsoku/>
              <w:wordWrap/>
              <w:overflowPunct/>
              <w:topLinePunct w:val="0"/>
              <w:autoSpaceDE w:val="0"/>
              <w:autoSpaceDN w:val="0"/>
              <w:bidi w:val="0"/>
              <w:adjustRightInd/>
              <w:snapToGrid/>
              <w:spacing w:before="0" w:after="0" w:line="360" w:lineRule="auto"/>
              <w:ind w:left="0" w:leftChars="0" w:right="0" w:rightChars="0" w:firstLine="420" w:firstLineChars="200"/>
              <w:jc w:val="left"/>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（2）严格贯彻执行安全操作规程</w:t>
            </w:r>
          </w:p>
          <w:p w14:paraId="321E51BF">
            <w:pPr>
              <w:pStyle w:val="58"/>
              <w:keepNext w:val="0"/>
              <w:keepLines w:val="0"/>
              <w:pageBreakBefore w:val="0"/>
              <w:widowControl w:val="0"/>
              <w:numPr>
                <w:ilvl w:val="0"/>
                <w:numId w:val="0"/>
              </w:numPr>
              <w:tabs>
                <w:tab w:val="left" w:pos="1334"/>
              </w:tabs>
              <w:kinsoku/>
              <w:wordWrap/>
              <w:overflowPunct/>
              <w:topLinePunct w:val="0"/>
              <w:autoSpaceDE w:val="0"/>
              <w:autoSpaceDN w:val="0"/>
              <w:bidi w:val="0"/>
              <w:adjustRightInd/>
              <w:snapToGrid/>
              <w:spacing w:before="0" w:after="0" w:line="360" w:lineRule="auto"/>
              <w:ind w:left="0" w:leftChars="0" w:right="0" w:rightChars="0" w:firstLine="420" w:firstLineChars="200"/>
              <w:jc w:val="left"/>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安全操作规程是操作者在岗位范围内，如何合理运用劳动资料完成本职任务的规定性文件，是操作者进行生产活动的行为准则。安全操作规程是集工艺技术、安全技术、设备维护保养及安全管理制度于一体的综合性</w:t>
            </w:r>
            <w:r>
              <w:rPr>
                <w:rFonts w:hint="eastAsia" w:cs="宋体"/>
                <w:color w:val="auto"/>
                <w:sz w:val="21"/>
                <w:szCs w:val="21"/>
                <w:lang w:val="en-US" w:eastAsia="zh-CN"/>
              </w:rPr>
              <w:t>规范性文件</w:t>
            </w:r>
            <w:r>
              <w:rPr>
                <w:rFonts w:hint="eastAsia" w:ascii="宋体" w:hAnsi="宋体" w:eastAsia="宋体" w:cs="宋体"/>
                <w:color w:val="auto"/>
                <w:sz w:val="21"/>
                <w:szCs w:val="21"/>
                <w:lang w:val="en-US" w:eastAsia="zh-CN"/>
              </w:rPr>
              <w:t>，是操作工人必须严格执行的作业程序。因此，工厂应加强对操作人员，特别是对新入厂的操作人员进行安全操作规程的培训，使操作人员严格按安全操作规程操作。</w:t>
            </w:r>
          </w:p>
          <w:p w14:paraId="7AF932BE">
            <w:pPr>
              <w:pStyle w:val="58"/>
              <w:keepNext w:val="0"/>
              <w:keepLines w:val="0"/>
              <w:pageBreakBefore w:val="0"/>
              <w:widowControl w:val="0"/>
              <w:numPr>
                <w:ilvl w:val="0"/>
                <w:numId w:val="0"/>
              </w:numPr>
              <w:tabs>
                <w:tab w:val="left" w:pos="1334"/>
              </w:tabs>
              <w:kinsoku/>
              <w:wordWrap/>
              <w:overflowPunct/>
              <w:topLinePunct w:val="0"/>
              <w:autoSpaceDE w:val="0"/>
              <w:autoSpaceDN w:val="0"/>
              <w:bidi w:val="0"/>
              <w:adjustRightInd/>
              <w:snapToGrid/>
              <w:spacing w:before="0" w:after="0" w:line="360" w:lineRule="auto"/>
              <w:ind w:left="0" w:leftChars="0" w:right="0" w:rightChars="0" w:firstLine="420" w:firstLineChars="200"/>
              <w:jc w:val="left"/>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（3）严格控制工艺参数</w:t>
            </w:r>
          </w:p>
          <w:p w14:paraId="6465CCB3">
            <w:pPr>
              <w:pStyle w:val="58"/>
              <w:keepNext w:val="0"/>
              <w:keepLines w:val="0"/>
              <w:pageBreakBefore w:val="0"/>
              <w:widowControl w:val="0"/>
              <w:numPr>
                <w:ilvl w:val="0"/>
                <w:numId w:val="0"/>
              </w:numPr>
              <w:tabs>
                <w:tab w:val="left" w:pos="1334"/>
              </w:tabs>
              <w:kinsoku/>
              <w:wordWrap/>
              <w:overflowPunct/>
              <w:topLinePunct w:val="0"/>
              <w:autoSpaceDE w:val="0"/>
              <w:autoSpaceDN w:val="0"/>
              <w:bidi w:val="0"/>
              <w:adjustRightInd/>
              <w:snapToGrid/>
              <w:spacing w:before="0" w:after="0" w:line="360" w:lineRule="auto"/>
              <w:ind w:left="0" w:leftChars="0" w:right="0" w:rightChars="0" w:firstLine="420" w:firstLineChars="200"/>
              <w:jc w:val="left"/>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在生产操作中，要正确控制各种工艺参数，防止超温、溢料、跑料对防止泄漏、火灾、爆炸事故极为重要。</w:t>
            </w:r>
          </w:p>
          <w:p w14:paraId="1C4C43AB">
            <w:pPr>
              <w:pStyle w:val="58"/>
              <w:keepNext w:val="0"/>
              <w:keepLines w:val="0"/>
              <w:pageBreakBefore w:val="0"/>
              <w:widowControl w:val="0"/>
              <w:numPr>
                <w:ilvl w:val="0"/>
                <w:numId w:val="0"/>
              </w:numPr>
              <w:tabs>
                <w:tab w:val="left" w:pos="1334"/>
              </w:tabs>
              <w:kinsoku/>
              <w:wordWrap/>
              <w:overflowPunct/>
              <w:topLinePunct w:val="0"/>
              <w:autoSpaceDE w:val="0"/>
              <w:autoSpaceDN w:val="0"/>
              <w:bidi w:val="0"/>
              <w:adjustRightInd/>
              <w:snapToGrid/>
              <w:spacing w:before="0" w:after="0" w:line="360" w:lineRule="auto"/>
              <w:ind w:left="0" w:leftChars="0" w:right="0" w:rightChars="0" w:firstLine="420" w:firstLineChars="200"/>
              <w:jc w:val="left"/>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w:t>
            </w:r>
            <w:r>
              <w:rPr>
                <w:rFonts w:hint="eastAsia" w:cs="宋体"/>
                <w:color w:val="auto"/>
                <w:sz w:val="21"/>
                <w:szCs w:val="21"/>
                <w:lang w:val="en-US" w:eastAsia="zh-CN"/>
              </w:rPr>
              <w:t>做好</w:t>
            </w:r>
            <w:r>
              <w:rPr>
                <w:rFonts w:hint="eastAsia" w:ascii="宋体" w:hAnsi="宋体" w:eastAsia="宋体" w:cs="宋体"/>
                <w:color w:val="auto"/>
                <w:sz w:val="21"/>
                <w:szCs w:val="21"/>
                <w:lang w:val="en-US" w:eastAsia="zh-CN"/>
              </w:rPr>
              <w:t>开停车及检修工作</w:t>
            </w:r>
          </w:p>
          <w:p w14:paraId="312C4614">
            <w:pPr>
              <w:pStyle w:val="58"/>
              <w:keepNext w:val="0"/>
              <w:keepLines w:val="0"/>
              <w:pageBreakBefore w:val="0"/>
              <w:widowControl w:val="0"/>
              <w:numPr>
                <w:ilvl w:val="0"/>
                <w:numId w:val="0"/>
              </w:numPr>
              <w:tabs>
                <w:tab w:val="left" w:pos="1334"/>
              </w:tabs>
              <w:kinsoku/>
              <w:wordWrap/>
              <w:overflowPunct/>
              <w:topLinePunct w:val="0"/>
              <w:autoSpaceDE w:val="0"/>
              <w:autoSpaceDN w:val="0"/>
              <w:bidi w:val="0"/>
              <w:adjustRightInd/>
              <w:snapToGrid/>
              <w:spacing w:before="0" w:after="0" w:line="360" w:lineRule="auto"/>
              <w:ind w:left="0" w:leftChars="0" w:right="0" w:rightChars="0" w:firstLine="420" w:firstLineChars="200"/>
              <w:jc w:val="left"/>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生产过程中的开停车及检修，往往是事故多发过程，因此应严格执行工厂制定的开停车规程和检修操作规程，</w:t>
            </w:r>
            <w:r>
              <w:rPr>
                <w:rFonts w:hint="eastAsia" w:cs="宋体"/>
                <w:color w:val="auto"/>
                <w:sz w:val="21"/>
                <w:szCs w:val="21"/>
                <w:lang w:val="en-US" w:eastAsia="zh-CN"/>
              </w:rPr>
              <w:t>做好</w:t>
            </w:r>
            <w:r>
              <w:rPr>
                <w:rFonts w:hint="eastAsia" w:ascii="宋体" w:hAnsi="宋体" w:eastAsia="宋体" w:cs="宋体"/>
                <w:color w:val="auto"/>
                <w:sz w:val="21"/>
                <w:szCs w:val="21"/>
                <w:lang w:val="en-US" w:eastAsia="zh-CN"/>
              </w:rPr>
              <w:t>物料置换及检测等工作，避免事故发生。</w:t>
            </w:r>
          </w:p>
          <w:p w14:paraId="0E7D5A06">
            <w:pPr>
              <w:pStyle w:val="58"/>
              <w:keepNext w:val="0"/>
              <w:keepLines w:val="0"/>
              <w:pageBreakBefore w:val="0"/>
              <w:widowControl w:val="0"/>
              <w:numPr>
                <w:ilvl w:val="0"/>
                <w:numId w:val="0"/>
              </w:numPr>
              <w:tabs>
                <w:tab w:val="left" w:pos="1334"/>
              </w:tabs>
              <w:kinsoku/>
              <w:wordWrap/>
              <w:overflowPunct/>
              <w:topLinePunct w:val="0"/>
              <w:autoSpaceDE w:val="0"/>
              <w:autoSpaceDN w:val="0"/>
              <w:bidi w:val="0"/>
              <w:adjustRightInd/>
              <w:snapToGrid/>
              <w:spacing w:before="0" w:after="0" w:line="360" w:lineRule="auto"/>
              <w:ind w:left="0" w:leftChars="0" w:right="0" w:rightChars="0" w:firstLine="420" w:firstLineChars="200"/>
              <w:jc w:val="left"/>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3、加强设备管理</w:t>
            </w:r>
          </w:p>
          <w:p w14:paraId="4EB613A8">
            <w:pPr>
              <w:pStyle w:val="58"/>
              <w:keepNext w:val="0"/>
              <w:keepLines w:val="0"/>
              <w:pageBreakBefore w:val="0"/>
              <w:widowControl w:val="0"/>
              <w:numPr>
                <w:ilvl w:val="0"/>
                <w:numId w:val="0"/>
              </w:numPr>
              <w:tabs>
                <w:tab w:val="left" w:pos="1334"/>
              </w:tabs>
              <w:kinsoku/>
              <w:wordWrap/>
              <w:overflowPunct/>
              <w:topLinePunct w:val="0"/>
              <w:autoSpaceDE w:val="0"/>
              <w:autoSpaceDN w:val="0"/>
              <w:bidi w:val="0"/>
              <w:adjustRightInd/>
              <w:snapToGrid/>
              <w:spacing w:before="0" w:after="0" w:line="360" w:lineRule="auto"/>
              <w:ind w:left="0" w:leftChars="0" w:right="0" w:rightChars="0" w:firstLine="420" w:firstLineChars="200"/>
              <w:jc w:val="left"/>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（1）贯彻计划检修，提高检修质量；</w:t>
            </w:r>
          </w:p>
          <w:p w14:paraId="017405D7">
            <w:pPr>
              <w:pStyle w:val="58"/>
              <w:keepNext w:val="0"/>
              <w:keepLines w:val="0"/>
              <w:pageBreakBefore w:val="0"/>
              <w:widowControl w:val="0"/>
              <w:numPr>
                <w:ilvl w:val="0"/>
                <w:numId w:val="0"/>
              </w:numPr>
              <w:tabs>
                <w:tab w:val="left" w:pos="1334"/>
              </w:tabs>
              <w:kinsoku/>
              <w:wordWrap/>
              <w:overflowPunct/>
              <w:topLinePunct w:val="0"/>
              <w:autoSpaceDE w:val="0"/>
              <w:autoSpaceDN w:val="0"/>
              <w:bidi w:val="0"/>
              <w:adjustRightInd/>
              <w:snapToGrid/>
              <w:spacing w:before="0" w:after="0" w:line="360" w:lineRule="auto"/>
              <w:ind w:left="0" w:leftChars="0" w:right="0" w:rightChars="0" w:firstLine="420" w:firstLineChars="200"/>
              <w:jc w:val="left"/>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（2）加强安全管理，强化监察和检测工作。各级管理人员均应缩短现场检查周期，并按规定定期进行检验、检测，发现问题及时处理，防止事故发生。</w:t>
            </w:r>
          </w:p>
          <w:p w14:paraId="46D9C7BB">
            <w:pPr>
              <w:pStyle w:val="58"/>
              <w:keepNext w:val="0"/>
              <w:keepLines w:val="0"/>
              <w:pageBreakBefore w:val="0"/>
              <w:widowControl w:val="0"/>
              <w:numPr>
                <w:ilvl w:val="0"/>
                <w:numId w:val="0"/>
              </w:numPr>
              <w:tabs>
                <w:tab w:val="left" w:pos="1334"/>
              </w:tabs>
              <w:kinsoku/>
              <w:wordWrap/>
              <w:overflowPunct/>
              <w:topLinePunct w:val="0"/>
              <w:autoSpaceDE w:val="0"/>
              <w:autoSpaceDN w:val="0"/>
              <w:bidi w:val="0"/>
              <w:adjustRightInd/>
              <w:snapToGrid/>
              <w:spacing w:before="0" w:after="0" w:line="360" w:lineRule="auto"/>
              <w:ind w:left="0" w:leftChars="0" w:right="0" w:rightChars="0" w:firstLine="420" w:firstLineChars="200"/>
              <w:jc w:val="left"/>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（3）设备的安全附件和安全装置要完整、灵敏、可靠、安全好用，同时， 要注意用比较先进的、可靠性好的逐步取代老式的。</w:t>
            </w:r>
          </w:p>
          <w:p w14:paraId="4D83F628">
            <w:pPr>
              <w:pStyle w:val="58"/>
              <w:keepNext w:val="0"/>
              <w:keepLines w:val="0"/>
              <w:pageBreakBefore w:val="0"/>
              <w:widowControl w:val="0"/>
              <w:numPr>
                <w:ilvl w:val="0"/>
                <w:numId w:val="0"/>
              </w:numPr>
              <w:tabs>
                <w:tab w:val="left" w:pos="1334"/>
              </w:tabs>
              <w:kinsoku/>
              <w:wordWrap/>
              <w:overflowPunct/>
              <w:topLinePunct w:val="0"/>
              <w:autoSpaceDE w:val="0"/>
              <w:autoSpaceDN w:val="0"/>
              <w:bidi w:val="0"/>
              <w:adjustRightInd/>
              <w:snapToGrid/>
              <w:spacing w:before="0" w:after="0" w:line="360" w:lineRule="auto"/>
              <w:ind w:left="0" w:leftChars="0" w:right="0" w:rightChars="0" w:firstLine="420" w:firstLineChars="200"/>
              <w:jc w:val="left"/>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（4）推广检测工具的使用，逐步把对设备检查的方法从看、听、摸上升为用状态监测器进行，使之从经验检查变为直观化、数据化检查。</w:t>
            </w:r>
          </w:p>
          <w:p w14:paraId="4AA899A0">
            <w:pPr>
              <w:pStyle w:val="58"/>
              <w:keepNext w:val="0"/>
              <w:keepLines w:val="0"/>
              <w:pageBreakBefore w:val="0"/>
              <w:widowControl w:val="0"/>
              <w:numPr>
                <w:ilvl w:val="0"/>
                <w:numId w:val="0"/>
              </w:numPr>
              <w:tabs>
                <w:tab w:val="left" w:pos="1334"/>
              </w:tabs>
              <w:kinsoku/>
              <w:wordWrap/>
              <w:overflowPunct/>
              <w:topLinePunct w:val="0"/>
              <w:autoSpaceDE w:val="0"/>
              <w:autoSpaceDN w:val="0"/>
              <w:bidi w:val="0"/>
              <w:adjustRightInd/>
              <w:snapToGrid/>
              <w:spacing w:before="0" w:after="0" w:line="360" w:lineRule="auto"/>
              <w:ind w:left="0" w:leftChars="0" w:right="0" w:rightChars="0" w:firstLine="420" w:firstLineChars="200"/>
              <w:jc w:val="left"/>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（5）严格执行《特种设备安全监察条例》和有关安全生产的法律、行政法规的规定，保证锅炉等特种设备的安全使用。</w:t>
            </w:r>
          </w:p>
          <w:p w14:paraId="2E443748">
            <w:pPr>
              <w:pStyle w:val="58"/>
              <w:keepNext w:val="0"/>
              <w:keepLines w:val="0"/>
              <w:pageBreakBefore w:val="0"/>
              <w:widowControl w:val="0"/>
              <w:numPr>
                <w:ilvl w:val="0"/>
                <w:numId w:val="0"/>
              </w:numPr>
              <w:tabs>
                <w:tab w:val="left" w:pos="1334"/>
              </w:tabs>
              <w:kinsoku/>
              <w:wordWrap/>
              <w:overflowPunct/>
              <w:topLinePunct w:val="0"/>
              <w:autoSpaceDE w:val="0"/>
              <w:autoSpaceDN w:val="0"/>
              <w:bidi w:val="0"/>
              <w:adjustRightInd/>
              <w:snapToGrid/>
              <w:spacing w:before="0" w:after="0" w:line="360" w:lineRule="auto"/>
              <w:ind w:left="0" w:leftChars="0" w:right="0" w:rightChars="0" w:firstLine="420" w:firstLineChars="200"/>
              <w:jc w:val="left"/>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（6）应当建立特种设备安全技术档案。</w:t>
            </w:r>
          </w:p>
          <w:p w14:paraId="76BCD0F1">
            <w:pPr>
              <w:pStyle w:val="58"/>
              <w:keepNext w:val="0"/>
              <w:keepLines w:val="0"/>
              <w:pageBreakBefore w:val="0"/>
              <w:widowControl w:val="0"/>
              <w:numPr>
                <w:ilvl w:val="0"/>
                <w:numId w:val="0"/>
              </w:numPr>
              <w:tabs>
                <w:tab w:val="left" w:pos="1334"/>
              </w:tabs>
              <w:kinsoku/>
              <w:wordWrap/>
              <w:overflowPunct/>
              <w:topLinePunct w:val="0"/>
              <w:autoSpaceDE w:val="0"/>
              <w:autoSpaceDN w:val="0"/>
              <w:bidi w:val="0"/>
              <w:adjustRightInd/>
              <w:snapToGrid/>
              <w:spacing w:before="0" w:after="0" w:line="360" w:lineRule="auto"/>
              <w:ind w:left="0" w:leftChars="0" w:right="0" w:rightChars="0" w:firstLine="420" w:firstLineChars="200"/>
              <w:jc w:val="left"/>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（7）业主应当对在用特种设备进行经常性日常维护保养，并定期检测、检查。</w:t>
            </w:r>
          </w:p>
          <w:p w14:paraId="333EDB57">
            <w:pPr>
              <w:pStyle w:val="58"/>
              <w:keepNext w:val="0"/>
              <w:keepLines w:val="0"/>
              <w:pageBreakBefore w:val="0"/>
              <w:widowControl w:val="0"/>
              <w:numPr>
                <w:ilvl w:val="0"/>
                <w:numId w:val="0"/>
              </w:numPr>
              <w:tabs>
                <w:tab w:val="left" w:pos="1334"/>
              </w:tabs>
              <w:kinsoku/>
              <w:wordWrap/>
              <w:overflowPunct/>
              <w:topLinePunct w:val="0"/>
              <w:autoSpaceDE w:val="0"/>
              <w:autoSpaceDN w:val="0"/>
              <w:bidi w:val="0"/>
              <w:adjustRightInd/>
              <w:snapToGrid/>
              <w:spacing w:before="0" w:after="0" w:line="360" w:lineRule="auto"/>
              <w:ind w:left="0" w:leftChars="0" w:right="0" w:rightChars="0" w:firstLine="420" w:firstLineChars="200"/>
              <w:jc w:val="left"/>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（8）业主应当制定特种设备的事故应急措施和救援预案。</w:t>
            </w:r>
          </w:p>
          <w:p w14:paraId="79B7DEB4">
            <w:pPr>
              <w:pStyle w:val="58"/>
              <w:keepNext w:val="0"/>
              <w:keepLines w:val="0"/>
              <w:pageBreakBefore w:val="0"/>
              <w:widowControl w:val="0"/>
              <w:numPr>
                <w:ilvl w:val="0"/>
                <w:numId w:val="0"/>
              </w:numPr>
              <w:tabs>
                <w:tab w:val="left" w:pos="1334"/>
              </w:tabs>
              <w:kinsoku/>
              <w:wordWrap/>
              <w:overflowPunct/>
              <w:topLinePunct w:val="0"/>
              <w:autoSpaceDE w:val="0"/>
              <w:autoSpaceDN w:val="0"/>
              <w:bidi w:val="0"/>
              <w:adjustRightInd/>
              <w:snapToGrid/>
              <w:spacing w:before="0" w:after="0" w:line="360" w:lineRule="auto"/>
              <w:ind w:left="0" w:leftChars="0" w:right="0" w:rightChars="0" w:firstLine="420" w:firstLineChars="200"/>
              <w:jc w:val="left"/>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（9）特种设备作业人员应当按照国家有关规定经特种设备安全监督管理部门考核合格，取得国家统一格式的特种作业人员证书，方可从事相应的作业或者管理工作。</w:t>
            </w:r>
          </w:p>
          <w:p w14:paraId="31E7FB73">
            <w:pPr>
              <w:pStyle w:val="58"/>
              <w:keepNext w:val="0"/>
              <w:keepLines w:val="0"/>
              <w:pageBreakBefore w:val="0"/>
              <w:widowControl w:val="0"/>
              <w:numPr>
                <w:ilvl w:val="0"/>
                <w:numId w:val="0"/>
              </w:numPr>
              <w:tabs>
                <w:tab w:val="left" w:pos="1334"/>
              </w:tabs>
              <w:kinsoku/>
              <w:wordWrap/>
              <w:overflowPunct/>
              <w:topLinePunct w:val="0"/>
              <w:autoSpaceDE w:val="0"/>
              <w:autoSpaceDN w:val="0"/>
              <w:bidi w:val="0"/>
              <w:adjustRightInd/>
              <w:snapToGrid/>
              <w:spacing w:before="0" w:after="0" w:line="360" w:lineRule="auto"/>
              <w:ind w:left="0" w:leftChars="0" w:right="0" w:rightChars="0" w:firstLine="420" w:firstLineChars="200"/>
              <w:jc w:val="left"/>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业主应当对特种设备作业人员进行特种设备安全教育和培训，保证特种设备作业人员具备必要的特种设备安全作业知识。特种设备作业人员在作业中应当严格执行特种设备的操作规程和有关的安全规章制度。</w:t>
            </w:r>
          </w:p>
          <w:p w14:paraId="2D5DCBB6">
            <w:pPr>
              <w:pStyle w:val="58"/>
              <w:keepNext w:val="0"/>
              <w:keepLines w:val="0"/>
              <w:pageBreakBefore w:val="0"/>
              <w:widowControl w:val="0"/>
              <w:numPr>
                <w:ilvl w:val="0"/>
                <w:numId w:val="0"/>
              </w:numPr>
              <w:tabs>
                <w:tab w:val="left" w:pos="1334"/>
              </w:tabs>
              <w:kinsoku/>
              <w:wordWrap/>
              <w:overflowPunct/>
              <w:topLinePunct w:val="0"/>
              <w:autoSpaceDE w:val="0"/>
              <w:autoSpaceDN w:val="0"/>
              <w:bidi w:val="0"/>
              <w:adjustRightInd/>
              <w:snapToGrid/>
              <w:spacing w:before="0" w:after="0" w:line="360" w:lineRule="auto"/>
              <w:ind w:left="0" w:leftChars="0" w:right="0" w:rightChars="0" w:firstLine="420" w:firstLineChars="200"/>
              <w:jc w:val="left"/>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4、加强火源管理</w:t>
            </w:r>
          </w:p>
          <w:p w14:paraId="0268838B">
            <w:pPr>
              <w:pStyle w:val="58"/>
              <w:keepNext w:val="0"/>
              <w:keepLines w:val="0"/>
              <w:pageBreakBefore w:val="0"/>
              <w:widowControl w:val="0"/>
              <w:numPr>
                <w:ilvl w:val="0"/>
                <w:numId w:val="0"/>
              </w:numPr>
              <w:tabs>
                <w:tab w:val="left" w:pos="1334"/>
              </w:tabs>
              <w:kinsoku/>
              <w:wordWrap/>
              <w:overflowPunct/>
              <w:topLinePunct w:val="0"/>
              <w:autoSpaceDE w:val="0"/>
              <w:autoSpaceDN w:val="0"/>
              <w:bidi w:val="0"/>
              <w:adjustRightInd/>
              <w:snapToGrid/>
              <w:spacing w:before="0" w:after="0" w:line="360" w:lineRule="auto"/>
              <w:ind w:left="0" w:leftChars="0" w:right="0" w:rightChars="0" w:firstLine="420" w:firstLineChars="200"/>
              <w:jc w:val="left"/>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（1）应尽量避免在火灾爆炸危险场所内动火，如果必须动火，应按动火级别办理动火许可证，并做好安全措施；在输送、贮存易燃易爆物料管道、设备上动火时，必须办理特殊动火许可证。</w:t>
            </w:r>
          </w:p>
          <w:p w14:paraId="660C9533">
            <w:pPr>
              <w:pStyle w:val="58"/>
              <w:keepNext w:val="0"/>
              <w:keepLines w:val="0"/>
              <w:pageBreakBefore w:val="0"/>
              <w:widowControl w:val="0"/>
              <w:numPr>
                <w:ilvl w:val="0"/>
                <w:numId w:val="0"/>
              </w:numPr>
              <w:tabs>
                <w:tab w:val="left" w:pos="1334"/>
              </w:tabs>
              <w:kinsoku/>
              <w:wordWrap/>
              <w:overflowPunct/>
              <w:topLinePunct w:val="0"/>
              <w:autoSpaceDE w:val="0"/>
              <w:autoSpaceDN w:val="0"/>
              <w:bidi w:val="0"/>
              <w:adjustRightInd/>
              <w:snapToGrid/>
              <w:spacing w:before="0" w:after="0" w:line="360" w:lineRule="auto"/>
              <w:ind w:left="0" w:leftChars="0" w:right="0" w:rightChars="0" w:firstLine="420" w:firstLineChars="200"/>
              <w:jc w:val="left"/>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（2）工程机动车、运输机动车、电瓶车等无阻火设施不允许进入厂区。</w:t>
            </w:r>
          </w:p>
          <w:p w14:paraId="1D37D110">
            <w:pPr>
              <w:pStyle w:val="58"/>
              <w:keepNext w:val="0"/>
              <w:keepLines w:val="0"/>
              <w:pageBreakBefore w:val="0"/>
              <w:widowControl w:val="0"/>
              <w:numPr>
                <w:ilvl w:val="0"/>
                <w:numId w:val="0"/>
              </w:numPr>
              <w:tabs>
                <w:tab w:val="left" w:pos="1334"/>
              </w:tabs>
              <w:kinsoku/>
              <w:wordWrap/>
              <w:overflowPunct/>
              <w:topLinePunct w:val="0"/>
              <w:autoSpaceDE w:val="0"/>
              <w:autoSpaceDN w:val="0"/>
              <w:bidi w:val="0"/>
              <w:adjustRightInd/>
              <w:snapToGrid/>
              <w:spacing w:before="0" w:after="0" w:line="360" w:lineRule="auto"/>
              <w:ind w:left="0" w:leftChars="0" w:right="0" w:rightChars="0" w:firstLine="420" w:firstLineChars="200"/>
              <w:jc w:val="left"/>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（3）各种动机械均能因各种原因产生摩擦与撞击导致火花产生，因此必须加强各种动机械的润滑管理、清垢管理；加强现场管理，禁止</w:t>
            </w:r>
            <w:r>
              <w:rPr>
                <w:rFonts w:hint="eastAsia" w:cs="宋体"/>
                <w:color w:val="auto"/>
                <w:sz w:val="21"/>
                <w:szCs w:val="21"/>
                <w:lang w:val="en-US" w:eastAsia="zh-CN"/>
              </w:rPr>
              <w:t>穿戴</w:t>
            </w:r>
            <w:r>
              <w:rPr>
                <w:rFonts w:hint="eastAsia" w:ascii="宋体" w:hAnsi="宋体" w:eastAsia="宋体" w:cs="宋体"/>
                <w:color w:val="auto"/>
                <w:sz w:val="21"/>
                <w:szCs w:val="21"/>
                <w:lang w:val="en-US" w:eastAsia="zh-CN"/>
              </w:rPr>
              <w:t>钉子鞋进入易燃易爆场所；不能随意在易燃易爆场所抛掷金属物件，撞击设备、管线。</w:t>
            </w:r>
          </w:p>
          <w:p w14:paraId="6E0A449D">
            <w:pPr>
              <w:pStyle w:val="58"/>
              <w:keepNext w:val="0"/>
              <w:keepLines w:val="0"/>
              <w:pageBreakBefore w:val="0"/>
              <w:widowControl w:val="0"/>
              <w:numPr>
                <w:ilvl w:val="0"/>
                <w:numId w:val="0"/>
              </w:numPr>
              <w:tabs>
                <w:tab w:val="left" w:pos="1334"/>
              </w:tabs>
              <w:kinsoku/>
              <w:wordWrap/>
              <w:overflowPunct/>
              <w:topLinePunct w:val="0"/>
              <w:autoSpaceDE w:val="0"/>
              <w:autoSpaceDN w:val="0"/>
              <w:bidi w:val="0"/>
              <w:adjustRightInd/>
              <w:snapToGrid/>
              <w:spacing w:before="0" w:after="0" w:line="360" w:lineRule="auto"/>
              <w:ind w:left="0" w:leftChars="0" w:right="0" w:rightChars="0" w:firstLine="420" w:firstLineChars="200"/>
              <w:jc w:val="left"/>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（4）加强流动火源的管理，生产区严禁吸烟，防止明火和其他激发能源。禁止使用电炉、电钻、火炉、喷灯等一切产生明火、高温的工具与热物体，不得携带火种进入生产区。</w:t>
            </w:r>
          </w:p>
          <w:p w14:paraId="3E04F6FB">
            <w:pPr>
              <w:pStyle w:val="58"/>
              <w:keepNext w:val="0"/>
              <w:keepLines w:val="0"/>
              <w:pageBreakBefore w:val="0"/>
              <w:widowControl w:val="0"/>
              <w:numPr>
                <w:ilvl w:val="0"/>
                <w:numId w:val="0"/>
              </w:numPr>
              <w:tabs>
                <w:tab w:val="left" w:pos="1334"/>
              </w:tabs>
              <w:kinsoku/>
              <w:wordWrap/>
              <w:overflowPunct/>
              <w:topLinePunct w:val="0"/>
              <w:autoSpaceDE w:val="0"/>
              <w:autoSpaceDN w:val="0"/>
              <w:bidi w:val="0"/>
              <w:adjustRightInd/>
              <w:snapToGrid/>
              <w:spacing w:before="0" w:after="0" w:line="360" w:lineRule="auto"/>
              <w:ind w:left="0" w:leftChars="0" w:right="0" w:rightChars="0" w:firstLine="420" w:firstLineChars="200"/>
              <w:jc w:val="left"/>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5、加强消防组织与消防设施管理</w:t>
            </w:r>
          </w:p>
          <w:p w14:paraId="59AB5A92">
            <w:pPr>
              <w:pStyle w:val="58"/>
              <w:keepNext w:val="0"/>
              <w:keepLines w:val="0"/>
              <w:pageBreakBefore w:val="0"/>
              <w:widowControl w:val="0"/>
              <w:numPr>
                <w:ilvl w:val="0"/>
                <w:numId w:val="0"/>
              </w:numPr>
              <w:tabs>
                <w:tab w:val="left" w:pos="1334"/>
              </w:tabs>
              <w:kinsoku/>
              <w:wordWrap/>
              <w:overflowPunct/>
              <w:topLinePunct w:val="0"/>
              <w:autoSpaceDE w:val="0"/>
              <w:autoSpaceDN w:val="0"/>
              <w:bidi w:val="0"/>
              <w:adjustRightInd/>
              <w:snapToGrid/>
              <w:spacing w:before="0" w:after="0" w:line="360" w:lineRule="auto"/>
              <w:ind w:left="0" w:leftChars="0" w:right="0" w:rightChars="0" w:firstLine="420" w:firstLineChars="200"/>
              <w:jc w:val="left"/>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要积极贯彻“预防为主，防消结合”的消防方针，应根据生产检修情况和季节变化，拟定消防工作计划，进行经常性的消防宣传教育、在训练场地结合事故预想进行演练。</w:t>
            </w:r>
          </w:p>
          <w:p w14:paraId="4511F8B9">
            <w:pPr>
              <w:pStyle w:val="58"/>
              <w:keepNext w:val="0"/>
              <w:keepLines w:val="0"/>
              <w:pageBreakBefore w:val="0"/>
              <w:widowControl w:val="0"/>
              <w:numPr>
                <w:ilvl w:val="0"/>
                <w:numId w:val="0"/>
              </w:numPr>
              <w:tabs>
                <w:tab w:val="left" w:pos="1334"/>
              </w:tabs>
              <w:kinsoku/>
              <w:wordWrap/>
              <w:overflowPunct/>
              <w:topLinePunct w:val="0"/>
              <w:autoSpaceDE w:val="0"/>
              <w:autoSpaceDN w:val="0"/>
              <w:bidi w:val="0"/>
              <w:adjustRightInd/>
              <w:snapToGrid/>
              <w:spacing w:before="0" w:after="0" w:line="360" w:lineRule="auto"/>
              <w:ind w:left="0" w:leftChars="0" w:right="0" w:rightChars="0" w:firstLine="420" w:firstLineChars="200"/>
              <w:jc w:val="left"/>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6、安全色和安全标志</w:t>
            </w:r>
          </w:p>
          <w:p w14:paraId="523DB08C">
            <w:pPr>
              <w:pStyle w:val="58"/>
              <w:keepNext w:val="0"/>
              <w:keepLines w:val="0"/>
              <w:pageBreakBefore w:val="0"/>
              <w:widowControl w:val="0"/>
              <w:numPr>
                <w:ilvl w:val="0"/>
                <w:numId w:val="0"/>
              </w:numPr>
              <w:tabs>
                <w:tab w:val="left" w:pos="1334"/>
              </w:tabs>
              <w:kinsoku/>
              <w:wordWrap/>
              <w:overflowPunct/>
              <w:topLinePunct w:val="0"/>
              <w:autoSpaceDE w:val="0"/>
              <w:autoSpaceDN w:val="0"/>
              <w:bidi w:val="0"/>
              <w:adjustRightInd/>
              <w:snapToGrid/>
              <w:spacing w:before="0" w:after="0" w:line="360" w:lineRule="auto"/>
              <w:ind w:left="0" w:leftChars="0" w:right="0" w:rightChars="0" w:firstLine="420" w:firstLineChars="200"/>
              <w:jc w:val="left"/>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（1）厂内交通道路应设置路牌、安全警告标志牌等设施，并定期进行维修保养，保持清晰。</w:t>
            </w:r>
          </w:p>
          <w:p w14:paraId="3E7192EA">
            <w:pPr>
              <w:pStyle w:val="58"/>
              <w:keepNext w:val="0"/>
              <w:keepLines w:val="0"/>
              <w:pageBreakBefore w:val="0"/>
              <w:widowControl w:val="0"/>
              <w:numPr>
                <w:ilvl w:val="0"/>
                <w:numId w:val="0"/>
              </w:numPr>
              <w:tabs>
                <w:tab w:val="left" w:pos="1334"/>
              </w:tabs>
              <w:kinsoku/>
              <w:wordWrap/>
              <w:overflowPunct/>
              <w:topLinePunct w:val="0"/>
              <w:autoSpaceDE w:val="0"/>
              <w:autoSpaceDN w:val="0"/>
              <w:bidi w:val="0"/>
              <w:adjustRightInd/>
              <w:snapToGrid/>
              <w:spacing w:before="0" w:after="0" w:line="360" w:lineRule="auto"/>
              <w:ind w:left="0" w:leftChars="0" w:right="0" w:rightChars="0" w:firstLine="420" w:firstLineChars="200"/>
              <w:jc w:val="left"/>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（2）在存在易燃易爆、有毒、烫伤、高空坠落等危险作业地点应在醒目处按《安全标志及其使用导则》（GB2894-2008）要求设置安全警示标志。</w:t>
            </w:r>
          </w:p>
          <w:p w14:paraId="3B342D9B">
            <w:pPr>
              <w:pStyle w:val="58"/>
              <w:keepNext w:val="0"/>
              <w:keepLines w:val="0"/>
              <w:pageBreakBefore w:val="0"/>
              <w:widowControl w:val="0"/>
              <w:numPr>
                <w:ilvl w:val="0"/>
                <w:numId w:val="0"/>
              </w:numPr>
              <w:tabs>
                <w:tab w:val="left" w:pos="1334"/>
              </w:tabs>
              <w:kinsoku/>
              <w:wordWrap/>
              <w:overflowPunct/>
              <w:topLinePunct w:val="0"/>
              <w:autoSpaceDE w:val="0"/>
              <w:autoSpaceDN w:val="0"/>
              <w:bidi w:val="0"/>
              <w:adjustRightInd/>
              <w:snapToGrid/>
              <w:spacing w:before="0" w:after="0" w:line="360" w:lineRule="auto"/>
              <w:ind w:left="0" w:leftChars="0" w:right="0" w:rightChars="0" w:firstLine="420" w:firstLineChars="200"/>
              <w:jc w:val="left"/>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（3）阀门布置比较集中，易因误操作而引发事故时，应在阀门附近标明输送介质的名称、符号（双重编号）或设明显的标志。</w:t>
            </w:r>
          </w:p>
          <w:p w14:paraId="196E83C4">
            <w:pPr>
              <w:pStyle w:val="58"/>
              <w:keepNext w:val="0"/>
              <w:keepLines w:val="0"/>
              <w:pageBreakBefore w:val="0"/>
              <w:widowControl w:val="0"/>
              <w:numPr>
                <w:ilvl w:val="0"/>
                <w:numId w:val="0"/>
              </w:numPr>
              <w:tabs>
                <w:tab w:val="left" w:pos="1334"/>
              </w:tabs>
              <w:kinsoku/>
              <w:wordWrap/>
              <w:overflowPunct/>
              <w:topLinePunct w:val="0"/>
              <w:autoSpaceDE w:val="0"/>
              <w:autoSpaceDN w:val="0"/>
              <w:bidi w:val="0"/>
              <w:adjustRightInd/>
              <w:snapToGrid/>
              <w:spacing w:before="0" w:after="0" w:line="360" w:lineRule="auto"/>
              <w:ind w:left="0" w:leftChars="0" w:right="0" w:rightChars="0" w:firstLine="420" w:firstLineChars="200"/>
              <w:jc w:val="left"/>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（4）对各类管道应按《工业管道的基本识别色、识别符号和安全标识》（GB7231-2003）、《安全色》（GB2893-2008）要求涂刷相应的色标和明显的介质流向标志。</w:t>
            </w:r>
          </w:p>
          <w:p w14:paraId="60B8BD14">
            <w:pPr>
              <w:pStyle w:val="58"/>
              <w:keepNext w:val="0"/>
              <w:keepLines w:val="0"/>
              <w:pageBreakBefore w:val="0"/>
              <w:widowControl w:val="0"/>
              <w:numPr>
                <w:ilvl w:val="0"/>
                <w:numId w:val="0"/>
              </w:numPr>
              <w:tabs>
                <w:tab w:val="left" w:pos="1334"/>
              </w:tabs>
              <w:kinsoku/>
              <w:wordWrap/>
              <w:overflowPunct/>
              <w:topLinePunct w:val="0"/>
              <w:autoSpaceDE w:val="0"/>
              <w:autoSpaceDN w:val="0"/>
              <w:bidi w:val="0"/>
              <w:adjustRightInd/>
              <w:snapToGrid/>
              <w:spacing w:before="0" w:after="0" w:line="360" w:lineRule="auto"/>
              <w:ind w:left="0" w:leftChars="0" w:right="0" w:rightChars="0" w:firstLine="420" w:firstLineChars="200"/>
              <w:jc w:val="left"/>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（5）在母线护网、高压设备围栏、变配电设备遮栏等屏护设施上根据各自屏护对象特征设置相应警示标志。</w:t>
            </w:r>
          </w:p>
          <w:p w14:paraId="44D0AEDF">
            <w:pPr>
              <w:pStyle w:val="58"/>
              <w:keepNext w:val="0"/>
              <w:keepLines w:val="0"/>
              <w:pageBreakBefore w:val="0"/>
              <w:widowControl w:val="0"/>
              <w:numPr>
                <w:ilvl w:val="0"/>
                <w:numId w:val="0"/>
              </w:numPr>
              <w:tabs>
                <w:tab w:val="left" w:pos="1334"/>
              </w:tabs>
              <w:kinsoku/>
              <w:wordWrap/>
              <w:overflowPunct/>
              <w:topLinePunct w:val="0"/>
              <w:autoSpaceDE w:val="0"/>
              <w:autoSpaceDN w:val="0"/>
              <w:bidi w:val="0"/>
              <w:adjustRightInd/>
              <w:snapToGrid/>
              <w:spacing w:before="0" w:after="0" w:line="360" w:lineRule="auto"/>
              <w:ind w:left="0" w:leftChars="0" w:right="0" w:rightChars="0" w:firstLine="420" w:firstLineChars="200"/>
              <w:jc w:val="left"/>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（6）在高处作业时设置安全信号和标志。</w:t>
            </w:r>
          </w:p>
          <w:p w14:paraId="5D595DCC">
            <w:pPr>
              <w:pStyle w:val="58"/>
              <w:keepNext w:val="0"/>
              <w:keepLines w:val="0"/>
              <w:pageBreakBefore w:val="0"/>
              <w:widowControl w:val="0"/>
              <w:numPr>
                <w:ilvl w:val="0"/>
                <w:numId w:val="0"/>
              </w:numPr>
              <w:tabs>
                <w:tab w:val="left" w:pos="1334"/>
              </w:tabs>
              <w:kinsoku/>
              <w:wordWrap/>
              <w:overflowPunct/>
              <w:topLinePunct w:val="0"/>
              <w:autoSpaceDE w:val="0"/>
              <w:autoSpaceDN w:val="0"/>
              <w:bidi w:val="0"/>
              <w:adjustRightInd/>
              <w:snapToGrid/>
              <w:spacing w:before="0" w:after="0" w:line="360" w:lineRule="auto"/>
              <w:ind w:left="0" w:leftChars="0" w:right="0" w:rightChars="0" w:firstLine="420" w:firstLineChars="200"/>
              <w:jc w:val="left"/>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（7）在各重大危险源和危险化学品储存场所应设置安全告知牌，提醒人员注意。</w:t>
            </w:r>
          </w:p>
          <w:p w14:paraId="3BE38824">
            <w:pPr>
              <w:pStyle w:val="58"/>
              <w:keepNext w:val="0"/>
              <w:keepLines w:val="0"/>
              <w:pageBreakBefore w:val="0"/>
              <w:widowControl w:val="0"/>
              <w:numPr>
                <w:ilvl w:val="0"/>
                <w:numId w:val="0"/>
              </w:numPr>
              <w:tabs>
                <w:tab w:val="left" w:pos="1334"/>
              </w:tabs>
              <w:kinsoku/>
              <w:wordWrap/>
              <w:overflowPunct/>
              <w:topLinePunct w:val="0"/>
              <w:autoSpaceDE w:val="0"/>
              <w:autoSpaceDN w:val="0"/>
              <w:bidi w:val="0"/>
              <w:adjustRightInd/>
              <w:snapToGrid/>
              <w:spacing w:before="0" w:after="0" w:line="360" w:lineRule="auto"/>
              <w:ind w:left="0" w:leftChars="0" w:right="0" w:rightChars="0" w:firstLine="420" w:firstLineChars="200"/>
              <w:jc w:val="left"/>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7、加强操作人员培训</w:t>
            </w:r>
          </w:p>
          <w:p w14:paraId="64D6766D">
            <w:pPr>
              <w:pStyle w:val="58"/>
              <w:keepNext w:val="0"/>
              <w:keepLines w:val="0"/>
              <w:pageBreakBefore w:val="0"/>
              <w:widowControl w:val="0"/>
              <w:numPr>
                <w:ilvl w:val="0"/>
                <w:numId w:val="0"/>
              </w:numPr>
              <w:tabs>
                <w:tab w:val="left" w:pos="1334"/>
              </w:tabs>
              <w:kinsoku/>
              <w:wordWrap/>
              <w:overflowPunct/>
              <w:topLinePunct w:val="0"/>
              <w:autoSpaceDE w:val="0"/>
              <w:autoSpaceDN w:val="0"/>
              <w:bidi w:val="0"/>
              <w:adjustRightInd/>
              <w:snapToGrid/>
              <w:spacing w:before="0" w:after="0" w:line="360" w:lineRule="auto"/>
              <w:ind w:left="0" w:leftChars="0" w:right="0" w:rightChars="0" w:firstLine="420" w:firstLineChars="200"/>
              <w:jc w:val="left"/>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为保证装置能安全、无事故运行</w:t>
            </w:r>
            <w:r>
              <w:rPr>
                <w:rFonts w:hint="eastAsia" w:cs="宋体"/>
                <w:color w:val="auto"/>
                <w:sz w:val="21"/>
                <w:szCs w:val="21"/>
                <w:lang w:val="en-US" w:eastAsia="zh-CN"/>
              </w:rPr>
              <w:t>，</w:t>
            </w:r>
            <w:r>
              <w:rPr>
                <w:rFonts w:hint="eastAsia" w:ascii="宋体" w:hAnsi="宋体" w:eastAsia="宋体" w:cs="宋体"/>
                <w:color w:val="auto"/>
                <w:sz w:val="21"/>
                <w:szCs w:val="21"/>
                <w:lang w:val="en-US" w:eastAsia="zh-CN"/>
              </w:rPr>
              <w:t>对操作人员在偏离正常工艺规程参数和出现事故时应采取的操作动作进行良好的培训是具有重要意义的。操作人员应了解生产的工艺过程、设备的操作条件以及复杂的控制、调节和防事故自动化系统的相互联系。因此，应按制定的计划培训操作人员，并让他们在操作现场进行较长时间的学习。</w:t>
            </w:r>
          </w:p>
          <w:p w14:paraId="32DBC31E">
            <w:pPr>
              <w:pStyle w:val="3"/>
              <w:keepNext/>
              <w:keepLines/>
              <w:pageBreakBefore w:val="0"/>
              <w:widowControl w:val="0"/>
              <w:numPr>
                <w:ilvl w:val="0"/>
                <w:numId w:val="0"/>
              </w:numPr>
              <w:tabs>
                <w:tab w:val="left" w:pos="948"/>
              </w:tabs>
              <w:kinsoku/>
              <w:wordWrap/>
              <w:overflowPunct/>
              <w:topLinePunct/>
              <w:autoSpaceDE/>
              <w:autoSpaceDN/>
              <w:bidi w:val="0"/>
              <w:adjustRightInd/>
              <w:snapToGrid/>
              <w:spacing w:before="0" w:after="0" w:line="360" w:lineRule="auto"/>
              <w:ind w:right="0" w:rightChars="0" w:firstLine="422" w:firstLineChars="200"/>
              <w:jc w:val="left"/>
              <w:textAlignment w:val="auto"/>
              <w:outlineLvl w:val="1"/>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（五）事故应急预案</w:t>
            </w:r>
          </w:p>
          <w:p w14:paraId="66A0371D">
            <w:pPr>
              <w:pStyle w:val="12"/>
              <w:keepNext w:val="0"/>
              <w:keepLines w:val="0"/>
              <w:pageBreakBefore w:val="0"/>
              <w:widowControl w:val="0"/>
              <w:kinsoku/>
              <w:wordWrap/>
              <w:overflowPunct/>
              <w:topLinePunct w:val="0"/>
              <w:autoSpaceDE/>
              <w:autoSpaceDN/>
              <w:bidi w:val="0"/>
              <w:adjustRightInd/>
              <w:snapToGrid/>
              <w:spacing w:after="0" w:line="360" w:lineRule="auto"/>
              <w:ind w:left="0" w:right="0" w:firstLine="420" w:firstLineChars="200"/>
              <w:jc w:val="both"/>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应急预案是根据预测危险源、危险目标可能发生事故的类别和危害程度而制定的事故应急救援方案。它是为在事故中保护人员和设施的安全而制定的行动计划，目的是要迅速而有效地将事故损失减至</w:t>
            </w:r>
            <w:r>
              <w:rPr>
                <w:rFonts w:hint="eastAsia" w:ascii="宋体" w:hAnsi="宋体" w:eastAsia="宋体" w:cs="宋体"/>
                <w:color w:val="auto"/>
                <w:sz w:val="21"/>
                <w:szCs w:val="21"/>
                <w:lang w:eastAsia="zh-CN"/>
              </w:rPr>
              <w:t>最低</w:t>
            </w:r>
            <w:r>
              <w:rPr>
                <w:rFonts w:hint="eastAsia" w:ascii="宋体" w:hAnsi="宋体" w:eastAsia="宋体" w:cs="宋体"/>
                <w:color w:val="auto"/>
                <w:sz w:val="21"/>
                <w:szCs w:val="21"/>
              </w:rPr>
              <w:t>。制定应急预案的原则是必须充分考虑现有物质、人员及危险源具体条件，能及时、有效地统筹事故应急救援行动，事故时能快速、有序、有效地实施救援。</w:t>
            </w:r>
          </w:p>
          <w:p w14:paraId="7037F8F7">
            <w:pPr>
              <w:pStyle w:val="12"/>
              <w:keepNext w:val="0"/>
              <w:keepLines w:val="0"/>
              <w:pageBreakBefore w:val="0"/>
              <w:widowControl w:val="0"/>
              <w:kinsoku/>
              <w:wordWrap/>
              <w:overflowPunct/>
              <w:topLinePunct w:val="0"/>
              <w:autoSpaceDE/>
              <w:autoSpaceDN/>
              <w:bidi w:val="0"/>
              <w:adjustRightInd/>
              <w:snapToGrid/>
              <w:spacing w:before="3" w:after="0" w:line="360" w:lineRule="auto"/>
              <w:ind w:left="0" w:right="0" w:firstLine="420" w:firstLineChars="200"/>
              <w:jc w:val="both"/>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为了减小风险事故对环境的影响，</w:t>
            </w:r>
            <w:r>
              <w:rPr>
                <w:rFonts w:hint="eastAsia" w:ascii="宋体" w:hAnsi="宋体" w:eastAsia="宋体" w:cs="宋体"/>
                <w:color w:val="auto"/>
                <w:sz w:val="21"/>
                <w:szCs w:val="21"/>
                <w:lang w:eastAsia="zh-CN"/>
              </w:rPr>
              <w:t>项目</w:t>
            </w:r>
            <w:r>
              <w:rPr>
                <w:rFonts w:hint="eastAsia" w:ascii="宋体" w:hAnsi="宋体" w:eastAsia="宋体" w:cs="宋体"/>
                <w:color w:val="auto"/>
                <w:sz w:val="21"/>
                <w:szCs w:val="21"/>
              </w:rPr>
              <w:t>应成立应急救援组织，制定事故应急救援预案。应急预案需要明确和制定的内容见表</w:t>
            </w:r>
            <w:r>
              <w:rPr>
                <w:rFonts w:hint="eastAsia" w:ascii="宋体" w:hAnsi="宋体" w:eastAsia="宋体" w:cs="宋体"/>
                <w:color w:val="auto"/>
                <w:sz w:val="21"/>
                <w:szCs w:val="21"/>
                <w:lang w:val="en-US" w:eastAsia="zh-CN"/>
              </w:rPr>
              <w:t>4-</w:t>
            </w:r>
            <w:r>
              <w:rPr>
                <w:rFonts w:hint="eastAsia" w:ascii="宋体" w:hAnsi="宋体" w:cs="宋体"/>
                <w:color w:val="auto"/>
                <w:sz w:val="21"/>
                <w:szCs w:val="21"/>
                <w:lang w:val="en-US" w:eastAsia="zh-CN"/>
              </w:rPr>
              <w:t>17</w:t>
            </w:r>
            <w:r>
              <w:rPr>
                <w:rFonts w:hint="eastAsia" w:ascii="宋体" w:hAnsi="宋体" w:eastAsia="宋体" w:cs="宋体"/>
                <w:color w:val="auto"/>
                <w:sz w:val="21"/>
                <w:szCs w:val="21"/>
              </w:rPr>
              <w:t>。</w:t>
            </w:r>
          </w:p>
          <w:p w14:paraId="729A1ABD">
            <w:pPr>
              <w:snapToGrid w:val="0"/>
              <w:spacing w:before="120" w:beforeLines="50"/>
              <w:jc w:val="center"/>
              <w:rPr>
                <w:rFonts w:hint="eastAsia"/>
                <w:b/>
                <w:color w:val="auto"/>
                <w:sz w:val="21"/>
                <w:szCs w:val="21"/>
              </w:rPr>
            </w:pPr>
            <w:r>
              <w:rPr>
                <w:rFonts w:hint="eastAsia"/>
                <w:b/>
                <w:color w:val="auto"/>
                <w:sz w:val="21"/>
                <w:szCs w:val="21"/>
              </w:rPr>
              <w:t>表</w:t>
            </w:r>
            <w:r>
              <w:rPr>
                <w:rFonts w:hint="eastAsia"/>
                <w:b/>
                <w:color w:val="auto"/>
                <w:sz w:val="21"/>
                <w:szCs w:val="21"/>
                <w:lang w:val="en-US" w:eastAsia="zh-CN"/>
              </w:rPr>
              <w:t xml:space="preserve">4-17  </w:t>
            </w:r>
            <w:r>
              <w:rPr>
                <w:rFonts w:hint="eastAsia"/>
                <w:b/>
                <w:color w:val="auto"/>
                <w:sz w:val="21"/>
                <w:szCs w:val="21"/>
              </w:rPr>
              <w:t>环境风险应急预案主要内容及要求</w:t>
            </w:r>
          </w:p>
          <w:tbl>
            <w:tblPr>
              <w:tblStyle w:val="30"/>
              <w:tblW w:w="8098"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13"/>
              <w:gridCol w:w="408"/>
              <w:gridCol w:w="1431"/>
              <w:gridCol w:w="6233"/>
              <w:gridCol w:w="13"/>
            </w:tblGrid>
            <w:tr w14:paraId="72BE37B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gridBefore w:val="1"/>
                <w:wBefore w:w="13" w:type="dxa"/>
                <w:trHeight w:val="568" w:hRule="atLeast"/>
                <w:jc w:val="center"/>
              </w:trPr>
              <w:tc>
                <w:tcPr>
                  <w:tcW w:w="408" w:type="dxa"/>
                  <w:tcBorders>
                    <w:tl2br w:val="nil"/>
                    <w:tr2bl w:val="nil"/>
                  </w:tcBorders>
                  <w:noWrap w:val="0"/>
                  <w:vAlign w:val="center"/>
                </w:tcPr>
                <w:p w14:paraId="0200D4C3">
                  <w:pPr>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1431" w:type="dxa"/>
                  <w:tcBorders>
                    <w:tl2br w:val="nil"/>
                    <w:tr2bl w:val="nil"/>
                  </w:tcBorders>
                  <w:noWrap w:val="0"/>
                  <w:vAlign w:val="center"/>
                </w:tcPr>
                <w:p w14:paraId="7A5EA076">
                  <w:pPr>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项目</w:t>
                  </w:r>
                </w:p>
              </w:tc>
              <w:tc>
                <w:tcPr>
                  <w:tcW w:w="6246" w:type="dxa"/>
                  <w:gridSpan w:val="2"/>
                  <w:tcBorders>
                    <w:tl2br w:val="nil"/>
                    <w:tr2bl w:val="nil"/>
                  </w:tcBorders>
                  <w:noWrap w:val="0"/>
                  <w:vAlign w:val="center"/>
                </w:tcPr>
                <w:p w14:paraId="52952C19">
                  <w:pPr>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主要内容及要求</w:t>
                  </w:r>
                </w:p>
              </w:tc>
            </w:tr>
            <w:tr w14:paraId="7E82C54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gridBefore w:val="1"/>
                <w:wBefore w:w="13" w:type="dxa"/>
                <w:trHeight w:val="821" w:hRule="atLeast"/>
                <w:jc w:val="center"/>
              </w:trPr>
              <w:tc>
                <w:tcPr>
                  <w:tcW w:w="408" w:type="dxa"/>
                  <w:tcBorders>
                    <w:tl2br w:val="nil"/>
                    <w:tr2bl w:val="nil"/>
                  </w:tcBorders>
                  <w:noWrap w:val="0"/>
                  <w:vAlign w:val="center"/>
                </w:tcPr>
                <w:p w14:paraId="584CF24C">
                  <w:pPr>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431" w:type="dxa"/>
                  <w:tcBorders>
                    <w:tl2br w:val="nil"/>
                    <w:tr2bl w:val="nil"/>
                  </w:tcBorders>
                  <w:noWrap w:val="0"/>
                  <w:vAlign w:val="center"/>
                </w:tcPr>
                <w:p w14:paraId="2DDCF657">
                  <w:pPr>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基本情况</w:t>
                  </w:r>
                </w:p>
              </w:tc>
              <w:tc>
                <w:tcPr>
                  <w:tcW w:w="6246" w:type="dxa"/>
                  <w:gridSpan w:val="2"/>
                  <w:tcBorders>
                    <w:tl2br w:val="nil"/>
                    <w:tr2bl w:val="nil"/>
                  </w:tcBorders>
                  <w:noWrap w:val="0"/>
                  <w:vAlign w:val="center"/>
                </w:tcPr>
                <w:p w14:paraId="661EBD03">
                  <w:pPr>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地理位置，</w:t>
                  </w:r>
                  <w:r>
                    <w:rPr>
                      <w:rFonts w:hint="eastAsia" w:ascii="宋体" w:hAnsi="宋体" w:eastAsia="宋体" w:cs="宋体"/>
                      <w:color w:val="auto"/>
                      <w:sz w:val="21"/>
                      <w:szCs w:val="21"/>
                      <w:lang w:eastAsia="zh-CN"/>
                    </w:rPr>
                    <w:t>项目</w:t>
                  </w:r>
                  <w:r>
                    <w:rPr>
                      <w:rFonts w:hint="eastAsia" w:ascii="宋体" w:hAnsi="宋体" w:eastAsia="宋体" w:cs="宋体"/>
                      <w:color w:val="auto"/>
                      <w:sz w:val="21"/>
                      <w:szCs w:val="21"/>
                    </w:rPr>
                    <w:t>规模，周边企业单位和社区情况，重要基础设施、道路等情况，危险化学品运输单位、车辆及主要的运输产品、运量、运地、行车路线等。</w:t>
                  </w:r>
                </w:p>
              </w:tc>
            </w:tr>
            <w:tr w14:paraId="45F3911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gridBefore w:val="1"/>
                <w:wBefore w:w="13" w:type="dxa"/>
                <w:trHeight w:val="829" w:hRule="atLeast"/>
                <w:jc w:val="center"/>
              </w:trPr>
              <w:tc>
                <w:tcPr>
                  <w:tcW w:w="408" w:type="dxa"/>
                  <w:tcBorders>
                    <w:tl2br w:val="nil"/>
                    <w:tr2bl w:val="nil"/>
                  </w:tcBorders>
                  <w:noWrap w:val="0"/>
                  <w:vAlign w:val="center"/>
                </w:tcPr>
                <w:p w14:paraId="3BA692E6">
                  <w:pPr>
                    <w:bidi w:val="0"/>
                    <w:jc w:val="center"/>
                    <w:rPr>
                      <w:rFonts w:hint="eastAsia" w:ascii="宋体" w:hAnsi="宋体" w:eastAsia="宋体" w:cs="宋体"/>
                      <w:color w:val="auto"/>
                      <w:sz w:val="21"/>
                      <w:szCs w:val="21"/>
                    </w:rPr>
                  </w:pPr>
                </w:p>
                <w:p w14:paraId="3A2E26CD">
                  <w:pPr>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1431" w:type="dxa"/>
                  <w:tcBorders>
                    <w:tl2br w:val="nil"/>
                    <w:tr2bl w:val="nil"/>
                  </w:tcBorders>
                  <w:noWrap w:val="0"/>
                  <w:vAlign w:val="center"/>
                </w:tcPr>
                <w:p w14:paraId="3BA71E68">
                  <w:pPr>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确定危险目标及其危险特性对周围的影响</w:t>
                  </w:r>
                </w:p>
              </w:tc>
              <w:tc>
                <w:tcPr>
                  <w:tcW w:w="6246" w:type="dxa"/>
                  <w:gridSpan w:val="2"/>
                  <w:tcBorders>
                    <w:tl2br w:val="nil"/>
                    <w:tr2bl w:val="nil"/>
                  </w:tcBorders>
                  <w:noWrap w:val="0"/>
                  <w:vAlign w:val="center"/>
                </w:tcPr>
                <w:p w14:paraId="12F94844">
                  <w:pPr>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确定危险目标为：</w:t>
                  </w:r>
                  <w:r>
                    <w:rPr>
                      <w:rFonts w:hint="eastAsia" w:ascii="宋体" w:hAnsi="宋体" w:eastAsia="宋体" w:cs="宋体"/>
                      <w:color w:val="auto"/>
                      <w:sz w:val="21"/>
                      <w:szCs w:val="21"/>
                      <w:lang w:val="en-US" w:eastAsia="zh-CN"/>
                    </w:rPr>
                    <w:t>危废贮存库</w:t>
                  </w:r>
                  <w:r>
                    <w:rPr>
                      <w:rFonts w:hint="eastAsia" w:ascii="宋体" w:hAnsi="宋体" w:eastAsia="宋体" w:cs="宋体"/>
                      <w:color w:val="auto"/>
                      <w:sz w:val="21"/>
                      <w:szCs w:val="21"/>
                    </w:rPr>
                    <w:t>。</w:t>
                  </w:r>
                </w:p>
                <w:p w14:paraId="23FB1CDA">
                  <w:pPr>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根据确定的危险目标，明确其危险特性及对周边的影响。</w:t>
                  </w:r>
                </w:p>
              </w:tc>
            </w:tr>
            <w:tr w14:paraId="4B86031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gridBefore w:val="1"/>
                <w:wBefore w:w="13" w:type="dxa"/>
                <w:trHeight w:val="305" w:hRule="atLeast"/>
                <w:jc w:val="center"/>
              </w:trPr>
              <w:tc>
                <w:tcPr>
                  <w:tcW w:w="408" w:type="dxa"/>
                  <w:tcBorders>
                    <w:tl2br w:val="nil"/>
                    <w:tr2bl w:val="nil"/>
                  </w:tcBorders>
                  <w:noWrap w:val="0"/>
                  <w:vAlign w:val="center"/>
                </w:tcPr>
                <w:p w14:paraId="48FC944D">
                  <w:pPr>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1431" w:type="dxa"/>
                  <w:tcBorders>
                    <w:tl2br w:val="nil"/>
                    <w:tr2bl w:val="nil"/>
                  </w:tcBorders>
                  <w:noWrap w:val="0"/>
                  <w:vAlign w:val="center"/>
                </w:tcPr>
                <w:p w14:paraId="39C2E22E">
                  <w:pPr>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设备、器材</w:t>
                  </w:r>
                </w:p>
              </w:tc>
              <w:tc>
                <w:tcPr>
                  <w:tcW w:w="6246" w:type="dxa"/>
                  <w:gridSpan w:val="2"/>
                  <w:tcBorders>
                    <w:tl2br w:val="nil"/>
                    <w:tr2bl w:val="nil"/>
                  </w:tcBorders>
                  <w:noWrap w:val="0"/>
                  <w:vAlign w:val="center"/>
                </w:tcPr>
                <w:p w14:paraId="0EB52402">
                  <w:pPr>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危险目标周围可利用的安全、消防、个体防护的设备、器材及其分布。</w:t>
                  </w:r>
                </w:p>
              </w:tc>
            </w:tr>
            <w:tr w14:paraId="51992A3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gridBefore w:val="1"/>
                <w:wBefore w:w="13" w:type="dxa"/>
                <w:trHeight w:val="1654" w:hRule="atLeast"/>
                <w:jc w:val="center"/>
              </w:trPr>
              <w:tc>
                <w:tcPr>
                  <w:tcW w:w="408" w:type="dxa"/>
                  <w:tcBorders>
                    <w:tl2br w:val="nil"/>
                    <w:tr2bl w:val="nil"/>
                  </w:tcBorders>
                  <w:noWrap w:val="0"/>
                  <w:vAlign w:val="center"/>
                </w:tcPr>
                <w:p w14:paraId="29D5E376">
                  <w:pPr>
                    <w:bidi w:val="0"/>
                    <w:jc w:val="center"/>
                    <w:rPr>
                      <w:rFonts w:hint="eastAsia" w:ascii="宋体" w:hAnsi="宋体" w:eastAsia="宋体" w:cs="宋体"/>
                      <w:color w:val="auto"/>
                      <w:sz w:val="21"/>
                      <w:szCs w:val="21"/>
                    </w:rPr>
                  </w:pPr>
                </w:p>
                <w:p w14:paraId="66639D8C">
                  <w:pPr>
                    <w:bidi w:val="0"/>
                    <w:jc w:val="center"/>
                    <w:rPr>
                      <w:rFonts w:hint="eastAsia" w:ascii="宋体" w:hAnsi="宋体" w:eastAsia="宋体" w:cs="宋体"/>
                      <w:color w:val="auto"/>
                      <w:sz w:val="21"/>
                      <w:szCs w:val="21"/>
                    </w:rPr>
                  </w:pPr>
                </w:p>
                <w:p w14:paraId="7E335FA8">
                  <w:pPr>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4</w:t>
                  </w:r>
                </w:p>
              </w:tc>
              <w:tc>
                <w:tcPr>
                  <w:tcW w:w="1431" w:type="dxa"/>
                  <w:tcBorders>
                    <w:tl2br w:val="nil"/>
                    <w:tr2bl w:val="nil"/>
                  </w:tcBorders>
                  <w:noWrap w:val="0"/>
                  <w:vAlign w:val="center"/>
                </w:tcPr>
                <w:p w14:paraId="7F73644C">
                  <w:pPr>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组织机构、组成人员和职责划分</w:t>
                  </w:r>
                </w:p>
              </w:tc>
              <w:tc>
                <w:tcPr>
                  <w:tcW w:w="6246" w:type="dxa"/>
                  <w:gridSpan w:val="2"/>
                  <w:tcBorders>
                    <w:tl2br w:val="nil"/>
                    <w:tr2bl w:val="nil"/>
                  </w:tcBorders>
                  <w:noWrap w:val="0"/>
                  <w:vAlign w:val="center"/>
                </w:tcPr>
                <w:p w14:paraId="424BF4D5">
                  <w:pPr>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依据事故危害程度的级别，设置分级应急救援组织机构。</w:t>
                  </w:r>
                </w:p>
                <w:p w14:paraId="08E1479C">
                  <w:pPr>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组成人员和主要职责，确定负责人、资源配置、应急队伍的调动。</w:t>
                  </w:r>
                </w:p>
                <w:p w14:paraId="2493FA60">
                  <w:pPr>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组织制定危险化学品事故应急救援预案。</w:t>
                  </w:r>
                </w:p>
                <w:p w14:paraId="478DDB58">
                  <w:pPr>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确定事故现场协调方案，预案启动与终止的批准，事故信息的上报，保护事故现场及相关数据采集，接受政府的指令和</w:t>
                  </w:r>
                  <w:r>
                    <w:rPr>
                      <w:rFonts w:hint="eastAsia" w:ascii="宋体" w:hAnsi="宋体" w:eastAsia="宋体" w:cs="宋体"/>
                      <w:color w:val="auto"/>
                      <w:sz w:val="21"/>
                      <w:szCs w:val="21"/>
                      <w:lang w:eastAsia="zh-CN"/>
                    </w:rPr>
                    <w:t>调度</w:t>
                  </w:r>
                  <w:r>
                    <w:rPr>
                      <w:rFonts w:hint="eastAsia" w:ascii="宋体" w:hAnsi="宋体" w:eastAsia="宋体" w:cs="宋体"/>
                      <w:color w:val="auto"/>
                      <w:sz w:val="21"/>
                      <w:szCs w:val="21"/>
                    </w:rPr>
                    <w:t>。</w:t>
                  </w:r>
                </w:p>
              </w:tc>
            </w:tr>
            <w:tr w14:paraId="2386091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gridBefore w:val="1"/>
                <w:wBefore w:w="13" w:type="dxa"/>
                <w:trHeight w:val="679" w:hRule="atLeast"/>
                <w:jc w:val="center"/>
              </w:trPr>
              <w:tc>
                <w:tcPr>
                  <w:tcW w:w="408" w:type="dxa"/>
                  <w:tcBorders>
                    <w:tl2br w:val="nil"/>
                    <w:tr2bl w:val="nil"/>
                  </w:tcBorders>
                  <w:noWrap w:val="0"/>
                  <w:vAlign w:val="center"/>
                </w:tcPr>
                <w:p w14:paraId="5D38E77C">
                  <w:pPr>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5</w:t>
                  </w:r>
                </w:p>
              </w:tc>
              <w:tc>
                <w:tcPr>
                  <w:tcW w:w="1431" w:type="dxa"/>
                  <w:tcBorders>
                    <w:tl2br w:val="nil"/>
                    <w:tr2bl w:val="nil"/>
                  </w:tcBorders>
                  <w:noWrap w:val="0"/>
                  <w:vAlign w:val="center"/>
                </w:tcPr>
                <w:p w14:paraId="25F36DE0">
                  <w:pPr>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应急状态分级</w:t>
                  </w:r>
                </w:p>
                <w:p w14:paraId="679E0564">
                  <w:pPr>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应急响应程序</w:t>
                  </w:r>
                </w:p>
              </w:tc>
              <w:tc>
                <w:tcPr>
                  <w:tcW w:w="6246" w:type="dxa"/>
                  <w:gridSpan w:val="2"/>
                  <w:tcBorders>
                    <w:tl2br w:val="nil"/>
                    <w:tr2bl w:val="nil"/>
                  </w:tcBorders>
                  <w:noWrap w:val="0"/>
                  <w:vAlign w:val="center"/>
                </w:tcPr>
                <w:p w14:paraId="2DDC38C6">
                  <w:pPr>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规定环境风险事故的级别及相应的应急状态分级，以此制定相应的应急响应程序。</w:t>
                  </w:r>
                </w:p>
              </w:tc>
            </w:tr>
            <w:tr w14:paraId="007B2EC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gridBefore w:val="1"/>
                <w:wBefore w:w="13" w:type="dxa"/>
                <w:trHeight w:val="1105" w:hRule="atLeast"/>
                <w:jc w:val="center"/>
              </w:trPr>
              <w:tc>
                <w:tcPr>
                  <w:tcW w:w="408" w:type="dxa"/>
                  <w:tcBorders>
                    <w:tl2br w:val="nil"/>
                    <w:tr2bl w:val="nil"/>
                  </w:tcBorders>
                  <w:noWrap w:val="0"/>
                  <w:vAlign w:val="center"/>
                </w:tcPr>
                <w:p w14:paraId="4A9D19F9">
                  <w:pPr>
                    <w:bidi w:val="0"/>
                    <w:jc w:val="center"/>
                    <w:rPr>
                      <w:rFonts w:hint="eastAsia" w:ascii="宋体" w:hAnsi="宋体" w:eastAsia="宋体" w:cs="宋体"/>
                      <w:color w:val="auto"/>
                      <w:sz w:val="21"/>
                      <w:szCs w:val="21"/>
                    </w:rPr>
                  </w:pPr>
                </w:p>
                <w:p w14:paraId="1299E570">
                  <w:pPr>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6</w:t>
                  </w:r>
                </w:p>
              </w:tc>
              <w:tc>
                <w:tcPr>
                  <w:tcW w:w="1431" w:type="dxa"/>
                  <w:tcBorders>
                    <w:tl2br w:val="nil"/>
                    <w:tr2bl w:val="nil"/>
                  </w:tcBorders>
                  <w:noWrap w:val="0"/>
                  <w:vAlign w:val="center"/>
                </w:tcPr>
                <w:p w14:paraId="636E810D">
                  <w:pPr>
                    <w:bidi w:val="0"/>
                    <w:jc w:val="center"/>
                    <w:rPr>
                      <w:rFonts w:hint="eastAsia" w:ascii="宋体" w:hAnsi="宋体" w:eastAsia="宋体" w:cs="宋体"/>
                      <w:color w:val="auto"/>
                      <w:sz w:val="21"/>
                      <w:szCs w:val="21"/>
                    </w:rPr>
                  </w:pPr>
                </w:p>
                <w:p w14:paraId="18724598">
                  <w:pPr>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应急救援保障</w:t>
                  </w:r>
                </w:p>
              </w:tc>
              <w:tc>
                <w:tcPr>
                  <w:tcW w:w="6246" w:type="dxa"/>
                  <w:gridSpan w:val="2"/>
                  <w:tcBorders>
                    <w:tl2br w:val="nil"/>
                    <w:tr2bl w:val="nil"/>
                  </w:tcBorders>
                  <w:noWrap w:val="0"/>
                  <w:vAlign w:val="center"/>
                </w:tcPr>
                <w:p w14:paraId="4FE23D1B">
                  <w:pPr>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内部保障包括：防火灾、爆炸、中毒事故的应急设施、设备与材料，主要为消防器材、消防服、毒气防护设施等。</w:t>
                  </w:r>
                </w:p>
                <w:p w14:paraId="7EBC03B3">
                  <w:pPr>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外部救援包括：单位互助的方式；请求政府协调应急救援力量应</w:t>
                  </w:r>
                </w:p>
                <w:p w14:paraId="11286A26">
                  <w:pPr>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急救援信息咨询；专家信息。</w:t>
                  </w:r>
                </w:p>
              </w:tc>
            </w:tr>
            <w:tr w14:paraId="15AA7D4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gridBefore w:val="1"/>
                <w:wBefore w:w="13" w:type="dxa"/>
                <w:trHeight w:val="551" w:hRule="atLeast"/>
                <w:jc w:val="center"/>
              </w:trPr>
              <w:tc>
                <w:tcPr>
                  <w:tcW w:w="408" w:type="dxa"/>
                  <w:tcBorders>
                    <w:tl2br w:val="nil"/>
                    <w:tr2bl w:val="nil"/>
                  </w:tcBorders>
                  <w:noWrap w:val="0"/>
                  <w:vAlign w:val="center"/>
                </w:tcPr>
                <w:p w14:paraId="768DFF7F">
                  <w:pPr>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7</w:t>
                  </w:r>
                </w:p>
              </w:tc>
              <w:tc>
                <w:tcPr>
                  <w:tcW w:w="1431" w:type="dxa"/>
                  <w:tcBorders>
                    <w:tl2br w:val="nil"/>
                    <w:tr2bl w:val="nil"/>
                  </w:tcBorders>
                  <w:noWrap w:val="0"/>
                  <w:vAlign w:val="center"/>
                </w:tcPr>
                <w:p w14:paraId="50213ABA">
                  <w:pPr>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报警、通讯联络方式</w:t>
                  </w:r>
                </w:p>
              </w:tc>
              <w:tc>
                <w:tcPr>
                  <w:tcW w:w="6246" w:type="dxa"/>
                  <w:gridSpan w:val="2"/>
                  <w:tcBorders>
                    <w:tl2br w:val="nil"/>
                    <w:tr2bl w:val="nil"/>
                  </w:tcBorders>
                  <w:noWrap w:val="0"/>
                  <w:vAlign w:val="center"/>
                </w:tcPr>
                <w:p w14:paraId="332F521B">
                  <w:pPr>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设置 24 小时有效报警装置，确定内外部通讯联络手段。</w:t>
                  </w:r>
                </w:p>
              </w:tc>
            </w:tr>
            <w:tr w14:paraId="663DB8C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gridBefore w:val="1"/>
                <w:wBefore w:w="13" w:type="dxa"/>
                <w:trHeight w:val="820" w:hRule="atLeast"/>
                <w:jc w:val="center"/>
              </w:trPr>
              <w:tc>
                <w:tcPr>
                  <w:tcW w:w="408" w:type="dxa"/>
                  <w:tcBorders>
                    <w:tl2br w:val="nil"/>
                    <w:tr2bl w:val="nil"/>
                  </w:tcBorders>
                  <w:noWrap w:val="0"/>
                  <w:vAlign w:val="center"/>
                </w:tcPr>
                <w:p w14:paraId="314C8502">
                  <w:pPr>
                    <w:bidi w:val="0"/>
                    <w:jc w:val="center"/>
                    <w:rPr>
                      <w:rFonts w:hint="eastAsia" w:ascii="宋体" w:hAnsi="宋体" w:eastAsia="宋体" w:cs="宋体"/>
                      <w:color w:val="auto"/>
                      <w:sz w:val="21"/>
                      <w:szCs w:val="21"/>
                    </w:rPr>
                  </w:pPr>
                </w:p>
                <w:p w14:paraId="0AA4AD0B">
                  <w:pPr>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8</w:t>
                  </w:r>
                </w:p>
              </w:tc>
              <w:tc>
                <w:tcPr>
                  <w:tcW w:w="1431" w:type="dxa"/>
                  <w:tcBorders>
                    <w:tl2br w:val="nil"/>
                    <w:tr2bl w:val="nil"/>
                  </w:tcBorders>
                  <w:noWrap w:val="0"/>
                  <w:vAlign w:val="center"/>
                </w:tcPr>
                <w:p w14:paraId="405DE2E5">
                  <w:pPr>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应急环境监测、抢险、救援及控制措施</w:t>
                  </w:r>
                </w:p>
              </w:tc>
              <w:tc>
                <w:tcPr>
                  <w:tcW w:w="6246" w:type="dxa"/>
                  <w:gridSpan w:val="2"/>
                  <w:tcBorders>
                    <w:tl2br w:val="nil"/>
                    <w:tr2bl w:val="nil"/>
                  </w:tcBorders>
                  <w:noWrap w:val="0"/>
                  <w:vAlign w:val="center"/>
                </w:tcPr>
                <w:p w14:paraId="3A79797B">
                  <w:pPr>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由专业人员对环境风险事故现场进行应急监测，对事故性质、严重程度等所造成的环境危害后果进行评估，为指挥部门提供决策依据。</w:t>
                  </w:r>
                </w:p>
              </w:tc>
            </w:tr>
            <w:tr w14:paraId="3E3E625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gridBefore w:val="1"/>
                <w:wBefore w:w="13" w:type="dxa"/>
                <w:trHeight w:val="1375" w:hRule="atLeast"/>
                <w:jc w:val="center"/>
              </w:trPr>
              <w:tc>
                <w:tcPr>
                  <w:tcW w:w="408" w:type="dxa"/>
                  <w:tcBorders>
                    <w:tl2br w:val="nil"/>
                    <w:tr2bl w:val="nil"/>
                  </w:tcBorders>
                  <w:noWrap w:val="0"/>
                  <w:vAlign w:val="center"/>
                </w:tcPr>
                <w:p w14:paraId="192B81DC">
                  <w:pPr>
                    <w:bidi w:val="0"/>
                    <w:jc w:val="center"/>
                    <w:rPr>
                      <w:rFonts w:hint="eastAsia" w:ascii="宋体" w:hAnsi="宋体" w:eastAsia="宋体" w:cs="宋体"/>
                      <w:color w:val="auto"/>
                      <w:sz w:val="21"/>
                      <w:szCs w:val="21"/>
                    </w:rPr>
                  </w:pPr>
                </w:p>
                <w:p w14:paraId="190D070A">
                  <w:pPr>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9</w:t>
                  </w:r>
                </w:p>
              </w:tc>
              <w:tc>
                <w:tcPr>
                  <w:tcW w:w="1431" w:type="dxa"/>
                  <w:tcBorders>
                    <w:tl2br w:val="nil"/>
                    <w:tr2bl w:val="nil"/>
                  </w:tcBorders>
                  <w:noWrap w:val="0"/>
                  <w:vAlign w:val="center"/>
                </w:tcPr>
                <w:p w14:paraId="4A8342CB">
                  <w:pPr>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应急检测、防护措施、清除泄漏措施和器材</w:t>
                  </w:r>
                </w:p>
              </w:tc>
              <w:tc>
                <w:tcPr>
                  <w:tcW w:w="6246" w:type="dxa"/>
                  <w:gridSpan w:val="2"/>
                  <w:tcBorders>
                    <w:tl2br w:val="nil"/>
                    <w:tr2bl w:val="nil"/>
                  </w:tcBorders>
                  <w:noWrap w:val="0"/>
                  <w:vAlign w:val="center"/>
                </w:tcPr>
                <w:p w14:paraId="78C7435D">
                  <w:pPr>
                    <w:bidi w:val="0"/>
                    <w:jc w:val="left"/>
                    <w:rPr>
                      <w:rFonts w:hint="eastAsia" w:ascii="宋体" w:hAnsi="宋体" w:eastAsia="宋体" w:cs="宋体"/>
                      <w:color w:val="auto"/>
                      <w:sz w:val="21"/>
                      <w:szCs w:val="21"/>
                    </w:rPr>
                  </w:pPr>
                  <w:r>
                    <w:rPr>
                      <w:rFonts w:hint="eastAsia" w:ascii="宋体" w:hAnsi="宋体" w:eastAsia="宋体" w:cs="宋体"/>
                      <w:color w:val="auto"/>
                      <w:sz w:val="21"/>
                      <w:szCs w:val="21"/>
                    </w:rPr>
                    <w:t>事故现场：控制事故发展，防止扩大、蔓延及连锁反应；清除现场泄漏物，降低危害；配备相应的设施器材。</w:t>
                  </w:r>
                </w:p>
                <w:p w14:paraId="44A1D316">
                  <w:pPr>
                    <w:bidi w:val="0"/>
                    <w:jc w:val="left"/>
                    <w:rPr>
                      <w:rFonts w:hint="eastAsia" w:ascii="宋体" w:hAnsi="宋体" w:eastAsia="宋体" w:cs="宋体"/>
                      <w:color w:val="auto"/>
                      <w:sz w:val="21"/>
                      <w:szCs w:val="21"/>
                    </w:rPr>
                  </w:pPr>
                  <w:r>
                    <w:rPr>
                      <w:rFonts w:hint="eastAsia" w:ascii="宋体" w:hAnsi="宋体" w:eastAsia="宋体" w:cs="宋体"/>
                      <w:color w:val="auto"/>
                      <w:sz w:val="21"/>
                      <w:szCs w:val="21"/>
                    </w:rPr>
                    <w:t>邻近地区：控制防火区域、毒气泄漏扩散区域，控制和消除环境污染的措施，配备相应的设备。</w:t>
                  </w:r>
                </w:p>
              </w:tc>
            </w:tr>
            <w:tr w14:paraId="7F11433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gridAfter w:val="1"/>
                <w:wAfter w:w="13" w:type="dxa"/>
                <w:trHeight w:val="553" w:hRule="atLeast"/>
                <w:jc w:val="center"/>
              </w:trPr>
              <w:tc>
                <w:tcPr>
                  <w:tcW w:w="421" w:type="dxa"/>
                  <w:gridSpan w:val="2"/>
                  <w:tcBorders>
                    <w:tl2br w:val="nil"/>
                    <w:tr2bl w:val="nil"/>
                  </w:tcBorders>
                  <w:noWrap w:val="0"/>
                  <w:vAlign w:val="center"/>
                </w:tcPr>
                <w:p w14:paraId="3E18282C">
                  <w:pPr>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10</w:t>
                  </w:r>
                </w:p>
              </w:tc>
              <w:tc>
                <w:tcPr>
                  <w:tcW w:w="1431" w:type="dxa"/>
                  <w:tcBorders>
                    <w:tl2br w:val="nil"/>
                    <w:tr2bl w:val="nil"/>
                  </w:tcBorders>
                  <w:noWrap w:val="0"/>
                  <w:vAlign w:val="center"/>
                </w:tcPr>
                <w:p w14:paraId="439200A4">
                  <w:pPr>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人员紧急疏散、撤离</w:t>
                  </w:r>
                </w:p>
              </w:tc>
              <w:tc>
                <w:tcPr>
                  <w:tcW w:w="6233" w:type="dxa"/>
                  <w:tcBorders>
                    <w:tl2br w:val="nil"/>
                    <w:tr2bl w:val="nil"/>
                  </w:tcBorders>
                  <w:noWrap w:val="0"/>
                  <w:vAlign w:val="center"/>
                </w:tcPr>
                <w:p w14:paraId="6F3A3129">
                  <w:pPr>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事故现场人员清点与撤离、非事故现场人员紧急疏散、周边区域单位和社区人员疏散的方式方法；抢救人员在撤离前、撤离后的报告。</w:t>
                  </w:r>
                </w:p>
              </w:tc>
            </w:tr>
            <w:tr w14:paraId="48E18B1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gridAfter w:val="1"/>
                <w:wAfter w:w="13" w:type="dxa"/>
                <w:trHeight w:val="958" w:hRule="atLeast"/>
                <w:jc w:val="center"/>
              </w:trPr>
              <w:tc>
                <w:tcPr>
                  <w:tcW w:w="421" w:type="dxa"/>
                  <w:gridSpan w:val="2"/>
                  <w:tcBorders>
                    <w:tl2br w:val="nil"/>
                    <w:tr2bl w:val="nil"/>
                  </w:tcBorders>
                  <w:noWrap w:val="0"/>
                  <w:vAlign w:val="center"/>
                </w:tcPr>
                <w:p w14:paraId="5FC8C201">
                  <w:pPr>
                    <w:bidi w:val="0"/>
                    <w:jc w:val="center"/>
                    <w:rPr>
                      <w:rFonts w:hint="eastAsia" w:ascii="宋体" w:hAnsi="宋体" w:eastAsia="宋体" w:cs="宋体"/>
                      <w:color w:val="auto"/>
                      <w:sz w:val="21"/>
                      <w:szCs w:val="21"/>
                    </w:rPr>
                  </w:pPr>
                </w:p>
                <w:p w14:paraId="46BBFBB2">
                  <w:pPr>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11</w:t>
                  </w:r>
                </w:p>
              </w:tc>
              <w:tc>
                <w:tcPr>
                  <w:tcW w:w="1431" w:type="dxa"/>
                  <w:tcBorders>
                    <w:tl2br w:val="nil"/>
                    <w:tr2bl w:val="nil"/>
                  </w:tcBorders>
                  <w:noWrap w:val="0"/>
                  <w:vAlign w:val="center"/>
                </w:tcPr>
                <w:p w14:paraId="3A9B0C47">
                  <w:pPr>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事故应急救援关闭程序与恢复措施</w:t>
                  </w:r>
                </w:p>
              </w:tc>
              <w:tc>
                <w:tcPr>
                  <w:tcW w:w="6233" w:type="dxa"/>
                  <w:tcBorders>
                    <w:tl2br w:val="nil"/>
                    <w:tr2bl w:val="nil"/>
                  </w:tcBorders>
                  <w:noWrap w:val="0"/>
                  <w:vAlign w:val="center"/>
                </w:tcPr>
                <w:p w14:paraId="1598072F">
                  <w:pPr>
                    <w:bidi w:val="0"/>
                    <w:jc w:val="left"/>
                    <w:rPr>
                      <w:rFonts w:hint="eastAsia" w:ascii="宋体" w:hAnsi="宋体" w:eastAsia="宋体" w:cs="宋体"/>
                      <w:color w:val="auto"/>
                      <w:sz w:val="21"/>
                      <w:szCs w:val="21"/>
                    </w:rPr>
                  </w:pPr>
                  <w:r>
                    <w:rPr>
                      <w:rFonts w:hint="eastAsia" w:ascii="宋体" w:hAnsi="宋体" w:eastAsia="宋体" w:cs="宋体"/>
                      <w:color w:val="auto"/>
                      <w:sz w:val="21"/>
                      <w:szCs w:val="21"/>
                    </w:rPr>
                    <w:t>事故现场：规定应急状态终止秩序；事故现场善后处理，恢复运营措施。</w:t>
                  </w:r>
                </w:p>
                <w:p w14:paraId="426DC2EF">
                  <w:pPr>
                    <w:bidi w:val="0"/>
                    <w:jc w:val="left"/>
                    <w:rPr>
                      <w:rFonts w:hint="eastAsia" w:ascii="宋体" w:hAnsi="宋体" w:eastAsia="宋体" w:cs="宋体"/>
                      <w:color w:val="auto"/>
                      <w:sz w:val="21"/>
                      <w:szCs w:val="21"/>
                    </w:rPr>
                  </w:pPr>
                  <w:r>
                    <w:rPr>
                      <w:rFonts w:hint="eastAsia" w:ascii="宋体" w:hAnsi="宋体" w:eastAsia="宋体" w:cs="宋体"/>
                      <w:color w:val="auto"/>
                      <w:sz w:val="21"/>
                      <w:szCs w:val="21"/>
                    </w:rPr>
                    <w:t>邻近地区：解除事故警戒、公众返回和善后恢复措施。</w:t>
                  </w:r>
                </w:p>
              </w:tc>
            </w:tr>
            <w:tr w14:paraId="477A56C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gridAfter w:val="1"/>
                <w:wAfter w:w="13" w:type="dxa"/>
                <w:trHeight w:val="1124" w:hRule="atLeast"/>
                <w:jc w:val="center"/>
              </w:trPr>
              <w:tc>
                <w:tcPr>
                  <w:tcW w:w="421" w:type="dxa"/>
                  <w:gridSpan w:val="2"/>
                  <w:tcBorders>
                    <w:tl2br w:val="nil"/>
                    <w:tr2bl w:val="nil"/>
                  </w:tcBorders>
                  <w:noWrap w:val="0"/>
                  <w:vAlign w:val="center"/>
                </w:tcPr>
                <w:p w14:paraId="2BD6F938">
                  <w:pPr>
                    <w:bidi w:val="0"/>
                    <w:jc w:val="center"/>
                    <w:rPr>
                      <w:rFonts w:hint="eastAsia" w:ascii="宋体" w:hAnsi="宋体" w:eastAsia="宋体" w:cs="宋体"/>
                      <w:color w:val="auto"/>
                      <w:sz w:val="21"/>
                      <w:szCs w:val="21"/>
                    </w:rPr>
                  </w:pPr>
                </w:p>
                <w:p w14:paraId="28ABD3F2">
                  <w:pPr>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12</w:t>
                  </w:r>
                </w:p>
              </w:tc>
              <w:tc>
                <w:tcPr>
                  <w:tcW w:w="1431" w:type="dxa"/>
                  <w:tcBorders>
                    <w:tl2br w:val="nil"/>
                    <w:tr2bl w:val="nil"/>
                  </w:tcBorders>
                  <w:noWrap w:val="0"/>
                  <w:vAlign w:val="center"/>
                </w:tcPr>
                <w:p w14:paraId="76970034">
                  <w:pPr>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受伤人员现场救护、救治及</w:t>
                  </w:r>
                  <w:r>
                    <w:rPr>
                      <w:rFonts w:hint="eastAsia" w:ascii="宋体" w:hAnsi="宋体" w:eastAsia="宋体" w:cs="宋体"/>
                      <w:color w:val="auto"/>
                      <w:sz w:val="21"/>
                      <w:szCs w:val="21"/>
                      <w:lang w:eastAsia="zh-CN"/>
                    </w:rPr>
                    <w:t>项目</w:t>
                  </w:r>
                  <w:r>
                    <w:rPr>
                      <w:rFonts w:hint="eastAsia" w:ascii="宋体" w:hAnsi="宋体" w:eastAsia="宋体" w:cs="宋体"/>
                      <w:color w:val="auto"/>
                      <w:sz w:val="21"/>
                      <w:szCs w:val="21"/>
                    </w:rPr>
                    <w:t>救治</w:t>
                  </w:r>
                </w:p>
              </w:tc>
              <w:tc>
                <w:tcPr>
                  <w:tcW w:w="6233" w:type="dxa"/>
                  <w:tcBorders>
                    <w:tl2br w:val="nil"/>
                    <w:tr2bl w:val="nil"/>
                  </w:tcBorders>
                  <w:noWrap w:val="0"/>
                  <w:vAlign w:val="center"/>
                </w:tcPr>
                <w:p w14:paraId="7A90193B">
                  <w:pPr>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接触人群检伤分类方案及执行人员，进行分类现场紧急抢救方案。</w:t>
                  </w:r>
                </w:p>
                <w:p w14:paraId="6118B0D7">
                  <w:pPr>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接触者医学观察方案，转运及转运中的救治方案，患者治疗方案。</w:t>
                  </w:r>
                </w:p>
                <w:p w14:paraId="3504F9EE">
                  <w:pPr>
                    <w:bidi w:val="0"/>
                    <w:jc w:val="both"/>
                    <w:rPr>
                      <w:rFonts w:hint="eastAsia" w:ascii="宋体" w:hAnsi="宋体" w:eastAsia="宋体" w:cs="宋体"/>
                      <w:color w:val="auto"/>
                      <w:sz w:val="21"/>
                      <w:szCs w:val="21"/>
                    </w:rPr>
                  </w:pPr>
                  <w:r>
                    <w:rPr>
                      <w:rFonts w:hint="eastAsia" w:ascii="宋体" w:hAnsi="宋体" w:eastAsia="宋体" w:cs="宋体"/>
                      <w:color w:val="auto"/>
                      <w:sz w:val="21"/>
                      <w:szCs w:val="21"/>
                    </w:rPr>
                    <w:t>入院前和医疗救治机构确定及处置方案。</w:t>
                  </w:r>
                </w:p>
                <w:p w14:paraId="64BC88F9">
                  <w:pPr>
                    <w:bidi w:val="0"/>
                    <w:jc w:val="both"/>
                    <w:rPr>
                      <w:rFonts w:hint="eastAsia" w:ascii="宋体" w:hAnsi="宋体" w:eastAsia="宋体" w:cs="宋体"/>
                      <w:color w:val="auto"/>
                      <w:sz w:val="21"/>
                      <w:szCs w:val="21"/>
                    </w:rPr>
                  </w:pPr>
                  <w:r>
                    <w:rPr>
                      <w:rFonts w:hint="eastAsia" w:ascii="宋体" w:hAnsi="宋体" w:eastAsia="宋体" w:cs="宋体"/>
                      <w:color w:val="auto"/>
                      <w:sz w:val="21"/>
                      <w:szCs w:val="21"/>
                    </w:rPr>
                    <w:t>信息、药物、器材的储备。</w:t>
                  </w:r>
                </w:p>
              </w:tc>
            </w:tr>
            <w:tr w14:paraId="43C593C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gridAfter w:val="1"/>
                <w:wAfter w:w="13" w:type="dxa"/>
                <w:trHeight w:val="551" w:hRule="atLeast"/>
                <w:jc w:val="center"/>
              </w:trPr>
              <w:tc>
                <w:tcPr>
                  <w:tcW w:w="421" w:type="dxa"/>
                  <w:gridSpan w:val="2"/>
                  <w:tcBorders>
                    <w:tl2br w:val="nil"/>
                    <w:tr2bl w:val="nil"/>
                  </w:tcBorders>
                  <w:noWrap w:val="0"/>
                  <w:vAlign w:val="center"/>
                </w:tcPr>
                <w:p w14:paraId="1409C6C3">
                  <w:pPr>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13</w:t>
                  </w:r>
                </w:p>
              </w:tc>
              <w:tc>
                <w:tcPr>
                  <w:tcW w:w="1431" w:type="dxa"/>
                  <w:tcBorders>
                    <w:tl2br w:val="nil"/>
                    <w:tr2bl w:val="nil"/>
                  </w:tcBorders>
                  <w:noWrap w:val="0"/>
                  <w:vAlign w:val="center"/>
                </w:tcPr>
                <w:p w14:paraId="6A57AB1E">
                  <w:pPr>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现场保护与现场洗消</w:t>
                  </w:r>
                </w:p>
              </w:tc>
              <w:tc>
                <w:tcPr>
                  <w:tcW w:w="6233" w:type="dxa"/>
                  <w:tcBorders>
                    <w:tl2br w:val="nil"/>
                    <w:tr2bl w:val="nil"/>
                  </w:tcBorders>
                  <w:noWrap w:val="0"/>
                  <w:vAlign w:val="center"/>
                </w:tcPr>
                <w:p w14:paraId="754B1B4B">
                  <w:pPr>
                    <w:bidi w:val="0"/>
                    <w:jc w:val="both"/>
                    <w:rPr>
                      <w:rFonts w:hint="eastAsia" w:ascii="宋体" w:hAnsi="宋体" w:eastAsia="宋体" w:cs="宋体"/>
                      <w:color w:val="auto"/>
                      <w:sz w:val="21"/>
                      <w:szCs w:val="21"/>
                    </w:rPr>
                  </w:pPr>
                  <w:r>
                    <w:rPr>
                      <w:rFonts w:hint="eastAsia" w:ascii="宋体" w:hAnsi="宋体" w:eastAsia="宋体" w:cs="宋体"/>
                      <w:color w:val="auto"/>
                      <w:sz w:val="21"/>
                      <w:szCs w:val="21"/>
                    </w:rPr>
                    <w:t>事故现场的保护措施。</w:t>
                  </w:r>
                </w:p>
                <w:p w14:paraId="7C9CFF89">
                  <w:pPr>
                    <w:bidi w:val="0"/>
                    <w:jc w:val="both"/>
                    <w:rPr>
                      <w:rFonts w:hint="eastAsia" w:ascii="宋体" w:hAnsi="宋体" w:eastAsia="宋体" w:cs="宋体"/>
                      <w:color w:val="auto"/>
                      <w:sz w:val="21"/>
                      <w:szCs w:val="21"/>
                    </w:rPr>
                  </w:pPr>
                  <w:r>
                    <w:rPr>
                      <w:rFonts w:hint="eastAsia" w:ascii="宋体" w:hAnsi="宋体" w:eastAsia="宋体" w:cs="宋体"/>
                      <w:color w:val="auto"/>
                      <w:sz w:val="21"/>
                      <w:szCs w:val="21"/>
                    </w:rPr>
                    <w:t>明确事故现场洗消工作的负责人和专业队伍。</w:t>
                  </w:r>
                </w:p>
              </w:tc>
            </w:tr>
            <w:tr w14:paraId="57B1C09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gridAfter w:val="1"/>
                <w:wAfter w:w="13" w:type="dxa"/>
                <w:trHeight w:val="569" w:hRule="atLeast"/>
                <w:jc w:val="center"/>
              </w:trPr>
              <w:tc>
                <w:tcPr>
                  <w:tcW w:w="421" w:type="dxa"/>
                  <w:gridSpan w:val="2"/>
                  <w:tcBorders>
                    <w:tl2br w:val="nil"/>
                    <w:tr2bl w:val="nil"/>
                  </w:tcBorders>
                  <w:noWrap w:val="0"/>
                  <w:vAlign w:val="center"/>
                </w:tcPr>
                <w:p w14:paraId="54EE861D">
                  <w:pPr>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14</w:t>
                  </w:r>
                </w:p>
              </w:tc>
              <w:tc>
                <w:tcPr>
                  <w:tcW w:w="1431" w:type="dxa"/>
                  <w:tcBorders>
                    <w:tl2br w:val="nil"/>
                    <w:tr2bl w:val="nil"/>
                  </w:tcBorders>
                  <w:noWrap w:val="0"/>
                  <w:vAlign w:val="center"/>
                </w:tcPr>
                <w:p w14:paraId="25579C86">
                  <w:pPr>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事故应急救援终止程序</w:t>
                  </w:r>
                </w:p>
              </w:tc>
              <w:tc>
                <w:tcPr>
                  <w:tcW w:w="6233" w:type="dxa"/>
                  <w:tcBorders>
                    <w:tl2br w:val="nil"/>
                    <w:tr2bl w:val="nil"/>
                  </w:tcBorders>
                  <w:noWrap w:val="0"/>
                  <w:vAlign w:val="center"/>
                </w:tcPr>
                <w:p w14:paraId="153978FC">
                  <w:pPr>
                    <w:bidi w:val="0"/>
                    <w:jc w:val="both"/>
                    <w:rPr>
                      <w:rFonts w:hint="eastAsia" w:ascii="宋体" w:hAnsi="宋体" w:eastAsia="宋体" w:cs="宋体"/>
                      <w:color w:val="auto"/>
                      <w:sz w:val="21"/>
                      <w:szCs w:val="21"/>
                    </w:rPr>
                  </w:pPr>
                  <w:r>
                    <w:rPr>
                      <w:rFonts w:hint="eastAsia" w:ascii="宋体" w:hAnsi="宋体" w:eastAsia="宋体" w:cs="宋体"/>
                      <w:color w:val="auto"/>
                      <w:sz w:val="21"/>
                      <w:szCs w:val="21"/>
                    </w:rPr>
                    <w:t>确定事故应急救援工作结束。</w:t>
                  </w:r>
                </w:p>
                <w:p w14:paraId="4E6068A7">
                  <w:pPr>
                    <w:bidi w:val="0"/>
                    <w:jc w:val="both"/>
                    <w:rPr>
                      <w:rFonts w:hint="eastAsia" w:ascii="宋体" w:hAnsi="宋体" w:eastAsia="宋体" w:cs="宋体"/>
                      <w:color w:val="auto"/>
                      <w:sz w:val="21"/>
                      <w:szCs w:val="21"/>
                    </w:rPr>
                  </w:pPr>
                  <w:r>
                    <w:rPr>
                      <w:rFonts w:hint="eastAsia" w:ascii="宋体" w:hAnsi="宋体" w:eastAsia="宋体" w:cs="宋体"/>
                      <w:color w:val="auto"/>
                      <w:sz w:val="21"/>
                      <w:szCs w:val="21"/>
                    </w:rPr>
                    <w:t>通知本单位相关部门、周边社区及人员事故危险解除。</w:t>
                  </w:r>
                </w:p>
              </w:tc>
            </w:tr>
            <w:tr w14:paraId="77ECC91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gridAfter w:val="1"/>
                <w:wAfter w:w="13" w:type="dxa"/>
                <w:trHeight w:val="551" w:hRule="atLeast"/>
                <w:jc w:val="center"/>
              </w:trPr>
              <w:tc>
                <w:tcPr>
                  <w:tcW w:w="421" w:type="dxa"/>
                  <w:gridSpan w:val="2"/>
                  <w:tcBorders>
                    <w:tl2br w:val="nil"/>
                    <w:tr2bl w:val="nil"/>
                  </w:tcBorders>
                  <w:noWrap w:val="0"/>
                  <w:vAlign w:val="center"/>
                </w:tcPr>
                <w:p w14:paraId="5CD29D98">
                  <w:pPr>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15</w:t>
                  </w:r>
                </w:p>
              </w:tc>
              <w:tc>
                <w:tcPr>
                  <w:tcW w:w="1431" w:type="dxa"/>
                  <w:tcBorders>
                    <w:tl2br w:val="nil"/>
                    <w:tr2bl w:val="nil"/>
                  </w:tcBorders>
                  <w:noWrap w:val="0"/>
                  <w:vAlign w:val="center"/>
                </w:tcPr>
                <w:p w14:paraId="570161CA">
                  <w:pPr>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应急培训计划</w:t>
                  </w:r>
                </w:p>
              </w:tc>
              <w:tc>
                <w:tcPr>
                  <w:tcW w:w="6233" w:type="dxa"/>
                  <w:tcBorders>
                    <w:tl2br w:val="nil"/>
                    <w:tr2bl w:val="nil"/>
                  </w:tcBorders>
                  <w:noWrap w:val="0"/>
                  <w:vAlign w:val="center"/>
                </w:tcPr>
                <w:p w14:paraId="00F99896">
                  <w:pPr>
                    <w:bidi w:val="0"/>
                    <w:jc w:val="left"/>
                    <w:rPr>
                      <w:rFonts w:hint="eastAsia" w:ascii="宋体" w:hAnsi="宋体" w:eastAsia="宋体" w:cs="宋体"/>
                      <w:color w:val="auto"/>
                      <w:sz w:val="21"/>
                      <w:szCs w:val="21"/>
                    </w:rPr>
                  </w:pPr>
                  <w:r>
                    <w:rPr>
                      <w:rFonts w:hint="eastAsia" w:ascii="宋体" w:hAnsi="宋体" w:eastAsia="宋体" w:cs="宋体"/>
                      <w:color w:val="auto"/>
                      <w:sz w:val="21"/>
                      <w:szCs w:val="21"/>
                    </w:rPr>
                    <w:t>应急计划制定后，安排事故处理人员进行相关知识培训以及事故应急处理演习；对全院职工进行安全教育。</w:t>
                  </w:r>
                </w:p>
              </w:tc>
            </w:tr>
            <w:tr w14:paraId="7667F88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gridAfter w:val="1"/>
                <w:wAfter w:w="13" w:type="dxa"/>
                <w:trHeight w:val="678" w:hRule="atLeast"/>
                <w:jc w:val="center"/>
              </w:trPr>
              <w:tc>
                <w:tcPr>
                  <w:tcW w:w="421" w:type="dxa"/>
                  <w:gridSpan w:val="2"/>
                  <w:tcBorders>
                    <w:tl2br w:val="nil"/>
                    <w:tr2bl w:val="nil"/>
                  </w:tcBorders>
                  <w:noWrap w:val="0"/>
                  <w:vAlign w:val="center"/>
                </w:tcPr>
                <w:p w14:paraId="2EA79FCD">
                  <w:pPr>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16</w:t>
                  </w:r>
                </w:p>
              </w:tc>
              <w:tc>
                <w:tcPr>
                  <w:tcW w:w="1431" w:type="dxa"/>
                  <w:tcBorders>
                    <w:tl2br w:val="nil"/>
                    <w:tr2bl w:val="nil"/>
                  </w:tcBorders>
                  <w:noWrap w:val="0"/>
                  <w:vAlign w:val="center"/>
                </w:tcPr>
                <w:p w14:paraId="5A72646F">
                  <w:pPr>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公众教育和信息发布</w:t>
                  </w:r>
                </w:p>
              </w:tc>
              <w:tc>
                <w:tcPr>
                  <w:tcW w:w="6233" w:type="dxa"/>
                  <w:tcBorders>
                    <w:tl2br w:val="nil"/>
                    <w:tr2bl w:val="nil"/>
                  </w:tcBorders>
                  <w:noWrap w:val="0"/>
                  <w:vAlign w:val="center"/>
                </w:tcPr>
                <w:p w14:paraId="0AE0EF3B">
                  <w:pPr>
                    <w:bidi w:val="0"/>
                    <w:jc w:val="left"/>
                    <w:rPr>
                      <w:rFonts w:hint="eastAsia" w:ascii="宋体" w:hAnsi="宋体" w:eastAsia="宋体" w:cs="宋体"/>
                      <w:color w:val="auto"/>
                      <w:sz w:val="21"/>
                      <w:szCs w:val="21"/>
                    </w:rPr>
                  </w:pPr>
                  <w:r>
                    <w:rPr>
                      <w:rFonts w:hint="eastAsia" w:ascii="宋体" w:hAnsi="宋体" w:eastAsia="宋体" w:cs="宋体"/>
                      <w:color w:val="auto"/>
                      <w:sz w:val="21"/>
                      <w:szCs w:val="21"/>
                    </w:rPr>
                    <w:t>对邻近地区公众开展环境风险事故预防教育、应急知识培训并定期发布相关信息。</w:t>
                  </w:r>
                </w:p>
              </w:tc>
            </w:tr>
            <w:tr w14:paraId="28B4793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gridAfter w:val="1"/>
                <w:wAfter w:w="13" w:type="dxa"/>
                <w:trHeight w:val="305" w:hRule="atLeast"/>
                <w:jc w:val="center"/>
              </w:trPr>
              <w:tc>
                <w:tcPr>
                  <w:tcW w:w="421" w:type="dxa"/>
                  <w:gridSpan w:val="2"/>
                  <w:tcBorders>
                    <w:tl2br w:val="nil"/>
                    <w:tr2bl w:val="nil"/>
                  </w:tcBorders>
                  <w:noWrap w:val="0"/>
                  <w:vAlign w:val="center"/>
                </w:tcPr>
                <w:p w14:paraId="1977EDC7">
                  <w:pPr>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17</w:t>
                  </w:r>
                </w:p>
              </w:tc>
              <w:tc>
                <w:tcPr>
                  <w:tcW w:w="1431" w:type="dxa"/>
                  <w:tcBorders>
                    <w:tl2br w:val="nil"/>
                    <w:tr2bl w:val="nil"/>
                  </w:tcBorders>
                  <w:noWrap w:val="0"/>
                  <w:vAlign w:val="center"/>
                </w:tcPr>
                <w:p w14:paraId="0A1636B2">
                  <w:pPr>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记录和报告</w:t>
                  </w:r>
                </w:p>
              </w:tc>
              <w:tc>
                <w:tcPr>
                  <w:tcW w:w="6233" w:type="dxa"/>
                  <w:tcBorders>
                    <w:tl2br w:val="nil"/>
                    <w:tr2bl w:val="nil"/>
                  </w:tcBorders>
                  <w:noWrap w:val="0"/>
                  <w:vAlign w:val="center"/>
                </w:tcPr>
                <w:p w14:paraId="44FD6C8C">
                  <w:pPr>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设应急事故专门记录，建立档案和报告制度，设专门部门负责管理</w:t>
                  </w:r>
                </w:p>
              </w:tc>
            </w:tr>
            <w:tr w14:paraId="5E0A8DD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gridAfter w:val="1"/>
                <w:wAfter w:w="13" w:type="dxa"/>
                <w:trHeight w:val="2220" w:hRule="atLeast"/>
                <w:jc w:val="center"/>
              </w:trPr>
              <w:tc>
                <w:tcPr>
                  <w:tcW w:w="421" w:type="dxa"/>
                  <w:gridSpan w:val="2"/>
                  <w:tcBorders>
                    <w:tl2br w:val="nil"/>
                    <w:tr2bl w:val="nil"/>
                  </w:tcBorders>
                  <w:noWrap w:val="0"/>
                  <w:vAlign w:val="center"/>
                </w:tcPr>
                <w:p w14:paraId="66D3B35E">
                  <w:pPr>
                    <w:bidi w:val="0"/>
                    <w:jc w:val="center"/>
                    <w:rPr>
                      <w:rFonts w:hint="eastAsia" w:ascii="宋体" w:hAnsi="宋体" w:eastAsia="宋体" w:cs="宋体"/>
                      <w:color w:val="auto"/>
                      <w:sz w:val="21"/>
                      <w:szCs w:val="21"/>
                    </w:rPr>
                  </w:pPr>
                </w:p>
                <w:p w14:paraId="4BC1A0E5">
                  <w:pPr>
                    <w:bidi w:val="0"/>
                    <w:jc w:val="center"/>
                    <w:rPr>
                      <w:rFonts w:hint="eastAsia" w:ascii="宋体" w:hAnsi="宋体" w:eastAsia="宋体" w:cs="宋体"/>
                      <w:color w:val="auto"/>
                      <w:sz w:val="21"/>
                      <w:szCs w:val="21"/>
                    </w:rPr>
                  </w:pPr>
                </w:p>
                <w:p w14:paraId="24607F78">
                  <w:pPr>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18</w:t>
                  </w:r>
                </w:p>
              </w:tc>
              <w:tc>
                <w:tcPr>
                  <w:tcW w:w="1431" w:type="dxa"/>
                  <w:tcBorders>
                    <w:tl2br w:val="nil"/>
                    <w:tr2bl w:val="nil"/>
                  </w:tcBorders>
                  <w:noWrap w:val="0"/>
                  <w:vAlign w:val="center"/>
                </w:tcPr>
                <w:p w14:paraId="2D913B0F">
                  <w:pPr>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附件</w:t>
                  </w:r>
                </w:p>
              </w:tc>
              <w:tc>
                <w:tcPr>
                  <w:tcW w:w="6233" w:type="dxa"/>
                  <w:tcBorders>
                    <w:tl2br w:val="nil"/>
                    <w:tr2bl w:val="nil"/>
                  </w:tcBorders>
                  <w:noWrap w:val="0"/>
                  <w:vAlign w:val="center"/>
                </w:tcPr>
                <w:p w14:paraId="581D744B">
                  <w:pPr>
                    <w:bidi w:val="0"/>
                    <w:jc w:val="left"/>
                    <w:rPr>
                      <w:rFonts w:hint="eastAsia" w:ascii="宋体" w:hAnsi="宋体" w:eastAsia="宋体" w:cs="宋体"/>
                      <w:color w:val="auto"/>
                      <w:sz w:val="21"/>
                      <w:szCs w:val="21"/>
                    </w:rPr>
                  </w:pPr>
                  <w:r>
                    <w:rPr>
                      <w:rFonts w:hint="eastAsia" w:ascii="宋体" w:hAnsi="宋体" w:eastAsia="宋体" w:cs="宋体"/>
                      <w:color w:val="auto"/>
                      <w:sz w:val="21"/>
                      <w:szCs w:val="21"/>
                    </w:rPr>
                    <w:t>组织机构名单。</w:t>
                  </w:r>
                </w:p>
                <w:p w14:paraId="29DEBD6A">
                  <w:pPr>
                    <w:bidi w:val="0"/>
                    <w:jc w:val="left"/>
                    <w:rPr>
                      <w:rFonts w:hint="eastAsia" w:ascii="宋体" w:hAnsi="宋体" w:eastAsia="宋体" w:cs="宋体"/>
                      <w:color w:val="auto"/>
                      <w:sz w:val="21"/>
                      <w:szCs w:val="21"/>
                    </w:rPr>
                  </w:pPr>
                  <w:r>
                    <w:rPr>
                      <w:rFonts w:hint="eastAsia" w:ascii="宋体" w:hAnsi="宋体" w:eastAsia="宋体" w:cs="宋体"/>
                      <w:color w:val="auto"/>
                      <w:sz w:val="21"/>
                      <w:szCs w:val="21"/>
                    </w:rPr>
                    <w:t>值班联系、组织应急救援有关人员、危险品生产单位应急咨询服务、外部救援单位、供水和供电单位、周边区域单位和社区、政府有关部门联系电话。</w:t>
                  </w:r>
                </w:p>
                <w:p w14:paraId="26980BBD">
                  <w:pPr>
                    <w:bidi w:val="0"/>
                    <w:jc w:val="left"/>
                    <w:rPr>
                      <w:rFonts w:hint="eastAsia" w:ascii="宋体" w:hAnsi="宋体" w:eastAsia="宋体" w:cs="宋体"/>
                      <w:color w:val="auto"/>
                      <w:sz w:val="21"/>
                      <w:szCs w:val="21"/>
                    </w:rPr>
                  </w:pPr>
                  <w:r>
                    <w:rPr>
                      <w:rFonts w:hint="eastAsia" w:ascii="宋体" w:hAnsi="宋体" w:eastAsia="宋体" w:cs="宋体"/>
                      <w:color w:val="auto"/>
                      <w:sz w:val="21"/>
                      <w:szCs w:val="21"/>
                    </w:rPr>
                    <w:t>单位平面布置图、消防设施配置图、周边区域道路交通示意图和疏散路线、交通管制示意图、周边区域的单位、社区、重要基础设施分布图。</w:t>
                  </w:r>
                </w:p>
                <w:p w14:paraId="5280D699">
                  <w:pPr>
                    <w:bidi w:val="0"/>
                    <w:jc w:val="left"/>
                    <w:rPr>
                      <w:rFonts w:hint="eastAsia" w:ascii="宋体" w:hAnsi="宋体" w:eastAsia="宋体" w:cs="宋体"/>
                      <w:color w:val="auto"/>
                      <w:sz w:val="21"/>
                      <w:szCs w:val="21"/>
                    </w:rPr>
                  </w:pPr>
                  <w:r>
                    <w:rPr>
                      <w:rFonts w:hint="eastAsia" w:ascii="宋体" w:hAnsi="宋体" w:eastAsia="宋体" w:cs="宋体"/>
                      <w:color w:val="auto"/>
                      <w:sz w:val="21"/>
                      <w:szCs w:val="21"/>
                    </w:rPr>
                    <w:t>保障制度。</w:t>
                  </w:r>
                </w:p>
              </w:tc>
            </w:tr>
          </w:tbl>
          <w:p w14:paraId="54B44D2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lang w:val="en-US" w:eastAsia="zh-CN"/>
              </w:rPr>
            </w:pPr>
            <w:r>
              <w:rPr>
                <w:rFonts w:hint="eastAsia"/>
                <w:color w:val="auto"/>
              </w:rPr>
              <w:t>综上，本项目不存在重大危险源，且项目发生风险的类型和几率都很小，通过加强管理、采取有效措施，加强对全体员工防范事故风险能力的培训，制定事故应急预案等，可进一步降低风险发生的</w:t>
            </w:r>
            <w:r>
              <w:rPr>
                <w:rFonts w:hint="eastAsia"/>
                <w:color w:val="auto"/>
                <w:lang w:eastAsia="zh-CN"/>
              </w:rPr>
              <w:t>概率</w:t>
            </w:r>
            <w:r>
              <w:rPr>
                <w:rFonts w:hint="eastAsia"/>
                <w:color w:val="auto"/>
              </w:rPr>
              <w:t>和造成的影响。</w:t>
            </w:r>
          </w:p>
          <w:p w14:paraId="09C45662">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default"/>
                <w:b/>
                <w:bCs/>
                <w:color w:val="auto"/>
                <w:lang w:val="en-US" w:eastAsia="zh-CN"/>
              </w:rPr>
            </w:pPr>
            <w:r>
              <w:rPr>
                <w:rFonts w:hint="eastAsia"/>
                <w:b/>
                <w:bCs/>
                <w:color w:val="auto"/>
                <w:lang w:val="en-US" w:eastAsia="zh-CN"/>
              </w:rPr>
              <w:t>7、监测计划</w:t>
            </w:r>
          </w:p>
          <w:p w14:paraId="75206CC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rPr>
            </w:pPr>
            <w:r>
              <w:rPr>
                <w:rFonts w:hint="eastAsia"/>
                <w:color w:val="auto"/>
              </w:rPr>
              <w:t>为切实控制本工程治理设施的</w:t>
            </w:r>
            <w:r>
              <w:rPr>
                <w:rFonts w:hint="eastAsia"/>
                <w:color w:val="auto"/>
                <w:lang w:eastAsia="zh-CN"/>
              </w:rPr>
              <w:t>有效</w:t>
            </w:r>
            <w:r>
              <w:rPr>
                <w:rFonts w:hint="eastAsia"/>
                <w:color w:val="auto"/>
              </w:rPr>
              <w:t>运行和“达标排放”，落实排污总量控制制度，根据《建设项目环境保护管理条例》第八条的规定，同时结合</w:t>
            </w:r>
            <w:r>
              <w:rPr>
                <w:rFonts w:hint="eastAsia"/>
                <w:color w:val="auto"/>
                <w:lang w:val="en-US" w:eastAsia="zh-CN"/>
              </w:rPr>
              <w:t>《排污许可证申请与核发技术规范-铁路、船舶、航空航天和其他运输设备制造业》（HJ1124-2020）</w:t>
            </w:r>
            <w:r>
              <w:rPr>
                <w:rFonts w:hint="eastAsia"/>
                <w:color w:val="auto"/>
              </w:rPr>
              <w:t>的相关规定，对本项目实施环境监测建议见表</w:t>
            </w:r>
            <w:r>
              <w:rPr>
                <w:rFonts w:hint="eastAsia"/>
                <w:color w:val="auto"/>
                <w:lang w:val="en-US" w:eastAsia="zh-CN"/>
              </w:rPr>
              <w:t>4-18</w:t>
            </w:r>
            <w:r>
              <w:rPr>
                <w:rFonts w:hint="eastAsia"/>
                <w:color w:val="auto"/>
              </w:rPr>
              <w:t>。</w:t>
            </w:r>
          </w:p>
          <w:p w14:paraId="11AD333D">
            <w:pPr>
              <w:snapToGrid w:val="0"/>
              <w:spacing w:before="120" w:beforeLines="50"/>
              <w:jc w:val="center"/>
              <w:rPr>
                <w:rFonts w:hint="eastAsia"/>
                <w:b/>
                <w:color w:val="auto"/>
                <w:sz w:val="21"/>
                <w:szCs w:val="21"/>
              </w:rPr>
            </w:pPr>
            <w:r>
              <w:rPr>
                <w:rFonts w:hint="eastAsia"/>
                <w:b/>
                <w:color w:val="auto"/>
                <w:sz w:val="21"/>
                <w:szCs w:val="21"/>
              </w:rPr>
              <w:t>表</w:t>
            </w:r>
            <w:r>
              <w:rPr>
                <w:rFonts w:hint="eastAsia"/>
                <w:b/>
                <w:color w:val="auto"/>
                <w:sz w:val="21"/>
                <w:szCs w:val="21"/>
                <w:lang w:val="en-US" w:eastAsia="zh-CN"/>
              </w:rPr>
              <w:t xml:space="preserve">4-18  </w:t>
            </w:r>
            <w:r>
              <w:rPr>
                <w:rFonts w:hint="eastAsia"/>
                <w:b/>
                <w:color w:val="auto"/>
                <w:sz w:val="21"/>
                <w:szCs w:val="21"/>
              </w:rPr>
              <w:t>环境监测计划建议</w:t>
            </w:r>
          </w:p>
          <w:tbl>
            <w:tblPr>
              <w:tblStyle w:val="30"/>
              <w:tblW w:w="7893"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1205"/>
              <w:gridCol w:w="1495"/>
              <w:gridCol w:w="3779"/>
              <w:gridCol w:w="1414"/>
            </w:tblGrid>
            <w:tr w14:paraId="49D84EB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3" w:hRule="atLeast"/>
                <w:jc w:val="center"/>
              </w:trPr>
              <w:tc>
                <w:tcPr>
                  <w:tcW w:w="1205" w:type="dxa"/>
                  <w:tcBorders>
                    <w:left w:val="nil"/>
                    <w:bottom w:val="single" w:color="000000" w:sz="6" w:space="0"/>
                    <w:right w:val="single" w:color="000000" w:sz="6" w:space="0"/>
                  </w:tcBorders>
                  <w:noWrap w:val="0"/>
                  <w:vAlign w:val="center"/>
                </w:tcPr>
                <w:p w14:paraId="27778CF7">
                  <w:pPr>
                    <w:pStyle w:val="59"/>
                    <w:keepNext w:val="0"/>
                    <w:keepLines w:val="0"/>
                    <w:pageBreakBefore w:val="0"/>
                    <w:widowControl w:val="0"/>
                    <w:kinsoku/>
                    <w:wordWrap/>
                    <w:overflowPunct/>
                    <w:topLinePunct w:val="0"/>
                    <w:autoSpaceDE/>
                    <w:autoSpaceDN/>
                    <w:bidi w:val="0"/>
                    <w:adjustRightInd w:val="0"/>
                    <w:snapToGrid w:val="0"/>
                    <w:ind w:left="0" w:right="0"/>
                    <w:jc w:val="center"/>
                    <w:textAlignment w:val="auto"/>
                    <w:outlineLvl w:val="9"/>
                    <w:rPr>
                      <w:rFonts w:hint="eastAsia"/>
                      <w:color w:val="auto"/>
                      <w:sz w:val="21"/>
                      <w:szCs w:val="21"/>
                    </w:rPr>
                  </w:pPr>
                  <w:r>
                    <w:rPr>
                      <w:rFonts w:hint="eastAsia"/>
                      <w:color w:val="auto"/>
                      <w:sz w:val="21"/>
                      <w:szCs w:val="21"/>
                    </w:rPr>
                    <w:t>类别</w:t>
                  </w:r>
                </w:p>
              </w:tc>
              <w:tc>
                <w:tcPr>
                  <w:tcW w:w="1495" w:type="dxa"/>
                  <w:tcBorders>
                    <w:left w:val="single" w:color="000000" w:sz="6" w:space="0"/>
                    <w:bottom w:val="single" w:color="000000" w:sz="6" w:space="0"/>
                    <w:right w:val="single" w:color="000000" w:sz="6" w:space="0"/>
                  </w:tcBorders>
                  <w:noWrap w:val="0"/>
                  <w:vAlign w:val="center"/>
                </w:tcPr>
                <w:p w14:paraId="1C01EDCA">
                  <w:pPr>
                    <w:pStyle w:val="59"/>
                    <w:keepNext w:val="0"/>
                    <w:keepLines w:val="0"/>
                    <w:pageBreakBefore w:val="0"/>
                    <w:widowControl w:val="0"/>
                    <w:kinsoku/>
                    <w:wordWrap/>
                    <w:overflowPunct/>
                    <w:topLinePunct w:val="0"/>
                    <w:autoSpaceDE/>
                    <w:autoSpaceDN/>
                    <w:bidi w:val="0"/>
                    <w:adjustRightInd w:val="0"/>
                    <w:snapToGrid w:val="0"/>
                    <w:ind w:left="0" w:right="0"/>
                    <w:jc w:val="center"/>
                    <w:textAlignment w:val="auto"/>
                    <w:outlineLvl w:val="9"/>
                    <w:rPr>
                      <w:rFonts w:hint="eastAsia"/>
                      <w:color w:val="auto"/>
                      <w:sz w:val="21"/>
                      <w:szCs w:val="21"/>
                    </w:rPr>
                  </w:pPr>
                  <w:r>
                    <w:rPr>
                      <w:rFonts w:hint="eastAsia"/>
                      <w:color w:val="auto"/>
                      <w:sz w:val="21"/>
                      <w:szCs w:val="21"/>
                    </w:rPr>
                    <w:t>监测位置</w:t>
                  </w:r>
                </w:p>
              </w:tc>
              <w:tc>
                <w:tcPr>
                  <w:tcW w:w="3779" w:type="dxa"/>
                  <w:tcBorders>
                    <w:left w:val="single" w:color="000000" w:sz="6" w:space="0"/>
                    <w:bottom w:val="single" w:color="000000" w:sz="6" w:space="0"/>
                    <w:right w:val="single" w:color="000000" w:sz="6" w:space="0"/>
                  </w:tcBorders>
                  <w:noWrap w:val="0"/>
                  <w:vAlign w:val="center"/>
                </w:tcPr>
                <w:p w14:paraId="5F14BEA5">
                  <w:pPr>
                    <w:pStyle w:val="59"/>
                    <w:keepNext w:val="0"/>
                    <w:keepLines w:val="0"/>
                    <w:pageBreakBefore w:val="0"/>
                    <w:widowControl w:val="0"/>
                    <w:kinsoku/>
                    <w:wordWrap/>
                    <w:overflowPunct/>
                    <w:topLinePunct w:val="0"/>
                    <w:autoSpaceDE/>
                    <w:autoSpaceDN/>
                    <w:bidi w:val="0"/>
                    <w:adjustRightInd w:val="0"/>
                    <w:snapToGrid w:val="0"/>
                    <w:ind w:left="0" w:right="0"/>
                    <w:jc w:val="center"/>
                    <w:textAlignment w:val="auto"/>
                    <w:outlineLvl w:val="9"/>
                    <w:rPr>
                      <w:rFonts w:hint="eastAsia"/>
                      <w:color w:val="auto"/>
                      <w:sz w:val="21"/>
                      <w:szCs w:val="21"/>
                    </w:rPr>
                  </w:pPr>
                  <w:r>
                    <w:rPr>
                      <w:rFonts w:hint="eastAsia"/>
                      <w:color w:val="auto"/>
                      <w:sz w:val="21"/>
                      <w:szCs w:val="21"/>
                    </w:rPr>
                    <w:t>监测项目</w:t>
                  </w:r>
                </w:p>
              </w:tc>
              <w:tc>
                <w:tcPr>
                  <w:tcW w:w="1414" w:type="dxa"/>
                  <w:tcBorders>
                    <w:left w:val="single" w:color="000000" w:sz="6" w:space="0"/>
                    <w:bottom w:val="single" w:color="000000" w:sz="6" w:space="0"/>
                    <w:right w:val="nil"/>
                  </w:tcBorders>
                  <w:noWrap w:val="0"/>
                  <w:vAlign w:val="center"/>
                </w:tcPr>
                <w:p w14:paraId="75A94CD8">
                  <w:pPr>
                    <w:pStyle w:val="59"/>
                    <w:keepNext w:val="0"/>
                    <w:keepLines w:val="0"/>
                    <w:pageBreakBefore w:val="0"/>
                    <w:widowControl w:val="0"/>
                    <w:kinsoku/>
                    <w:wordWrap/>
                    <w:overflowPunct/>
                    <w:topLinePunct w:val="0"/>
                    <w:autoSpaceDE/>
                    <w:autoSpaceDN/>
                    <w:bidi w:val="0"/>
                    <w:adjustRightInd w:val="0"/>
                    <w:snapToGrid w:val="0"/>
                    <w:ind w:left="0" w:right="0"/>
                    <w:jc w:val="center"/>
                    <w:textAlignment w:val="auto"/>
                    <w:outlineLvl w:val="9"/>
                    <w:rPr>
                      <w:rFonts w:hint="eastAsia"/>
                      <w:color w:val="auto"/>
                      <w:sz w:val="21"/>
                      <w:szCs w:val="21"/>
                    </w:rPr>
                  </w:pPr>
                  <w:r>
                    <w:rPr>
                      <w:rFonts w:hint="eastAsia"/>
                      <w:color w:val="auto"/>
                      <w:sz w:val="21"/>
                      <w:szCs w:val="21"/>
                    </w:rPr>
                    <w:t>监测频率</w:t>
                  </w:r>
                </w:p>
                <w:p w14:paraId="4B8969A3">
                  <w:pPr>
                    <w:pStyle w:val="59"/>
                    <w:keepNext w:val="0"/>
                    <w:keepLines w:val="0"/>
                    <w:pageBreakBefore w:val="0"/>
                    <w:widowControl w:val="0"/>
                    <w:kinsoku/>
                    <w:wordWrap/>
                    <w:overflowPunct/>
                    <w:topLinePunct w:val="0"/>
                    <w:autoSpaceDE/>
                    <w:autoSpaceDN/>
                    <w:bidi w:val="0"/>
                    <w:adjustRightInd w:val="0"/>
                    <w:snapToGrid w:val="0"/>
                    <w:ind w:left="0" w:right="0"/>
                    <w:jc w:val="center"/>
                    <w:textAlignment w:val="auto"/>
                    <w:outlineLvl w:val="9"/>
                    <w:rPr>
                      <w:rFonts w:hint="eastAsia"/>
                      <w:color w:val="auto"/>
                      <w:sz w:val="21"/>
                      <w:szCs w:val="21"/>
                      <w:lang w:eastAsia="zh-CN"/>
                    </w:rPr>
                  </w:pPr>
                  <w:r>
                    <w:rPr>
                      <w:rFonts w:hint="eastAsia"/>
                      <w:color w:val="auto"/>
                      <w:sz w:val="21"/>
                      <w:szCs w:val="21"/>
                      <w:lang w:eastAsia="zh-CN"/>
                    </w:rPr>
                    <w:t>（</w:t>
                  </w:r>
                  <w:r>
                    <w:rPr>
                      <w:rFonts w:hint="eastAsia"/>
                      <w:color w:val="auto"/>
                      <w:sz w:val="21"/>
                      <w:szCs w:val="21"/>
                      <w:lang w:val="en-US" w:eastAsia="zh-CN"/>
                    </w:rPr>
                    <w:t>间接排放</w:t>
                  </w:r>
                  <w:r>
                    <w:rPr>
                      <w:rFonts w:hint="eastAsia"/>
                      <w:color w:val="auto"/>
                      <w:sz w:val="21"/>
                      <w:szCs w:val="21"/>
                      <w:lang w:eastAsia="zh-CN"/>
                    </w:rPr>
                    <w:t>）</w:t>
                  </w:r>
                </w:p>
              </w:tc>
            </w:tr>
            <w:tr w14:paraId="6F857EF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2" w:hRule="atLeast"/>
                <w:jc w:val="center"/>
              </w:trPr>
              <w:tc>
                <w:tcPr>
                  <w:tcW w:w="1205" w:type="dxa"/>
                  <w:tcBorders>
                    <w:top w:val="single" w:color="000000" w:sz="6" w:space="0"/>
                    <w:left w:val="nil"/>
                    <w:right w:val="single" w:color="000000" w:sz="6" w:space="0"/>
                  </w:tcBorders>
                  <w:noWrap w:val="0"/>
                  <w:vAlign w:val="center"/>
                </w:tcPr>
                <w:p w14:paraId="6112C3D8">
                  <w:pPr>
                    <w:pStyle w:val="59"/>
                    <w:keepNext w:val="0"/>
                    <w:keepLines w:val="0"/>
                    <w:pageBreakBefore w:val="0"/>
                    <w:widowControl w:val="0"/>
                    <w:kinsoku/>
                    <w:wordWrap/>
                    <w:overflowPunct/>
                    <w:topLinePunct w:val="0"/>
                    <w:autoSpaceDE/>
                    <w:autoSpaceDN/>
                    <w:bidi w:val="0"/>
                    <w:adjustRightInd w:val="0"/>
                    <w:snapToGrid w:val="0"/>
                    <w:ind w:left="0" w:right="0"/>
                    <w:jc w:val="center"/>
                    <w:textAlignment w:val="auto"/>
                    <w:outlineLvl w:val="9"/>
                    <w:rPr>
                      <w:rFonts w:hint="eastAsia"/>
                      <w:color w:val="auto"/>
                      <w:sz w:val="21"/>
                      <w:szCs w:val="21"/>
                    </w:rPr>
                  </w:pPr>
                  <w:r>
                    <w:rPr>
                      <w:rFonts w:hint="eastAsia"/>
                      <w:color w:val="auto"/>
                      <w:sz w:val="21"/>
                      <w:szCs w:val="21"/>
                    </w:rPr>
                    <w:t>噪声</w:t>
                  </w:r>
                </w:p>
              </w:tc>
              <w:tc>
                <w:tcPr>
                  <w:tcW w:w="1495" w:type="dxa"/>
                  <w:tcBorders>
                    <w:top w:val="single" w:color="000000" w:sz="6" w:space="0"/>
                    <w:left w:val="single" w:color="000000" w:sz="6" w:space="0"/>
                    <w:right w:val="single" w:color="000000" w:sz="6" w:space="0"/>
                  </w:tcBorders>
                  <w:noWrap w:val="0"/>
                  <w:vAlign w:val="center"/>
                </w:tcPr>
                <w:p w14:paraId="753FEABA">
                  <w:pPr>
                    <w:pStyle w:val="59"/>
                    <w:keepNext w:val="0"/>
                    <w:keepLines w:val="0"/>
                    <w:pageBreakBefore w:val="0"/>
                    <w:widowControl w:val="0"/>
                    <w:kinsoku/>
                    <w:wordWrap/>
                    <w:overflowPunct/>
                    <w:topLinePunct w:val="0"/>
                    <w:autoSpaceDE/>
                    <w:autoSpaceDN/>
                    <w:bidi w:val="0"/>
                    <w:adjustRightInd w:val="0"/>
                    <w:snapToGrid w:val="0"/>
                    <w:ind w:left="0" w:right="0"/>
                    <w:jc w:val="center"/>
                    <w:textAlignment w:val="auto"/>
                    <w:outlineLvl w:val="9"/>
                    <w:rPr>
                      <w:rFonts w:hint="eastAsia"/>
                      <w:color w:val="auto"/>
                      <w:sz w:val="21"/>
                      <w:szCs w:val="21"/>
                    </w:rPr>
                  </w:pPr>
                  <w:r>
                    <w:rPr>
                      <w:rFonts w:hint="eastAsia"/>
                      <w:color w:val="auto"/>
                      <w:sz w:val="21"/>
                      <w:szCs w:val="21"/>
                    </w:rPr>
                    <w:t>厂界外1米</w:t>
                  </w:r>
                </w:p>
              </w:tc>
              <w:tc>
                <w:tcPr>
                  <w:tcW w:w="3779" w:type="dxa"/>
                  <w:tcBorders>
                    <w:top w:val="single" w:color="000000" w:sz="6" w:space="0"/>
                    <w:left w:val="single" w:color="000000" w:sz="6" w:space="0"/>
                    <w:right w:val="single" w:color="000000" w:sz="6" w:space="0"/>
                  </w:tcBorders>
                  <w:noWrap w:val="0"/>
                  <w:vAlign w:val="center"/>
                </w:tcPr>
                <w:p w14:paraId="22148443">
                  <w:pPr>
                    <w:pStyle w:val="59"/>
                    <w:keepNext w:val="0"/>
                    <w:keepLines w:val="0"/>
                    <w:pageBreakBefore w:val="0"/>
                    <w:widowControl w:val="0"/>
                    <w:kinsoku/>
                    <w:wordWrap/>
                    <w:overflowPunct/>
                    <w:topLinePunct w:val="0"/>
                    <w:autoSpaceDE/>
                    <w:autoSpaceDN/>
                    <w:bidi w:val="0"/>
                    <w:adjustRightInd w:val="0"/>
                    <w:snapToGrid w:val="0"/>
                    <w:ind w:left="0" w:right="0"/>
                    <w:jc w:val="center"/>
                    <w:textAlignment w:val="auto"/>
                    <w:outlineLvl w:val="9"/>
                    <w:rPr>
                      <w:rFonts w:hint="eastAsia"/>
                      <w:color w:val="auto"/>
                      <w:sz w:val="21"/>
                      <w:szCs w:val="21"/>
                    </w:rPr>
                  </w:pPr>
                  <w:r>
                    <w:rPr>
                      <w:rFonts w:hint="eastAsia"/>
                      <w:color w:val="auto"/>
                      <w:sz w:val="21"/>
                      <w:szCs w:val="21"/>
                    </w:rPr>
                    <w:t>厂界噪声</w:t>
                  </w:r>
                </w:p>
              </w:tc>
              <w:tc>
                <w:tcPr>
                  <w:tcW w:w="1414" w:type="dxa"/>
                  <w:tcBorders>
                    <w:top w:val="single" w:color="000000" w:sz="6" w:space="0"/>
                    <w:left w:val="single" w:color="000000" w:sz="6" w:space="0"/>
                    <w:right w:val="nil"/>
                  </w:tcBorders>
                  <w:noWrap w:val="0"/>
                  <w:vAlign w:val="center"/>
                </w:tcPr>
                <w:p w14:paraId="5D908BC4">
                  <w:pPr>
                    <w:pStyle w:val="59"/>
                    <w:keepNext w:val="0"/>
                    <w:keepLines w:val="0"/>
                    <w:pageBreakBefore w:val="0"/>
                    <w:widowControl w:val="0"/>
                    <w:kinsoku/>
                    <w:wordWrap/>
                    <w:overflowPunct/>
                    <w:topLinePunct w:val="0"/>
                    <w:autoSpaceDE/>
                    <w:autoSpaceDN/>
                    <w:bidi w:val="0"/>
                    <w:adjustRightInd w:val="0"/>
                    <w:snapToGrid w:val="0"/>
                    <w:ind w:left="0" w:right="0"/>
                    <w:jc w:val="center"/>
                    <w:textAlignment w:val="auto"/>
                    <w:outlineLvl w:val="9"/>
                    <w:rPr>
                      <w:rFonts w:hint="eastAsia" w:eastAsia="宋体"/>
                      <w:color w:val="auto"/>
                      <w:sz w:val="21"/>
                      <w:szCs w:val="21"/>
                      <w:lang w:val="en-US" w:eastAsia="zh-CN"/>
                    </w:rPr>
                  </w:pPr>
                  <w:r>
                    <w:rPr>
                      <w:rFonts w:hint="eastAsia"/>
                      <w:color w:val="auto"/>
                      <w:sz w:val="21"/>
                      <w:szCs w:val="21"/>
                    </w:rPr>
                    <w:t>1次/</w:t>
                  </w:r>
                  <w:r>
                    <w:rPr>
                      <w:rFonts w:hint="eastAsia"/>
                      <w:color w:val="auto"/>
                      <w:sz w:val="21"/>
                      <w:szCs w:val="21"/>
                      <w:lang w:val="en-US" w:eastAsia="zh-CN"/>
                    </w:rPr>
                    <w:t>半年</w:t>
                  </w:r>
                </w:p>
              </w:tc>
            </w:tr>
          </w:tbl>
          <w:p w14:paraId="1CB77D18">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b/>
                <w:bCs/>
                <w:color w:val="auto"/>
                <w:lang w:val="en-US" w:eastAsia="zh-CN"/>
              </w:rPr>
            </w:pPr>
          </w:p>
          <w:p w14:paraId="5DF9556C">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b/>
                <w:bCs/>
                <w:color w:val="auto"/>
                <w:lang w:val="en-US" w:eastAsia="zh-CN"/>
              </w:rPr>
            </w:pPr>
            <w:r>
              <w:rPr>
                <w:rFonts w:hint="eastAsia"/>
                <w:b/>
                <w:bCs/>
                <w:color w:val="auto"/>
                <w:lang w:val="en-US" w:eastAsia="zh-CN"/>
              </w:rPr>
              <w:t>8、环保投资估算</w:t>
            </w:r>
          </w:p>
          <w:p w14:paraId="12C8FDE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本项目总投资</w:t>
            </w:r>
            <w:r>
              <w:rPr>
                <w:rFonts w:hint="eastAsia" w:ascii="宋体" w:hAnsi="宋体" w:cs="宋体"/>
                <w:color w:val="auto"/>
                <w:lang w:val="en-US" w:eastAsia="zh-CN"/>
              </w:rPr>
              <w:t>330</w:t>
            </w:r>
            <w:r>
              <w:rPr>
                <w:rFonts w:hint="eastAsia" w:ascii="宋体" w:hAnsi="宋体" w:eastAsia="宋体" w:cs="宋体"/>
                <w:color w:val="auto"/>
                <w:lang w:val="en-US" w:eastAsia="zh-CN"/>
              </w:rPr>
              <w:t>0</w:t>
            </w:r>
            <w:r>
              <w:rPr>
                <w:rFonts w:hint="eastAsia" w:ascii="宋体" w:hAnsi="宋体" w:cs="宋体"/>
                <w:color w:val="auto"/>
                <w:lang w:val="en-US" w:eastAsia="zh-CN"/>
              </w:rPr>
              <w:t>0</w:t>
            </w:r>
            <w:r>
              <w:rPr>
                <w:rFonts w:hint="eastAsia" w:ascii="宋体" w:hAnsi="宋体" w:eastAsia="宋体" w:cs="宋体"/>
                <w:color w:val="auto"/>
                <w:lang w:val="en-US" w:eastAsia="zh-CN"/>
              </w:rPr>
              <w:t>万元，环保措施或设施约</w:t>
            </w:r>
            <w:r>
              <w:rPr>
                <w:rFonts w:hint="eastAsia" w:ascii="宋体" w:hAnsi="宋体" w:cs="宋体"/>
                <w:color w:val="auto"/>
                <w:lang w:val="en-US" w:eastAsia="zh-CN"/>
              </w:rPr>
              <w:t>32</w:t>
            </w:r>
            <w:r>
              <w:rPr>
                <w:rFonts w:hint="eastAsia" w:ascii="宋体" w:hAnsi="宋体" w:eastAsia="宋体" w:cs="宋体"/>
                <w:color w:val="auto"/>
                <w:lang w:val="en-US" w:eastAsia="zh-CN"/>
              </w:rPr>
              <w:t>万元，本项目环保投资占本工程投资的0.</w:t>
            </w:r>
            <w:r>
              <w:rPr>
                <w:rFonts w:hint="eastAsia" w:ascii="宋体" w:hAnsi="宋体" w:cs="宋体"/>
                <w:color w:val="auto"/>
                <w:lang w:val="en-US" w:eastAsia="zh-CN"/>
              </w:rPr>
              <w:t>1</w:t>
            </w:r>
            <w:r>
              <w:rPr>
                <w:rFonts w:hint="eastAsia" w:ascii="宋体" w:hAnsi="宋体" w:eastAsia="宋体" w:cs="宋体"/>
                <w:color w:val="auto"/>
                <w:lang w:val="en-US" w:eastAsia="zh-CN"/>
              </w:rPr>
              <w:t>%。主要污染防治措施及投资核算见下表4-</w:t>
            </w:r>
            <w:r>
              <w:rPr>
                <w:rFonts w:hint="eastAsia" w:ascii="宋体" w:hAnsi="宋体" w:cs="宋体"/>
                <w:color w:val="auto"/>
                <w:lang w:val="en-US" w:eastAsia="zh-CN"/>
              </w:rPr>
              <w:t>19</w:t>
            </w:r>
            <w:r>
              <w:rPr>
                <w:rFonts w:hint="eastAsia" w:ascii="宋体" w:hAnsi="宋体" w:eastAsia="宋体" w:cs="宋体"/>
                <w:color w:val="auto"/>
                <w:lang w:val="en-US" w:eastAsia="zh-CN"/>
              </w:rPr>
              <w:t>所示。</w:t>
            </w:r>
          </w:p>
          <w:p w14:paraId="7839C688">
            <w:pPr>
              <w:snapToGrid w:val="0"/>
              <w:spacing w:before="120" w:beforeLines="50"/>
              <w:jc w:val="center"/>
              <w:rPr>
                <w:rFonts w:hint="default"/>
                <w:b/>
                <w:color w:val="auto"/>
                <w:sz w:val="21"/>
                <w:szCs w:val="21"/>
                <w:lang w:eastAsia="zh-CN"/>
              </w:rPr>
            </w:pPr>
            <w:r>
              <w:rPr>
                <w:rFonts w:hint="default"/>
                <w:b/>
                <w:color w:val="auto"/>
                <w:sz w:val="21"/>
                <w:szCs w:val="21"/>
                <w:lang w:eastAsia="zh-CN"/>
              </w:rPr>
              <w:t>表</w:t>
            </w:r>
            <w:r>
              <w:rPr>
                <w:rFonts w:hint="eastAsia"/>
                <w:b/>
                <w:color w:val="auto"/>
                <w:sz w:val="21"/>
                <w:szCs w:val="21"/>
                <w:lang w:val="en-US" w:eastAsia="zh-CN"/>
              </w:rPr>
              <w:t>4</w:t>
            </w:r>
            <w:r>
              <w:rPr>
                <w:rFonts w:hint="eastAsia"/>
                <w:b/>
                <w:color w:val="auto"/>
                <w:sz w:val="21"/>
                <w:szCs w:val="21"/>
                <w:lang w:eastAsia="zh-CN"/>
              </w:rPr>
              <w:t>-</w:t>
            </w:r>
            <w:r>
              <w:rPr>
                <w:rFonts w:hint="eastAsia"/>
                <w:b/>
                <w:color w:val="auto"/>
                <w:sz w:val="21"/>
                <w:szCs w:val="21"/>
                <w:lang w:val="en-US" w:eastAsia="zh-CN"/>
              </w:rPr>
              <w:t>19</w:t>
            </w:r>
            <w:r>
              <w:rPr>
                <w:rFonts w:hint="eastAsia"/>
                <w:b/>
                <w:color w:val="auto"/>
                <w:sz w:val="21"/>
                <w:szCs w:val="21"/>
                <w:lang w:eastAsia="zh-CN"/>
              </w:rPr>
              <w:t xml:space="preserve"> 拟建</w:t>
            </w:r>
            <w:r>
              <w:rPr>
                <w:rFonts w:hint="default"/>
                <w:b/>
                <w:color w:val="auto"/>
                <w:sz w:val="21"/>
                <w:szCs w:val="21"/>
                <w:lang w:eastAsia="zh-CN"/>
              </w:rPr>
              <w:t>项目主要环保措施及投资一览表</w:t>
            </w:r>
          </w:p>
          <w:tbl>
            <w:tblPr>
              <w:tblStyle w:val="74"/>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01"/>
              <w:gridCol w:w="1461"/>
              <w:gridCol w:w="5225"/>
              <w:gridCol w:w="1096"/>
            </w:tblGrid>
            <w:tr w14:paraId="450953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413" w:type="pct"/>
                  <w:noWrap w:val="0"/>
                  <w:vAlign w:val="center"/>
                </w:tcPr>
                <w:p w14:paraId="23FEF1FE">
                  <w:pPr>
                    <w:pStyle w:val="59"/>
                    <w:adjustRightInd w:val="0"/>
                    <w:snapToGrid w:val="0"/>
                    <w:rPr>
                      <w:rFonts w:hint="eastAsia" w:ascii="宋体" w:hAnsi="宋体" w:eastAsia="宋体" w:cs="宋体"/>
                      <w:snapToGrid w:val="0"/>
                      <w:color w:val="auto"/>
                      <w:sz w:val="21"/>
                      <w:szCs w:val="21"/>
                      <w:lang w:eastAsia="en-US"/>
                    </w:rPr>
                  </w:pPr>
                  <w:r>
                    <w:rPr>
                      <w:rFonts w:hint="eastAsia" w:ascii="宋体" w:hAnsi="宋体" w:eastAsia="宋体" w:cs="宋体"/>
                      <w:b/>
                      <w:bCs/>
                      <w:snapToGrid w:val="0"/>
                      <w:color w:val="auto"/>
                      <w:sz w:val="21"/>
                      <w:szCs w:val="21"/>
                      <w:lang w:eastAsia="en-US"/>
                    </w:rPr>
                    <w:t>项目</w:t>
                  </w:r>
                </w:p>
              </w:tc>
              <w:tc>
                <w:tcPr>
                  <w:tcW w:w="861" w:type="pct"/>
                  <w:noWrap w:val="0"/>
                  <w:vAlign w:val="center"/>
                </w:tcPr>
                <w:p w14:paraId="0EEF3BB5">
                  <w:pPr>
                    <w:pStyle w:val="59"/>
                    <w:adjustRightInd w:val="0"/>
                    <w:snapToGrid w:val="0"/>
                    <w:rPr>
                      <w:rFonts w:hint="eastAsia" w:ascii="宋体" w:hAnsi="宋体" w:eastAsia="宋体" w:cs="宋体"/>
                      <w:snapToGrid w:val="0"/>
                      <w:color w:val="auto"/>
                      <w:sz w:val="21"/>
                      <w:szCs w:val="21"/>
                      <w:lang w:eastAsia="en-US"/>
                    </w:rPr>
                  </w:pPr>
                  <w:r>
                    <w:rPr>
                      <w:rFonts w:hint="eastAsia" w:ascii="宋体" w:hAnsi="宋体" w:eastAsia="宋体" w:cs="宋体"/>
                      <w:b/>
                      <w:bCs/>
                      <w:snapToGrid w:val="0"/>
                      <w:color w:val="auto"/>
                      <w:sz w:val="21"/>
                      <w:szCs w:val="21"/>
                      <w:lang w:eastAsia="en-US"/>
                    </w:rPr>
                    <w:t>污染物</w:t>
                  </w:r>
                </w:p>
              </w:tc>
              <w:tc>
                <w:tcPr>
                  <w:tcW w:w="3078" w:type="pct"/>
                  <w:noWrap w:val="0"/>
                  <w:vAlign w:val="center"/>
                </w:tcPr>
                <w:p w14:paraId="1B3645AD">
                  <w:pPr>
                    <w:pStyle w:val="59"/>
                    <w:adjustRightInd w:val="0"/>
                    <w:snapToGrid w:val="0"/>
                    <w:rPr>
                      <w:rFonts w:hint="eastAsia" w:ascii="宋体" w:hAnsi="宋体" w:eastAsia="宋体" w:cs="宋体"/>
                      <w:snapToGrid w:val="0"/>
                      <w:color w:val="auto"/>
                      <w:sz w:val="21"/>
                      <w:szCs w:val="21"/>
                      <w:lang w:eastAsia="en-US"/>
                    </w:rPr>
                  </w:pPr>
                  <w:r>
                    <w:rPr>
                      <w:rFonts w:hint="eastAsia" w:ascii="宋体" w:hAnsi="宋体" w:eastAsia="宋体" w:cs="宋体"/>
                      <w:b/>
                      <w:bCs/>
                      <w:snapToGrid w:val="0"/>
                      <w:color w:val="auto"/>
                      <w:sz w:val="21"/>
                      <w:szCs w:val="21"/>
                      <w:lang w:eastAsia="en-US"/>
                    </w:rPr>
                    <w:t>设施概况</w:t>
                  </w:r>
                </w:p>
              </w:tc>
              <w:tc>
                <w:tcPr>
                  <w:tcW w:w="646" w:type="pct"/>
                  <w:noWrap w:val="0"/>
                  <w:vAlign w:val="center"/>
                </w:tcPr>
                <w:p w14:paraId="7EAF3AD6">
                  <w:pPr>
                    <w:pStyle w:val="59"/>
                    <w:adjustRightInd w:val="0"/>
                    <w:snapToGrid w:val="0"/>
                    <w:rPr>
                      <w:rFonts w:hint="eastAsia" w:ascii="宋体" w:hAnsi="宋体" w:eastAsia="宋体" w:cs="宋体"/>
                      <w:snapToGrid w:val="0"/>
                      <w:color w:val="auto"/>
                      <w:sz w:val="21"/>
                      <w:szCs w:val="21"/>
                      <w:lang w:eastAsia="en-US"/>
                    </w:rPr>
                  </w:pPr>
                  <w:r>
                    <w:rPr>
                      <w:rFonts w:hint="eastAsia" w:ascii="宋体" w:hAnsi="宋体" w:eastAsia="宋体" w:cs="宋体"/>
                      <w:b/>
                      <w:bCs/>
                      <w:snapToGrid w:val="0"/>
                      <w:color w:val="auto"/>
                      <w:sz w:val="21"/>
                      <w:szCs w:val="21"/>
                      <w:lang w:eastAsia="en-US"/>
                    </w:rPr>
                    <w:t>环保投资</w:t>
                  </w:r>
                </w:p>
                <w:p w14:paraId="61D81CDA">
                  <w:pPr>
                    <w:pStyle w:val="59"/>
                    <w:adjustRightInd w:val="0"/>
                    <w:snapToGrid w:val="0"/>
                    <w:rPr>
                      <w:rFonts w:hint="eastAsia" w:ascii="宋体" w:hAnsi="宋体" w:eastAsia="宋体" w:cs="宋体"/>
                      <w:snapToGrid w:val="0"/>
                      <w:color w:val="auto"/>
                      <w:sz w:val="21"/>
                      <w:szCs w:val="21"/>
                      <w:lang w:eastAsia="en-US"/>
                    </w:rPr>
                  </w:pPr>
                  <w:r>
                    <w:rPr>
                      <w:rFonts w:hint="eastAsia" w:ascii="宋体" w:hAnsi="宋体" w:eastAsia="宋体" w:cs="宋体"/>
                      <w:b/>
                      <w:bCs/>
                      <w:snapToGrid w:val="0"/>
                      <w:color w:val="auto"/>
                      <w:sz w:val="21"/>
                      <w:szCs w:val="21"/>
                      <w:lang w:eastAsia="en-US"/>
                    </w:rPr>
                    <w:t>（万元）</w:t>
                  </w:r>
                </w:p>
              </w:tc>
            </w:tr>
            <w:tr w14:paraId="3C0E04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6" w:hRule="exact"/>
              </w:trPr>
              <w:tc>
                <w:tcPr>
                  <w:tcW w:w="413" w:type="pct"/>
                  <w:noWrap w:val="0"/>
                  <w:vAlign w:val="center"/>
                </w:tcPr>
                <w:p w14:paraId="27DF388B">
                  <w:pPr>
                    <w:pStyle w:val="59"/>
                    <w:adjustRightInd w:val="0"/>
                    <w:snapToGrid w:val="0"/>
                    <w:rPr>
                      <w:rFonts w:hint="eastAsia" w:ascii="宋体" w:hAnsi="宋体" w:eastAsia="宋体" w:cs="宋体"/>
                      <w:snapToGrid w:val="0"/>
                      <w:color w:val="auto"/>
                      <w:sz w:val="21"/>
                      <w:szCs w:val="21"/>
                      <w:lang w:eastAsia="en-US"/>
                    </w:rPr>
                  </w:pPr>
                  <w:r>
                    <w:rPr>
                      <w:rFonts w:hint="eastAsia" w:ascii="宋体" w:hAnsi="宋体" w:eastAsia="宋体" w:cs="宋体"/>
                      <w:snapToGrid w:val="0"/>
                      <w:color w:val="auto"/>
                      <w:sz w:val="21"/>
                      <w:szCs w:val="21"/>
                      <w:lang w:eastAsia="en-US"/>
                    </w:rPr>
                    <w:t>废水</w:t>
                  </w:r>
                </w:p>
                <w:p w14:paraId="642A92AD">
                  <w:pPr>
                    <w:pStyle w:val="59"/>
                    <w:adjustRightInd w:val="0"/>
                    <w:snapToGrid w:val="0"/>
                    <w:rPr>
                      <w:rFonts w:hint="eastAsia" w:ascii="宋体" w:hAnsi="宋体" w:eastAsia="宋体" w:cs="宋体"/>
                      <w:snapToGrid w:val="0"/>
                      <w:color w:val="auto"/>
                      <w:sz w:val="21"/>
                      <w:szCs w:val="21"/>
                      <w:lang w:eastAsia="en-US"/>
                    </w:rPr>
                  </w:pPr>
                  <w:r>
                    <w:rPr>
                      <w:rFonts w:hint="eastAsia" w:ascii="宋体" w:hAnsi="宋体" w:eastAsia="宋体" w:cs="宋体"/>
                      <w:snapToGrid w:val="0"/>
                      <w:color w:val="auto"/>
                      <w:sz w:val="21"/>
                      <w:szCs w:val="21"/>
                      <w:lang w:eastAsia="en-US"/>
                    </w:rPr>
                    <w:t>治理</w:t>
                  </w:r>
                </w:p>
              </w:tc>
              <w:tc>
                <w:tcPr>
                  <w:tcW w:w="861" w:type="pct"/>
                  <w:noWrap w:val="0"/>
                  <w:vAlign w:val="center"/>
                </w:tcPr>
                <w:p w14:paraId="769F3B29">
                  <w:pPr>
                    <w:pStyle w:val="59"/>
                    <w:adjustRightInd w:val="0"/>
                    <w:snapToGrid w:val="0"/>
                    <w:rPr>
                      <w:rFonts w:hint="eastAsia" w:ascii="宋体" w:hAnsi="宋体" w:eastAsia="宋体" w:cs="宋体"/>
                      <w:snapToGrid w:val="0"/>
                      <w:color w:val="auto"/>
                      <w:sz w:val="21"/>
                      <w:szCs w:val="21"/>
                      <w:lang w:eastAsia="en-US"/>
                    </w:rPr>
                  </w:pPr>
                  <w:r>
                    <w:rPr>
                      <w:rFonts w:hint="eastAsia" w:ascii="宋体" w:hAnsi="宋体" w:eastAsia="宋体" w:cs="宋体"/>
                      <w:snapToGrid w:val="0"/>
                      <w:color w:val="auto"/>
                      <w:sz w:val="21"/>
                      <w:szCs w:val="21"/>
                      <w:lang w:eastAsia="en-US"/>
                    </w:rPr>
                    <w:t>生活污水</w:t>
                  </w:r>
                </w:p>
              </w:tc>
              <w:tc>
                <w:tcPr>
                  <w:tcW w:w="3078" w:type="pct"/>
                  <w:noWrap w:val="0"/>
                  <w:vAlign w:val="center"/>
                </w:tcPr>
                <w:p w14:paraId="1851EE2E">
                  <w:pPr>
                    <w:pStyle w:val="59"/>
                    <w:adjustRightInd w:val="0"/>
                    <w:snapToGrid w:val="0"/>
                    <w:rPr>
                      <w:rFonts w:hint="eastAsia" w:ascii="宋体" w:hAnsi="宋体" w:eastAsia="宋体" w:cs="宋体"/>
                      <w:snapToGrid w:val="0"/>
                      <w:color w:val="auto"/>
                      <w:sz w:val="21"/>
                      <w:szCs w:val="21"/>
                      <w:lang w:eastAsia="en-US"/>
                    </w:rPr>
                  </w:pPr>
                  <w:r>
                    <w:rPr>
                      <w:rFonts w:hint="eastAsia" w:ascii="宋体" w:hAnsi="宋体" w:eastAsia="宋体" w:cs="宋体"/>
                      <w:snapToGrid w:val="0"/>
                      <w:color w:val="auto"/>
                      <w:sz w:val="21"/>
                      <w:szCs w:val="21"/>
                      <w:lang w:val="en-US" w:eastAsia="zh-CN"/>
                    </w:rPr>
                    <w:t>新建1座</w:t>
                  </w:r>
                  <w:r>
                    <w:rPr>
                      <w:rFonts w:hint="eastAsia" w:cs="宋体"/>
                      <w:snapToGrid w:val="0"/>
                      <w:color w:val="auto"/>
                      <w:sz w:val="21"/>
                      <w:szCs w:val="21"/>
                      <w:lang w:val="en-US" w:eastAsia="zh-CN"/>
                    </w:rPr>
                    <w:t>10</w:t>
                  </w:r>
                  <w:r>
                    <w:rPr>
                      <w:rFonts w:hint="eastAsia" w:ascii="宋体" w:hAnsi="宋体" w:eastAsia="宋体" w:cs="宋体"/>
                      <w:snapToGrid w:val="0"/>
                      <w:color w:val="auto"/>
                      <w:sz w:val="21"/>
                      <w:szCs w:val="21"/>
                      <w:lang w:val="en-US" w:eastAsia="zh-CN"/>
                    </w:rPr>
                    <w:t>m</w:t>
                  </w:r>
                  <w:r>
                    <w:rPr>
                      <w:rFonts w:hint="eastAsia" w:ascii="宋体" w:hAnsi="宋体" w:eastAsia="宋体" w:cs="宋体"/>
                      <w:snapToGrid w:val="0"/>
                      <w:color w:val="auto"/>
                      <w:sz w:val="21"/>
                      <w:szCs w:val="21"/>
                      <w:vertAlign w:val="superscript"/>
                      <w:lang w:val="en-US" w:eastAsia="zh-CN"/>
                    </w:rPr>
                    <w:t>3</w:t>
                  </w:r>
                  <w:r>
                    <w:rPr>
                      <w:rFonts w:hint="eastAsia" w:cs="宋体"/>
                      <w:snapToGrid w:val="0"/>
                      <w:color w:val="auto"/>
                      <w:sz w:val="21"/>
                      <w:szCs w:val="21"/>
                      <w:lang w:val="en-US" w:eastAsia="zh-CN"/>
                    </w:rPr>
                    <w:t>化粪池</w:t>
                  </w:r>
                  <w:r>
                    <w:rPr>
                      <w:rFonts w:hint="eastAsia" w:ascii="宋体" w:hAnsi="宋体" w:eastAsia="宋体" w:cs="宋体"/>
                      <w:snapToGrid w:val="0"/>
                      <w:color w:val="auto"/>
                      <w:sz w:val="21"/>
                      <w:szCs w:val="21"/>
                      <w:lang w:val="en-US" w:eastAsia="zh-CN"/>
                    </w:rPr>
                    <w:t>，生活污水经</w:t>
                  </w:r>
                  <w:r>
                    <w:rPr>
                      <w:rFonts w:hint="eastAsia" w:cs="宋体"/>
                      <w:snapToGrid w:val="0"/>
                      <w:color w:val="auto"/>
                      <w:sz w:val="21"/>
                      <w:szCs w:val="21"/>
                      <w:lang w:val="en-US" w:eastAsia="zh-CN"/>
                    </w:rPr>
                    <w:t>化粪池</w:t>
                  </w:r>
                  <w:r>
                    <w:rPr>
                      <w:rFonts w:hint="eastAsia" w:ascii="宋体" w:hAnsi="宋体" w:eastAsia="宋体" w:cs="宋体"/>
                      <w:snapToGrid w:val="0"/>
                      <w:color w:val="auto"/>
                      <w:sz w:val="21"/>
                      <w:szCs w:val="21"/>
                      <w:lang w:val="en-US" w:eastAsia="zh-CN"/>
                    </w:rPr>
                    <w:t>处理达标后排入市政污水管网，最终进入龙眼井污水处理厂处理。</w:t>
                  </w:r>
                </w:p>
              </w:tc>
              <w:tc>
                <w:tcPr>
                  <w:tcW w:w="646" w:type="pct"/>
                  <w:noWrap w:val="0"/>
                  <w:vAlign w:val="center"/>
                </w:tcPr>
                <w:p w14:paraId="02C2E6F6">
                  <w:pPr>
                    <w:pStyle w:val="59"/>
                    <w:adjustRightInd w:val="0"/>
                    <w:snapToGrid w:val="0"/>
                    <w:rPr>
                      <w:rFonts w:hint="eastAsia" w:ascii="宋体" w:hAnsi="宋体" w:eastAsia="宋体" w:cs="宋体"/>
                      <w:snapToGrid w:val="0"/>
                      <w:color w:val="auto"/>
                      <w:sz w:val="21"/>
                      <w:szCs w:val="21"/>
                      <w:lang w:val="en-US" w:eastAsia="zh-CN"/>
                    </w:rPr>
                  </w:pPr>
                  <w:r>
                    <w:rPr>
                      <w:rFonts w:hint="eastAsia" w:cs="宋体"/>
                      <w:snapToGrid w:val="0"/>
                      <w:color w:val="auto"/>
                      <w:sz w:val="21"/>
                      <w:szCs w:val="21"/>
                      <w:lang w:val="en-US" w:eastAsia="zh-CN"/>
                    </w:rPr>
                    <w:t>4</w:t>
                  </w:r>
                </w:p>
              </w:tc>
            </w:tr>
            <w:tr w14:paraId="691646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exact"/>
              </w:trPr>
              <w:tc>
                <w:tcPr>
                  <w:tcW w:w="413" w:type="pct"/>
                  <w:noWrap w:val="0"/>
                  <w:vAlign w:val="center"/>
                </w:tcPr>
                <w:p w14:paraId="6B84654B">
                  <w:pPr>
                    <w:pStyle w:val="59"/>
                    <w:adjustRightInd w:val="0"/>
                    <w:snapToGrid w:val="0"/>
                    <w:rPr>
                      <w:rFonts w:hint="eastAsia" w:ascii="宋体" w:hAnsi="宋体" w:eastAsia="宋体" w:cs="宋体"/>
                      <w:snapToGrid w:val="0"/>
                      <w:color w:val="auto"/>
                      <w:sz w:val="21"/>
                      <w:szCs w:val="21"/>
                      <w:lang w:eastAsia="en-US"/>
                    </w:rPr>
                  </w:pPr>
                  <w:r>
                    <w:rPr>
                      <w:rFonts w:hint="eastAsia" w:ascii="宋体" w:hAnsi="宋体" w:eastAsia="宋体" w:cs="宋体"/>
                      <w:snapToGrid w:val="0"/>
                      <w:color w:val="auto"/>
                      <w:sz w:val="21"/>
                      <w:szCs w:val="21"/>
                      <w:lang w:eastAsia="en-US"/>
                    </w:rPr>
                    <w:t>噪声</w:t>
                  </w:r>
                </w:p>
                <w:p w14:paraId="0D147380">
                  <w:pPr>
                    <w:pStyle w:val="59"/>
                    <w:adjustRightInd w:val="0"/>
                    <w:snapToGrid w:val="0"/>
                    <w:rPr>
                      <w:rFonts w:hint="eastAsia" w:ascii="宋体" w:hAnsi="宋体" w:eastAsia="宋体" w:cs="宋体"/>
                      <w:snapToGrid w:val="0"/>
                      <w:color w:val="auto"/>
                      <w:sz w:val="21"/>
                      <w:szCs w:val="21"/>
                      <w:lang w:eastAsia="en-US"/>
                    </w:rPr>
                  </w:pPr>
                  <w:r>
                    <w:rPr>
                      <w:rFonts w:hint="eastAsia" w:ascii="宋体" w:hAnsi="宋体" w:eastAsia="宋体" w:cs="宋体"/>
                      <w:snapToGrid w:val="0"/>
                      <w:color w:val="auto"/>
                      <w:sz w:val="21"/>
                      <w:szCs w:val="21"/>
                      <w:lang w:eastAsia="en-US"/>
                    </w:rPr>
                    <w:t>治理</w:t>
                  </w:r>
                </w:p>
              </w:tc>
              <w:tc>
                <w:tcPr>
                  <w:tcW w:w="861" w:type="pct"/>
                  <w:noWrap w:val="0"/>
                  <w:vAlign w:val="center"/>
                </w:tcPr>
                <w:p w14:paraId="06067F7A">
                  <w:pPr>
                    <w:pStyle w:val="59"/>
                    <w:adjustRightInd w:val="0"/>
                    <w:snapToGrid w:val="0"/>
                    <w:rPr>
                      <w:rFonts w:hint="eastAsia" w:ascii="宋体" w:hAnsi="宋体" w:eastAsia="宋体" w:cs="宋体"/>
                      <w:snapToGrid w:val="0"/>
                      <w:color w:val="auto"/>
                      <w:sz w:val="21"/>
                      <w:szCs w:val="21"/>
                      <w:lang w:eastAsia="en-US"/>
                    </w:rPr>
                  </w:pPr>
                  <w:r>
                    <w:rPr>
                      <w:rFonts w:hint="eastAsia" w:ascii="宋体" w:hAnsi="宋体" w:eastAsia="宋体" w:cs="宋体"/>
                      <w:snapToGrid w:val="0"/>
                      <w:color w:val="auto"/>
                      <w:sz w:val="21"/>
                      <w:szCs w:val="21"/>
                      <w:lang w:eastAsia="en-US"/>
                    </w:rPr>
                    <w:t>设备运行噪声</w:t>
                  </w:r>
                </w:p>
              </w:tc>
              <w:tc>
                <w:tcPr>
                  <w:tcW w:w="3078" w:type="pct"/>
                  <w:noWrap w:val="0"/>
                  <w:vAlign w:val="center"/>
                </w:tcPr>
                <w:p w14:paraId="04F90047">
                  <w:pPr>
                    <w:pStyle w:val="59"/>
                    <w:adjustRightInd w:val="0"/>
                    <w:snapToGrid w:val="0"/>
                    <w:rPr>
                      <w:rFonts w:hint="eastAsia" w:ascii="宋体" w:hAnsi="宋体" w:eastAsia="宋体" w:cs="宋体"/>
                      <w:snapToGrid w:val="0"/>
                      <w:color w:val="auto"/>
                      <w:sz w:val="21"/>
                      <w:szCs w:val="21"/>
                      <w:lang w:eastAsia="en-US"/>
                    </w:rPr>
                  </w:pPr>
                  <w:r>
                    <w:rPr>
                      <w:rFonts w:hint="eastAsia" w:ascii="宋体" w:hAnsi="宋体" w:eastAsia="宋体" w:cs="宋体"/>
                      <w:snapToGrid w:val="0"/>
                      <w:color w:val="auto"/>
                      <w:sz w:val="21"/>
                      <w:szCs w:val="21"/>
                      <w:lang w:eastAsia="en-US"/>
                    </w:rPr>
                    <w:t>选用低噪声设备、车间隔声、减震</w:t>
                  </w:r>
                </w:p>
              </w:tc>
              <w:tc>
                <w:tcPr>
                  <w:tcW w:w="646" w:type="pct"/>
                  <w:noWrap w:val="0"/>
                  <w:vAlign w:val="center"/>
                </w:tcPr>
                <w:p w14:paraId="12933C4B">
                  <w:pPr>
                    <w:pStyle w:val="59"/>
                    <w:adjustRightInd w:val="0"/>
                    <w:snapToGrid w:val="0"/>
                    <w:rPr>
                      <w:rFonts w:hint="eastAsia" w:ascii="宋体" w:hAnsi="宋体" w:eastAsia="宋体" w:cs="宋体"/>
                      <w:snapToGrid w:val="0"/>
                      <w:color w:val="auto"/>
                      <w:sz w:val="21"/>
                      <w:szCs w:val="21"/>
                      <w:lang w:val="en-US" w:eastAsia="zh-CN"/>
                    </w:rPr>
                  </w:pPr>
                  <w:r>
                    <w:rPr>
                      <w:rFonts w:hint="eastAsia" w:ascii="宋体" w:hAnsi="宋体" w:eastAsia="宋体" w:cs="宋体"/>
                      <w:snapToGrid w:val="0"/>
                      <w:color w:val="auto"/>
                      <w:sz w:val="21"/>
                      <w:szCs w:val="21"/>
                      <w:lang w:val="en-US" w:eastAsia="zh-CN"/>
                    </w:rPr>
                    <w:t>5</w:t>
                  </w:r>
                </w:p>
              </w:tc>
            </w:tr>
            <w:tr w14:paraId="445EEB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8" w:hRule="exact"/>
              </w:trPr>
              <w:tc>
                <w:tcPr>
                  <w:tcW w:w="413" w:type="pct"/>
                  <w:vMerge w:val="restart"/>
                  <w:noWrap w:val="0"/>
                  <w:vAlign w:val="center"/>
                </w:tcPr>
                <w:p w14:paraId="6CE5BBAA">
                  <w:pPr>
                    <w:pStyle w:val="59"/>
                    <w:adjustRightInd w:val="0"/>
                    <w:snapToGrid w:val="0"/>
                    <w:rPr>
                      <w:rFonts w:hint="eastAsia" w:ascii="宋体" w:hAnsi="宋体" w:eastAsia="宋体" w:cs="宋体"/>
                      <w:snapToGrid w:val="0"/>
                      <w:color w:val="auto"/>
                      <w:sz w:val="21"/>
                      <w:szCs w:val="21"/>
                      <w:lang w:eastAsia="en-US"/>
                    </w:rPr>
                  </w:pPr>
                  <w:r>
                    <w:rPr>
                      <w:rFonts w:hint="eastAsia" w:ascii="宋体" w:hAnsi="宋体" w:eastAsia="宋体" w:cs="宋体"/>
                      <w:snapToGrid w:val="0"/>
                      <w:color w:val="auto"/>
                      <w:sz w:val="21"/>
                      <w:szCs w:val="21"/>
                      <w:lang w:eastAsia="en-US"/>
                    </w:rPr>
                    <w:t>固废</w:t>
                  </w:r>
                </w:p>
                <w:p w14:paraId="0B19C875">
                  <w:pPr>
                    <w:pStyle w:val="59"/>
                    <w:adjustRightInd w:val="0"/>
                    <w:snapToGrid w:val="0"/>
                    <w:rPr>
                      <w:rFonts w:hint="eastAsia" w:ascii="宋体" w:hAnsi="宋体" w:eastAsia="宋体" w:cs="宋体"/>
                      <w:snapToGrid w:val="0"/>
                      <w:color w:val="auto"/>
                      <w:sz w:val="21"/>
                      <w:szCs w:val="21"/>
                      <w:lang w:eastAsia="en-US"/>
                    </w:rPr>
                  </w:pPr>
                  <w:r>
                    <w:rPr>
                      <w:rFonts w:hint="eastAsia" w:ascii="宋体" w:hAnsi="宋体" w:eastAsia="宋体" w:cs="宋体"/>
                      <w:snapToGrid w:val="0"/>
                      <w:color w:val="auto"/>
                      <w:sz w:val="21"/>
                      <w:szCs w:val="21"/>
                      <w:lang w:eastAsia="en-US"/>
                    </w:rPr>
                    <w:t>治理</w:t>
                  </w:r>
                </w:p>
              </w:tc>
              <w:tc>
                <w:tcPr>
                  <w:tcW w:w="861" w:type="pct"/>
                  <w:noWrap w:val="0"/>
                  <w:vAlign w:val="center"/>
                </w:tcPr>
                <w:p w14:paraId="03F8CD8C">
                  <w:pPr>
                    <w:pStyle w:val="59"/>
                    <w:adjustRightInd w:val="0"/>
                    <w:snapToGrid w:val="0"/>
                    <w:rPr>
                      <w:rFonts w:hint="eastAsia" w:ascii="宋体" w:hAnsi="宋体" w:eastAsia="宋体" w:cs="宋体"/>
                      <w:snapToGrid w:val="0"/>
                      <w:color w:val="auto"/>
                      <w:sz w:val="21"/>
                      <w:szCs w:val="21"/>
                      <w:lang w:eastAsia="en-US"/>
                    </w:rPr>
                  </w:pPr>
                  <w:r>
                    <w:rPr>
                      <w:rFonts w:hint="eastAsia" w:ascii="宋体" w:hAnsi="宋体" w:eastAsia="宋体" w:cs="宋体"/>
                      <w:snapToGrid w:val="0"/>
                      <w:color w:val="auto"/>
                      <w:sz w:val="21"/>
                      <w:szCs w:val="21"/>
                      <w:lang w:eastAsia="en-US"/>
                    </w:rPr>
                    <w:t>危险废物</w:t>
                  </w:r>
                </w:p>
              </w:tc>
              <w:tc>
                <w:tcPr>
                  <w:tcW w:w="3078" w:type="pct"/>
                  <w:noWrap w:val="0"/>
                  <w:vAlign w:val="center"/>
                </w:tcPr>
                <w:p w14:paraId="5BD68765">
                  <w:pPr>
                    <w:pStyle w:val="59"/>
                    <w:adjustRightInd w:val="0"/>
                    <w:snapToGrid w:val="0"/>
                    <w:rPr>
                      <w:rFonts w:hint="eastAsia" w:ascii="宋体" w:hAnsi="宋体" w:eastAsia="宋体" w:cs="宋体"/>
                      <w:snapToGrid w:val="0"/>
                      <w:color w:val="auto"/>
                      <w:sz w:val="21"/>
                      <w:szCs w:val="21"/>
                      <w:lang w:val="en-US" w:eastAsia="zh-CN"/>
                    </w:rPr>
                  </w:pPr>
                  <w:r>
                    <w:rPr>
                      <w:rFonts w:hint="eastAsia" w:ascii="宋体" w:hAnsi="宋体" w:eastAsia="宋体" w:cs="宋体"/>
                      <w:snapToGrid w:val="0"/>
                      <w:color w:val="auto"/>
                      <w:sz w:val="21"/>
                      <w:szCs w:val="21"/>
                      <w:lang w:val="en-US" w:eastAsia="zh-CN"/>
                    </w:rPr>
                    <w:t>车间内设置危废贮存库</w:t>
                  </w:r>
                  <w:r>
                    <w:rPr>
                      <w:rFonts w:hint="eastAsia" w:ascii="宋体" w:hAnsi="宋体" w:eastAsia="宋体" w:cs="宋体"/>
                      <w:snapToGrid w:val="0"/>
                      <w:color w:val="auto"/>
                      <w:sz w:val="21"/>
                      <w:szCs w:val="21"/>
                      <w:lang w:val="en-US" w:eastAsia="en-US"/>
                    </w:rPr>
                    <w:t>，面积约</w:t>
                  </w:r>
                  <w:r>
                    <w:rPr>
                      <w:rFonts w:hint="eastAsia" w:ascii="宋体" w:hAnsi="宋体" w:eastAsia="宋体" w:cs="宋体"/>
                      <w:snapToGrid w:val="0"/>
                      <w:color w:val="auto"/>
                      <w:sz w:val="21"/>
                      <w:szCs w:val="21"/>
                      <w:lang w:val="en-US" w:eastAsia="zh-CN"/>
                    </w:rPr>
                    <w:t>1</w:t>
                  </w:r>
                  <w:r>
                    <w:rPr>
                      <w:rFonts w:hint="eastAsia" w:ascii="宋体" w:hAnsi="宋体" w:eastAsia="宋体" w:cs="宋体"/>
                      <w:snapToGrid w:val="0"/>
                      <w:color w:val="auto"/>
                      <w:sz w:val="21"/>
                      <w:szCs w:val="21"/>
                      <w:lang w:val="en-US" w:eastAsia="en-US"/>
                    </w:rPr>
                    <w:t>0</w:t>
                  </w:r>
                  <w:r>
                    <w:rPr>
                      <w:rFonts w:hint="eastAsia" w:ascii="宋体" w:hAnsi="宋体" w:eastAsia="宋体" w:cs="宋体"/>
                      <w:snapToGrid w:val="0"/>
                      <w:color w:val="auto"/>
                      <w:sz w:val="21"/>
                      <w:szCs w:val="21"/>
                      <w:lang w:eastAsia="en-US"/>
                    </w:rPr>
                    <w:t xml:space="preserve"> m</w:t>
                  </w:r>
                  <w:r>
                    <w:rPr>
                      <w:rFonts w:hint="eastAsia" w:ascii="宋体" w:hAnsi="宋体" w:eastAsia="宋体" w:cs="宋体"/>
                      <w:snapToGrid w:val="0"/>
                      <w:color w:val="auto"/>
                      <w:sz w:val="21"/>
                      <w:szCs w:val="21"/>
                      <w:vertAlign w:val="superscript"/>
                      <w:lang w:eastAsia="en-US"/>
                    </w:rPr>
                    <w:t>2</w:t>
                  </w:r>
                  <w:r>
                    <w:rPr>
                      <w:rFonts w:hint="eastAsia" w:ascii="宋体" w:hAnsi="宋体" w:eastAsia="宋体" w:cs="宋体"/>
                      <w:snapToGrid w:val="0"/>
                      <w:color w:val="auto"/>
                      <w:sz w:val="21"/>
                      <w:szCs w:val="21"/>
                      <w:lang w:eastAsia="en-US"/>
                    </w:rPr>
                    <w:t>；</w:t>
                  </w:r>
                  <w:r>
                    <w:rPr>
                      <w:rFonts w:hint="eastAsia" w:ascii="宋体" w:hAnsi="宋体" w:eastAsia="宋体" w:cs="宋体"/>
                      <w:snapToGrid w:val="0"/>
                      <w:color w:val="auto"/>
                      <w:sz w:val="21"/>
                      <w:szCs w:val="21"/>
                      <w:lang w:val="en-US" w:eastAsia="zh-CN"/>
                    </w:rPr>
                    <w:t>用于暂存危险废物，定期交由资质单位处置</w:t>
                  </w:r>
                </w:p>
              </w:tc>
              <w:tc>
                <w:tcPr>
                  <w:tcW w:w="646" w:type="pct"/>
                  <w:noWrap w:val="0"/>
                  <w:vAlign w:val="center"/>
                </w:tcPr>
                <w:p w14:paraId="07AD2D32">
                  <w:pPr>
                    <w:pStyle w:val="59"/>
                    <w:adjustRightInd w:val="0"/>
                    <w:snapToGrid w:val="0"/>
                    <w:rPr>
                      <w:rFonts w:hint="eastAsia" w:ascii="宋体" w:hAnsi="宋体" w:eastAsia="宋体" w:cs="宋体"/>
                      <w:snapToGrid w:val="0"/>
                      <w:color w:val="auto"/>
                      <w:sz w:val="21"/>
                      <w:szCs w:val="21"/>
                      <w:lang w:val="en-US" w:eastAsia="zh-CN"/>
                    </w:rPr>
                  </w:pPr>
                  <w:r>
                    <w:rPr>
                      <w:rFonts w:hint="eastAsia" w:ascii="宋体" w:hAnsi="宋体" w:eastAsia="宋体" w:cs="宋体"/>
                      <w:snapToGrid w:val="0"/>
                      <w:color w:val="auto"/>
                      <w:sz w:val="21"/>
                      <w:szCs w:val="21"/>
                      <w:lang w:val="en-US" w:eastAsia="zh-CN"/>
                    </w:rPr>
                    <w:t>5</w:t>
                  </w:r>
                </w:p>
              </w:tc>
            </w:tr>
            <w:tr w14:paraId="5CBC13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413" w:type="pct"/>
                  <w:vMerge w:val="continue"/>
                  <w:noWrap w:val="0"/>
                  <w:vAlign w:val="center"/>
                </w:tcPr>
                <w:p w14:paraId="7007ACEC">
                  <w:pPr>
                    <w:pStyle w:val="59"/>
                    <w:adjustRightInd w:val="0"/>
                    <w:snapToGrid w:val="0"/>
                    <w:rPr>
                      <w:rFonts w:hint="eastAsia" w:ascii="宋体" w:hAnsi="宋体" w:eastAsia="宋体" w:cs="宋体"/>
                      <w:snapToGrid w:val="0"/>
                      <w:color w:val="auto"/>
                      <w:sz w:val="21"/>
                      <w:szCs w:val="21"/>
                      <w:lang w:eastAsia="en-US"/>
                    </w:rPr>
                  </w:pPr>
                </w:p>
              </w:tc>
              <w:tc>
                <w:tcPr>
                  <w:tcW w:w="861" w:type="pct"/>
                  <w:noWrap w:val="0"/>
                  <w:vAlign w:val="center"/>
                </w:tcPr>
                <w:p w14:paraId="32C09A35">
                  <w:pPr>
                    <w:pStyle w:val="59"/>
                    <w:adjustRightInd w:val="0"/>
                    <w:snapToGrid w:val="0"/>
                    <w:rPr>
                      <w:rFonts w:hint="eastAsia" w:ascii="宋体" w:hAnsi="宋体" w:eastAsia="宋体" w:cs="宋体"/>
                      <w:snapToGrid w:val="0"/>
                      <w:color w:val="auto"/>
                      <w:sz w:val="21"/>
                      <w:szCs w:val="21"/>
                      <w:lang w:eastAsia="en-US"/>
                    </w:rPr>
                  </w:pPr>
                  <w:r>
                    <w:rPr>
                      <w:rFonts w:hint="eastAsia" w:ascii="宋体" w:hAnsi="宋体" w:eastAsia="宋体" w:cs="宋体"/>
                      <w:snapToGrid w:val="0"/>
                      <w:color w:val="auto"/>
                      <w:sz w:val="21"/>
                      <w:szCs w:val="21"/>
                      <w:lang w:eastAsia="en-US"/>
                    </w:rPr>
                    <w:t>一般固废</w:t>
                  </w:r>
                </w:p>
              </w:tc>
              <w:tc>
                <w:tcPr>
                  <w:tcW w:w="3078" w:type="pct"/>
                  <w:noWrap w:val="0"/>
                  <w:vAlign w:val="center"/>
                </w:tcPr>
                <w:p w14:paraId="25099BAD">
                  <w:pPr>
                    <w:pStyle w:val="59"/>
                    <w:adjustRightInd w:val="0"/>
                    <w:snapToGrid w:val="0"/>
                    <w:rPr>
                      <w:rFonts w:hint="eastAsia" w:ascii="宋体" w:hAnsi="宋体" w:eastAsia="宋体" w:cs="宋体"/>
                      <w:snapToGrid w:val="0"/>
                      <w:color w:val="auto"/>
                      <w:sz w:val="21"/>
                      <w:szCs w:val="21"/>
                      <w:vertAlign w:val="baseline"/>
                      <w:lang w:val="en-US" w:eastAsia="zh-CN"/>
                    </w:rPr>
                  </w:pPr>
                  <w:r>
                    <w:rPr>
                      <w:rFonts w:hint="eastAsia" w:ascii="宋体" w:hAnsi="宋体" w:eastAsia="宋体" w:cs="宋体"/>
                      <w:snapToGrid w:val="0"/>
                      <w:color w:val="auto"/>
                      <w:sz w:val="21"/>
                      <w:szCs w:val="21"/>
                      <w:lang w:val="en-US" w:eastAsia="zh-CN"/>
                    </w:rPr>
                    <w:t>车间设置20</w:t>
                  </w:r>
                  <w:r>
                    <w:rPr>
                      <w:rFonts w:hint="eastAsia" w:ascii="宋体" w:hAnsi="宋体" w:eastAsia="宋体" w:cs="宋体"/>
                      <w:snapToGrid w:val="0"/>
                      <w:color w:val="auto"/>
                      <w:sz w:val="21"/>
                      <w:szCs w:val="21"/>
                      <w:lang w:eastAsia="en-US"/>
                    </w:rPr>
                    <w:t>m</w:t>
                  </w:r>
                  <w:r>
                    <w:rPr>
                      <w:rFonts w:hint="eastAsia" w:ascii="宋体" w:hAnsi="宋体" w:eastAsia="宋体" w:cs="宋体"/>
                      <w:snapToGrid w:val="0"/>
                      <w:color w:val="auto"/>
                      <w:sz w:val="21"/>
                      <w:szCs w:val="21"/>
                      <w:vertAlign w:val="superscript"/>
                      <w:lang w:eastAsia="en-US"/>
                    </w:rPr>
                    <w:t>2</w:t>
                  </w:r>
                  <w:r>
                    <w:rPr>
                      <w:rFonts w:hint="eastAsia" w:ascii="宋体" w:hAnsi="宋体" w:eastAsia="宋体" w:cs="宋体"/>
                      <w:snapToGrid w:val="0"/>
                      <w:color w:val="auto"/>
                      <w:sz w:val="21"/>
                      <w:szCs w:val="21"/>
                      <w:vertAlign w:val="baseline"/>
                      <w:lang w:val="en-US" w:eastAsia="zh-CN"/>
                    </w:rPr>
                    <w:t>一般固废贮存库，用于暂存一般固废</w:t>
                  </w:r>
                </w:p>
              </w:tc>
              <w:tc>
                <w:tcPr>
                  <w:tcW w:w="646" w:type="pct"/>
                  <w:noWrap w:val="0"/>
                  <w:vAlign w:val="center"/>
                </w:tcPr>
                <w:p w14:paraId="626784EC">
                  <w:pPr>
                    <w:pStyle w:val="59"/>
                    <w:adjustRightInd w:val="0"/>
                    <w:snapToGrid w:val="0"/>
                    <w:rPr>
                      <w:rFonts w:hint="eastAsia" w:ascii="宋体" w:hAnsi="宋体" w:eastAsia="宋体" w:cs="宋体"/>
                      <w:snapToGrid w:val="0"/>
                      <w:color w:val="auto"/>
                      <w:sz w:val="21"/>
                      <w:szCs w:val="21"/>
                      <w:lang w:eastAsia="zh-CN"/>
                    </w:rPr>
                  </w:pPr>
                  <w:r>
                    <w:rPr>
                      <w:rFonts w:hint="eastAsia" w:ascii="宋体" w:hAnsi="宋体" w:eastAsia="宋体" w:cs="宋体"/>
                      <w:snapToGrid w:val="0"/>
                      <w:color w:val="auto"/>
                      <w:sz w:val="21"/>
                      <w:szCs w:val="21"/>
                      <w:lang w:val="en-US" w:eastAsia="zh-CN"/>
                    </w:rPr>
                    <w:t>2</w:t>
                  </w:r>
                </w:p>
              </w:tc>
            </w:tr>
            <w:tr w14:paraId="0EF5ED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1" w:hRule="exact"/>
              </w:trPr>
              <w:tc>
                <w:tcPr>
                  <w:tcW w:w="413" w:type="pct"/>
                  <w:vMerge w:val="continue"/>
                  <w:noWrap w:val="0"/>
                  <w:vAlign w:val="center"/>
                </w:tcPr>
                <w:p w14:paraId="5071BEA2">
                  <w:pPr>
                    <w:adjustRightInd w:val="0"/>
                    <w:snapToGrid w:val="0"/>
                    <w:jc w:val="center"/>
                    <w:rPr>
                      <w:rFonts w:hint="eastAsia" w:ascii="宋体" w:hAnsi="宋体" w:eastAsia="宋体" w:cs="宋体"/>
                      <w:snapToGrid w:val="0"/>
                      <w:color w:val="auto"/>
                      <w:kern w:val="0"/>
                      <w:sz w:val="21"/>
                      <w:szCs w:val="21"/>
                      <w:lang w:eastAsia="en-US"/>
                    </w:rPr>
                  </w:pPr>
                </w:p>
              </w:tc>
              <w:tc>
                <w:tcPr>
                  <w:tcW w:w="861" w:type="pct"/>
                  <w:tcBorders>
                    <w:bottom w:val="single" w:color="auto" w:sz="4" w:space="0"/>
                  </w:tcBorders>
                  <w:noWrap w:val="0"/>
                  <w:vAlign w:val="center"/>
                </w:tcPr>
                <w:p w14:paraId="5251BDCD">
                  <w:pPr>
                    <w:pStyle w:val="59"/>
                    <w:adjustRightInd w:val="0"/>
                    <w:snapToGrid w:val="0"/>
                    <w:rPr>
                      <w:rFonts w:hint="eastAsia" w:ascii="宋体" w:hAnsi="宋体" w:eastAsia="宋体" w:cs="宋体"/>
                      <w:snapToGrid w:val="0"/>
                      <w:color w:val="auto"/>
                      <w:sz w:val="21"/>
                      <w:szCs w:val="21"/>
                      <w:lang w:eastAsia="en-US"/>
                    </w:rPr>
                  </w:pPr>
                  <w:r>
                    <w:rPr>
                      <w:rFonts w:hint="eastAsia" w:ascii="宋体" w:hAnsi="宋体" w:eastAsia="宋体" w:cs="宋体"/>
                      <w:snapToGrid w:val="0"/>
                      <w:color w:val="auto"/>
                      <w:sz w:val="21"/>
                      <w:szCs w:val="21"/>
                      <w:lang w:eastAsia="en-US"/>
                    </w:rPr>
                    <w:t>生活垃圾</w:t>
                  </w:r>
                </w:p>
              </w:tc>
              <w:tc>
                <w:tcPr>
                  <w:tcW w:w="3078" w:type="pct"/>
                  <w:tcBorders>
                    <w:bottom w:val="single" w:color="auto" w:sz="4" w:space="0"/>
                  </w:tcBorders>
                  <w:noWrap w:val="0"/>
                  <w:vAlign w:val="center"/>
                </w:tcPr>
                <w:p w14:paraId="120681C5">
                  <w:pPr>
                    <w:pStyle w:val="59"/>
                    <w:adjustRightInd w:val="0"/>
                    <w:snapToGrid w:val="0"/>
                    <w:rPr>
                      <w:rFonts w:hint="eastAsia" w:ascii="宋体" w:hAnsi="宋体" w:eastAsia="宋体" w:cs="宋体"/>
                      <w:snapToGrid w:val="0"/>
                      <w:color w:val="auto"/>
                      <w:sz w:val="21"/>
                      <w:szCs w:val="21"/>
                      <w:lang w:val="en-US" w:eastAsia="zh-CN"/>
                    </w:rPr>
                  </w:pPr>
                  <w:r>
                    <w:rPr>
                      <w:rFonts w:hint="eastAsia" w:cs="宋体"/>
                      <w:snapToGrid w:val="0"/>
                      <w:color w:val="auto"/>
                      <w:sz w:val="21"/>
                      <w:szCs w:val="21"/>
                      <w:lang w:val="en-US" w:eastAsia="zh-CN"/>
                    </w:rPr>
                    <w:t>设置</w:t>
                  </w:r>
                  <w:r>
                    <w:rPr>
                      <w:rFonts w:hint="eastAsia" w:ascii="宋体" w:hAnsi="宋体" w:eastAsia="宋体" w:cs="宋体"/>
                      <w:snapToGrid w:val="0"/>
                      <w:color w:val="auto"/>
                      <w:sz w:val="21"/>
                      <w:szCs w:val="21"/>
                      <w:lang w:val="en-US" w:eastAsia="en-US"/>
                    </w:rPr>
                    <w:t>厂区生活垃圾暂存点，暂存生活垃圾，并由</w:t>
                  </w:r>
                  <w:r>
                    <w:rPr>
                      <w:rFonts w:hint="eastAsia" w:ascii="宋体" w:hAnsi="宋体" w:eastAsia="宋体" w:cs="宋体"/>
                      <w:snapToGrid w:val="0"/>
                      <w:color w:val="auto"/>
                      <w:sz w:val="21"/>
                      <w:szCs w:val="21"/>
                      <w:lang w:eastAsia="en-US"/>
                    </w:rPr>
                    <w:t>环卫部门统一清运，</w:t>
                  </w:r>
                  <w:r>
                    <w:rPr>
                      <w:rFonts w:hint="eastAsia" w:ascii="宋体" w:hAnsi="宋体" w:eastAsia="宋体" w:cs="宋体"/>
                      <w:snapToGrid w:val="0"/>
                      <w:color w:val="auto"/>
                      <w:sz w:val="21"/>
                      <w:szCs w:val="21"/>
                      <w:lang w:val="en-US" w:eastAsia="en-US"/>
                    </w:rPr>
                    <w:t>日产日清</w:t>
                  </w:r>
                </w:p>
              </w:tc>
              <w:tc>
                <w:tcPr>
                  <w:tcW w:w="646" w:type="pct"/>
                  <w:tcBorders>
                    <w:bottom w:val="single" w:color="auto" w:sz="4" w:space="0"/>
                  </w:tcBorders>
                  <w:noWrap w:val="0"/>
                  <w:vAlign w:val="center"/>
                </w:tcPr>
                <w:p w14:paraId="300A8FBC">
                  <w:pPr>
                    <w:pStyle w:val="59"/>
                    <w:adjustRightInd w:val="0"/>
                    <w:snapToGrid w:val="0"/>
                    <w:rPr>
                      <w:rFonts w:hint="eastAsia" w:ascii="宋体" w:hAnsi="宋体" w:eastAsia="宋体" w:cs="宋体"/>
                      <w:snapToGrid w:val="0"/>
                      <w:color w:val="auto"/>
                      <w:sz w:val="21"/>
                      <w:szCs w:val="21"/>
                      <w:lang w:eastAsia="zh-CN"/>
                    </w:rPr>
                  </w:pPr>
                  <w:r>
                    <w:rPr>
                      <w:rFonts w:hint="eastAsia" w:ascii="宋体" w:hAnsi="宋体" w:eastAsia="宋体" w:cs="宋体"/>
                      <w:snapToGrid w:val="0"/>
                      <w:color w:val="auto"/>
                      <w:sz w:val="21"/>
                      <w:szCs w:val="21"/>
                      <w:lang w:val="en-US" w:eastAsia="zh-CN"/>
                    </w:rPr>
                    <w:t>1</w:t>
                  </w:r>
                </w:p>
              </w:tc>
            </w:tr>
            <w:tr w14:paraId="005CDC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53" w:hRule="exact"/>
              </w:trPr>
              <w:tc>
                <w:tcPr>
                  <w:tcW w:w="413" w:type="pct"/>
                  <w:noWrap w:val="0"/>
                  <w:vAlign w:val="center"/>
                </w:tcPr>
                <w:p w14:paraId="285496E0">
                  <w:pPr>
                    <w:pStyle w:val="59"/>
                    <w:adjustRightInd w:val="0"/>
                    <w:snapToGrid w:val="0"/>
                    <w:rPr>
                      <w:rFonts w:hint="eastAsia" w:ascii="宋体" w:hAnsi="宋体" w:eastAsia="宋体" w:cs="宋体"/>
                      <w:snapToGrid w:val="0"/>
                      <w:color w:val="auto"/>
                      <w:sz w:val="21"/>
                      <w:szCs w:val="21"/>
                      <w:lang w:eastAsia="en-US"/>
                    </w:rPr>
                  </w:pPr>
                  <w:r>
                    <w:rPr>
                      <w:rFonts w:hint="eastAsia" w:ascii="宋体" w:hAnsi="宋体" w:eastAsia="宋体" w:cs="宋体"/>
                      <w:snapToGrid w:val="0"/>
                      <w:color w:val="auto"/>
                      <w:sz w:val="21"/>
                      <w:szCs w:val="21"/>
                      <w:lang w:eastAsia="en-US"/>
                    </w:rPr>
                    <w:t>地下水防 治</w:t>
                  </w:r>
                </w:p>
              </w:tc>
              <w:tc>
                <w:tcPr>
                  <w:tcW w:w="861" w:type="pct"/>
                  <w:noWrap w:val="0"/>
                  <w:vAlign w:val="center"/>
                </w:tcPr>
                <w:p w14:paraId="6734C7A1">
                  <w:pPr>
                    <w:pStyle w:val="59"/>
                    <w:adjustRightInd w:val="0"/>
                    <w:snapToGrid w:val="0"/>
                    <w:rPr>
                      <w:rFonts w:hint="eastAsia" w:ascii="宋体" w:hAnsi="宋体" w:eastAsia="宋体" w:cs="宋体"/>
                      <w:snapToGrid w:val="0"/>
                      <w:color w:val="auto"/>
                      <w:sz w:val="21"/>
                      <w:szCs w:val="21"/>
                      <w:lang w:eastAsia="en-US"/>
                    </w:rPr>
                  </w:pPr>
                  <w:r>
                    <w:rPr>
                      <w:rFonts w:hint="eastAsia" w:ascii="宋体" w:hAnsi="宋体" w:eastAsia="宋体" w:cs="宋体"/>
                      <w:snapToGrid w:val="0"/>
                      <w:color w:val="auto"/>
                      <w:sz w:val="21"/>
                      <w:szCs w:val="21"/>
                      <w:lang w:eastAsia="en-US"/>
                    </w:rPr>
                    <w:t>防渗处理</w:t>
                  </w:r>
                </w:p>
              </w:tc>
              <w:tc>
                <w:tcPr>
                  <w:tcW w:w="3078" w:type="pct"/>
                  <w:noWrap w:val="0"/>
                  <w:vAlign w:val="center"/>
                </w:tcPr>
                <w:p w14:paraId="61045290">
                  <w:pPr>
                    <w:pStyle w:val="59"/>
                    <w:adjustRightInd w:val="0"/>
                    <w:snapToGrid w:val="0"/>
                    <w:jc w:val="left"/>
                    <w:rPr>
                      <w:rFonts w:hint="eastAsia" w:ascii="宋体" w:hAnsi="宋体" w:eastAsia="宋体" w:cs="宋体"/>
                      <w:snapToGrid w:val="0"/>
                      <w:color w:val="auto"/>
                      <w:sz w:val="21"/>
                      <w:szCs w:val="21"/>
                      <w:lang w:val="en-US" w:eastAsia="zh-CN"/>
                    </w:rPr>
                  </w:pPr>
                  <w:r>
                    <w:rPr>
                      <w:rFonts w:hint="eastAsia" w:ascii="宋体" w:hAnsi="宋体" w:eastAsia="宋体" w:cs="宋体"/>
                      <w:snapToGrid w:val="0"/>
                      <w:color w:val="auto"/>
                      <w:sz w:val="21"/>
                      <w:szCs w:val="21"/>
                      <w:lang w:val="en-US" w:eastAsia="zh-CN"/>
                    </w:rPr>
                    <w:t>危废贮存库</w:t>
                  </w:r>
                  <w:r>
                    <w:rPr>
                      <w:rFonts w:hint="eastAsia" w:ascii="宋体" w:hAnsi="宋体" w:eastAsia="宋体" w:cs="宋体"/>
                      <w:snapToGrid w:val="0"/>
                      <w:color w:val="auto"/>
                      <w:sz w:val="21"/>
                      <w:szCs w:val="21"/>
                      <w:lang w:val="en-US" w:eastAsia="en-US"/>
                    </w:rPr>
                    <w:t>为</w:t>
                  </w:r>
                  <w:r>
                    <w:rPr>
                      <w:rFonts w:hint="eastAsia" w:ascii="宋体" w:hAnsi="宋体" w:eastAsia="宋体" w:cs="宋体"/>
                      <w:snapToGrid w:val="0"/>
                      <w:color w:val="auto"/>
                      <w:sz w:val="21"/>
                      <w:szCs w:val="21"/>
                      <w:lang w:val="en-US" w:eastAsia="zh-CN"/>
                    </w:rPr>
                    <w:t>重点防渗区，</w:t>
                  </w:r>
                  <w:r>
                    <w:rPr>
                      <w:rFonts w:hint="eastAsia" w:ascii="宋体" w:hAnsi="宋体" w:eastAsia="宋体" w:cs="宋体"/>
                      <w:b w:val="0"/>
                      <w:color w:val="auto"/>
                      <w:sz w:val="21"/>
                      <w:szCs w:val="21"/>
                      <w:lang w:val="en-US" w:eastAsia="zh-CN"/>
                    </w:rPr>
                    <w:t>地面采用防渗混凝土+至少2mmHDPE膜进行防渗处理；防渗系数≤1.0×10</w:t>
                  </w:r>
                  <w:r>
                    <w:rPr>
                      <w:rFonts w:hint="eastAsia" w:cs="宋体"/>
                      <w:b w:val="0"/>
                      <w:color w:val="auto"/>
                      <w:sz w:val="21"/>
                      <w:szCs w:val="21"/>
                      <w:lang w:val="en-US" w:eastAsia="zh-CN"/>
                    </w:rPr>
                    <w:t>～</w:t>
                  </w:r>
                  <w:r>
                    <w:rPr>
                      <w:rFonts w:hint="eastAsia" w:ascii="宋体" w:hAnsi="宋体" w:eastAsia="宋体" w:cs="宋体"/>
                      <w:b w:val="0"/>
                      <w:color w:val="auto"/>
                      <w:sz w:val="21"/>
                      <w:szCs w:val="21"/>
                      <w:vertAlign w:val="superscript"/>
                      <w:lang w:val="en-US" w:eastAsia="zh-CN"/>
                    </w:rPr>
                    <w:t>10</w:t>
                  </w:r>
                  <w:r>
                    <w:rPr>
                      <w:rFonts w:hint="eastAsia" w:ascii="宋体" w:hAnsi="宋体" w:eastAsia="宋体" w:cs="宋体"/>
                      <w:b w:val="0"/>
                      <w:color w:val="auto"/>
                      <w:sz w:val="21"/>
                      <w:szCs w:val="21"/>
                      <w:lang w:val="en-US" w:eastAsia="zh-CN"/>
                    </w:rPr>
                    <w:t>cm/s</w:t>
                  </w:r>
                </w:p>
                <w:p w14:paraId="0CAC0FF3">
                  <w:pPr>
                    <w:pStyle w:val="59"/>
                    <w:adjustRightInd w:val="0"/>
                    <w:snapToGrid w:val="0"/>
                    <w:jc w:val="left"/>
                    <w:rPr>
                      <w:rFonts w:hint="eastAsia" w:ascii="宋体" w:hAnsi="宋体" w:eastAsia="宋体" w:cs="宋体"/>
                      <w:snapToGrid w:val="0"/>
                      <w:color w:val="auto"/>
                      <w:sz w:val="21"/>
                      <w:szCs w:val="21"/>
                      <w:lang w:val="en-US" w:eastAsia="en-US"/>
                    </w:rPr>
                  </w:pPr>
                  <w:r>
                    <w:rPr>
                      <w:rFonts w:hint="eastAsia" w:ascii="宋体" w:hAnsi="宋体" w:eastAsia="宋体" w:cs="宋体"/>
                      <w:color w:val="auto"/>
                      <w:sz w:val="21"/>
                      <w:szCs w:val="21"/>
                      <w:lang w:val="en-US" w:eastAsia="zh-CN"/>
                    </w:rPr>
                    <w:t>一般固废贮存库、</w:t>
                  </w:r>
                  <w:r>
                    <w:rPr>
                      <w:rFonts w:hint="eastAsia" w:cs="宋体"/>
                      <w:color w:val="auto"/>
                      <w:sz w:val="21"/>
                      <w:szCs w:val="21"/>
                      <w:lang w:val="en-US" w:eastAsia="zh-CN"/>
                    </w:rPr>
                    <w:t>化粪池</w:t>
                  </w:r>
                  <w:r>
                    <w:rPr>
                      <w:rFonts w:hint="eastAsia" w:ascii="宋体" w:hAnsi="宋体" w:eastAsia="宋体" w:cs="宋体"/>
                      <w:color w:val="auto"/>
                      <w:sz w:val="21"/>
                      <w:szCs w:val="21"/>
                      <w:lang w:val="en-US" w:eastAsia="zh-CN"/>
                    </w:rPr>
                    <w:t>等，地面采用防渗混凝土进行防渗处理，使等效黏土防护层Mb≥1.5m，K≤1×10</w:t>
                  </w:r>
                  <w:r>
                    <w:rPr>
                      <w:rFonts w:hint="eastAsia" w:cs="宋体"/>
                      <w:color w:val="auto"/>
                      <w:sz w:val="21"/>
                      <w:szCs w:val="21"/>
                      <w:lang w:val="en-US" w:eastAsia="zh-CN"/>
                    </w:rPr>
                    <w:t>～</w:t>
                  </w:r>
                  <w:r>
                    <w:rPr>
                      <w:rFonts w:hint="eastAsia" w:ascii="宋体" w:hAnsi="宋体" w:eastAsia="宋体" w:cs="宋体"/>
                      <w:color w:val="auto"/>
                      <w:sz w:val="21"/>
                      <w:szCs w:val="21"/>
                      <w:vertAlign w:val="superscript"/>
                      <w:lang w:val="en-US" w:eastAsia="zh-CN"/>
                    </w:rPr>
                    <w:t>7</w:t>
                  </w:r>
                  <w:r>
                    <w:rPr>
                      <w:rFonts w:hint="eastAsia" w:ascii="宋体" w:hAnsi="宋体" w:eastAsia="宋体" w:cs="宋体"/>
                      <w:color w:val="auto"/>
                      <w:sz w:val="21"/>
                      <w:szCs w:val="21"/>
                      <w:lang w:val="en-US" w:eastAsia="zh-CN"/>
                    </w:rPr>
                    <w:t>cm/s。</w:t>
                  </w:r>
                </w:p>
                <w:p w14:paraId="5210FDA3">
                  <w:pPr>
                    <w:pStyle w:val="59"/>
                    <w:adjustRightInd w:val="0"/>
                    <w:snapToGrid w:val="0"/>
                    <w:jc w:val="left"/>
                    <w:rPr>
                      <w:rFonts w:hint="eastAsia" w:ascii="宋体" w:hAnsi="宋体" w:eastAsia="宋体" w:cs="宋体"/>
                      <w:snapToGrid w:val="0"/>
                      <w:color w:val="auto"/>
                      <w:sz w:val="21"/>
                      <w:szCs w:val="21"/>
                      <w:lang w:eastAsia="en-US"/>
                    </w:rPr>
                  </w:pPr>
                  <w:r>
                    <w:rPr>
                      <w:rFonts w:hint="eastAsia" w:ascii="宋体" w:hAnsi="宋体" w:eastAsia="宋体" w:cs="宋体"/>
                      <w:snapToGrid w:val="0"/>
                      <w:color w:val="auto"/>
                      <w:sz w:val="21"/>
                      <w:szCs w:val="21"/>
                      <w:lang w:val="en-US" w:eastAsia="zh-CN"/>
                    </w:rPr>
                    <w:t>车间、厂区道路做</w:t>
                  </w:r>
                  <w:r>
                    <w:rPr>
                      <w:rFonts w:hint="eastAsia" w:ascii="宋体" w:hAnsi="宋体" w:eastAsia="宋体" w:cs="宋体"/>
                      <w:snapToGrid w:val="0"/>
                      <w:color w:val="auto"/>
                      <w:sz w:val="21"/>
                      <w:szCs w:val="21"/>
                      <w:lang w:val="en-US" w:eastAsia="en-US"/>
                    </w:rPr>
                    <w:t>简单防渗</w:t>
                  </w:r>
                  <w:r>
                    <w:rPr>
                      <w:rFonts w:hint="eastAsia" w:ascii="宋体" w:hAnsi="宋体" w:eastAsia="宋体" w:cs="宋体"/>
                      <w:snapToGrid w:val="0"/>
                      <w:color w:val="auto"/>
                      <w:sz w:val="21"/>
                      <w:szCs w:val="21"/>
                      <w:lang w:val="en-US" w:eastAsia="zh-CN"/>
                    </w:rPr>
                    <w:t>，</w:t>
                  </w:r>
                  <w:r>
                    <w:rPr>
                      <w:rFonts w:hint="eastAsia" w:ascii="宋体" w:hAnsi="宋体" w:eastAsia="宋体" w:cs="宋体"/>
                      <w:color w:val="auto"/>
                      <w:sz w:val="21"/>
                      <w:szCs w:val="21"/>
                      <w:lang w:val="en-US" w:eastAsia="zh-CN"/>
                    </w:rPr>
                    <w:t>采取一般地面硬化</w:t>
                  </w:r>
                </w:p>
              </w:tc>
              <w:tc>
                <w:tcPr>
                  <w:tcW w:w="646" w:type="pct"/>
                  <w:noWrap w:val="0"/>
                  <w:vAlign w:val="center"/>
                </w:tcPr>
                <w:p w14:paraId="4D081D3C">
                  <w:pPr>
                    <w:pStyle w:val="59"/>
                    <w:adjustRightInd w:val="0"/>
                    <w:snapToGrid w:val="0"/>
                    <w:rPr>
                      <w:rFonts w:hint="eastAsia" w:ascii="宋体" w:hAnsi="宋体" w:eastAsia="宋体" w:cs="宋体"/>
                      <w:snapToGrid w:val="0"/>
                      <w:color w:val="auto"/>
                      <w:sz w:val="21"/>
                      <w:szCs w:val="21"/>
                      <w:lang w:val="en-US" w:eastAsia="zh-CN"/>
                    </w:rPr>
                  </w:pPr>
                  <w:r>
                    <w:rPr>
                      <w:rFonts w:hint="eastAsia" w:ascii="宋体" w:hAnsi="宋体" w:eastAsia="宋体" w:cs="宋体"/>
                      <w:snapToGrid w:val="0"/>
                      <w:color w:val="auto"/>
                      <w:sz w:val="21"/>
                      <w:szCs w:val="21"/>
                      <w:lang w:val="en-US" w:eastAsia="zh-CN"/>
                    </w:rPr>
                    <w:t>10</w:t>
                  </w:r>
                </w:p>
              </w:tc>
            </w:tr>
            <w:tr w14:paraId="1F32F2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13" w:type="pct"/>
                  <w:noWrap w:val="0"/>
                  <w:vAlign w:val="center"/>
                </w:tcPr>
                <w:p w14:paraId="23C334F0">
                  <w:pPr>
                    <w:pStyle w:val="59"/>
                    <w:adjustRightInd w:val="0"/>
                    <w:snapToGrid w:val="0"/>
                    <w:rPr>
                      <w:rFonts w:hint="eastAsia" w:ascii="宋体" w:hAnsi="宋体" w:eastAsia="宋体" w:cs="宋体"/>
                      <w:snapToGrid w:val="0"/>
                      <w:color w:val="auto"/>
                      <w:sz w:val="21"/>
                      <w:szCs w:val="21"/>
                      <w:lang w:val="en-US" w:eastAsia="zh-CN"/>
                    </w:rPr>
                  </w:pPr>
                  <w:r>
                    <w:rPr>
                      <w:rFonts w:hint="eastAsia" w:ascii="宋体" w:hAnsi="宋体" w:eastAsia="宋体" w:cs="宋体"/>
                      <w:snapToGrid w:val="0"/>
                      <w:color w:val="auto"/>
                      <w:sz w:val="21"/>
                      <w:szCs w:val="21"/>
                      <w:lang w:val="en-US" w:eastAsia="zh-CN"/>
                    </w:rPr>
                    <w:t>环境</w:t>
                  </w:r>
                </w:p>
                <w:p w14:paraId="369B3754">
                  <w:pPr>
                    <w:pStyle w:val="59"/>
                    <w:adjustRightInd w:val="0"/>
                    <w:snapToGrid w:val="0"/>
                    <w:rPr>
                      <w:rFonts w:hint="eastAsia" w:ascii="宋体" w:hAnsi="宋体" w:eastAsia="宋体" w:cs="宋体"/>
                      <w:snapToGrid w:val="0"/>
                      <w:color w:val="auto"/>
                      <w:sz w:val="21"/>
                      <w:szCs w:val="21"/>
                      <w:lang w:val="en-US" w:eastAsia="zh-CN"/>
                    </w:rPr>
                  </w:pPr>
                  <w:r>
                    <w:rPr>
                      <w:rFonts w:hint="eastAsia" w:ascii="宋体" w:hAnsi="宋体" w:eastAsia="宋体" w:cs="宋体"/>
                      <w:snapToGrid w:val="0"/>
                      <w:color w:val="auto"/>
                      <w:sz w:val="21"/>
                      <w:szCs w:val="21"/>
                      <w:lang w:val="en-US" w:eastAsia="zh-CN"/>
                    </w:rPr>
                    <w:t>风险</w:t>
                  </w:r>
                </w:p>
              </w:tc>
              <w:tc>
                <w:tcPr>
                  <w:tcW w:w="861" w:type="pct"/>
                  <w:tcBorders>
                    <w:bottom w:val="single" w:color="000000" w:sz="4" w:space="0"/>
                  </w:tcBorders>
                  <w:noWrap w:val="0"/>
                  <w:vAlign w:val="center"/>
                </w:tcPr>
                <w:p w14:paraId="10367EEA">
                  <w:pPr>
                    <w:pStyle w:val="59"/>
                    <w:adjustRightInd w:val="0"/>
                    <w:snapToGrid w:val="0"/>
                    <w:rPr>
                      <w:rFonts w:hint="eastAsia" w:ascii="宋体" w:hAnsi="宋体" w:eastAsia="宋体" w:cs="宋体"/>
                      <w:snapToGrid w:val="0"/>
                      <w:color w:val="auto"/>
                      <w:sz w:val="21"/>
                      <w:szCs w:val="21"/>
                      <w:lang w:eastAsia="en-US"/>
                    </w:rPr>
                  </w:pPr>
                  <w:r>
                    <w:rPr>
                      <w:rFonts w:hint="eastAsia" w:ascii="宋体" w:hAnsi="宋体" w:eastAsia="宋体" w:cs="宋体"/>
                      <w:snapToGrid w:val="0"/>
                      <w:color w:val="auto"/>
                      <w:sz w:val="21"/>
                      <w:szCs w:val="21"/>
                      <w:lang w:eastAsia="en-US"/>
                    </w:rPr>
                    <w:t>消防系统</w:t>
                  </w:r>
                </w:p>
              </w:tc>
              <w:tc>
                <w:tcPr>
                  <w:tcW w:w="3078" w:type="pct"/>
                  <w:tcBorders>
                    <w:bottom w:val="single" w:color="000000" w:sz="4" w:space="0"/>
                  </w:tcBorders>
                  <w:noWrap w:val="0"/>
                  <w:vAlign w:val="center"/>
                </w:tcPr>
                <w:p w14:paraId="6DB193B6">
                  <w:pPr>
                    <w:pStyle w:val="59"/>
                    <w:adjustRightInd w:val="0"/>
                    <w:snapToGrid w:val="0"/>
                    <w:rPr>
                      <w:rFonts w:hint="eastAsia" w:ascii="宋体" w:hAnsi="宋体" w:eastAsia="宋体" w:cs="宋体"/>
                      <w:snapToGrid w:val="0"/>
                      <w:color w:val="auto"/>
                      <w:sz w:val="21"/>
                      <w:szCs w:val="21"/>
                      <w:lang w:val="en-US" w:eastAsia="en-US"/>
                    </w:rPr>
                  </w:pPr>
                  <w:r>
                    <w:rPr>
                      <w:rFonts w:hint="eastAsia" w:ascii="宋体" w:hAnsi="宋体" w:eastAsia="宋体" w:cs="宋体"/>
                      <w:snapToGrid w:val="0"/>
                      <w:color w:val="auto"/>
                      <w:sz w:val="21"/>
                      <w:szCs w:val="21"/>
                      <w:lang w:eastAsia="en-US"/>
                    </w:rPr>
                    <w:t>灭火器、火灾探测头、喷淋灭火装置等消防器材，</w:t>
                  </w:r>
                  <w:r>
                    <w:rPr>
                      <w:rFonts w:hint="eastAsia" w:ascii="宋体" w:hAnsi="宋体" w:eastAsia="宋体" w:cs="宋体"/>
                      <w:snapToGrid w:val="0"/>
                      <w:color w:val="auto"/>
                      <w:sz w:val="21"/>
                      <w:szCs w:val="21"/>
                      <w:lang w:val="en-US" w:eastAsia="en-US"/>
                    </w:rPr>
                    <w:t>依托厂区消防水池</w:t>
                  </w:r>
                </w:p>
              </w:tc>
              <w:tc>
                <w:tcPr>
                  <w:tcW w:w="646" w:type="pct"/>
                  <w:tcBorders>
                    <w:bottom w:val="single" w:color="000000" w:sz="4" w:space="0"/>
                  </w:tcBorders>
                  <w:noWrap w:val="0"/>
                  <w:vAlign w:val="center"/>
                </w:tcPr>
                <w:p w14:paraId="49BCB61E">
                  <w:pPr>
                    <w:pStyle w:val="59"/>
                    <w:adjustRightInd w:val="0"/>
                    <w:snapToGrid w:val="0"/>
                    <w:rPr>
                      <w:rFonts w:hint="eastAsia" w:ascii="宋体" w:hAnsi="宋体" w:eastAsia="宋体" w:cs="宋体"/>
                      <w:snapToGrid w:val="0"/>
                      <w:color w:val="auto"/>
                      <w:sz w:val="21"/>
                      <w:szCs w:val="21"/>
                      <w:lang w:val="en-US" w:eastAsia="zh-CN"/>
                    </w:rPr>
                  </w:pPr>
                  <w:r>
                    <w:rPr>
                      <w:rFonts w:hint="eastAsia" w:ascii="宋体" w:hAnsi="宋体" w:eastAsia="宋体" w:cs="宋体"/>
                      <w:snapToGrid w:val="0"/>
                      <w:color w:val="auto"/>
                      <w:sz w:val="21"/>
                      <w:szCs w:val="21"/>
                      <w:lang w:val="en-US" w:eastAsia="zh-CN"/>
                    </w:rPr>
                    <w:t>5</w:t>
                  </w:r>
                </w:p>
              </w:tc>
            </w:tr>
            <w:tr w14:paraId="077DB1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exact"/>
              </w:trPr>
              <w:tc>
                <w:tcPr>
                  <w:tcW w:w="4353" w:type="pct"/>
                  <w:gridSpan w:val="3"/>
                  <w:noWrap w:val="0"/>
                  <w:vAlign w:val="center"/>
                </w:tcPr>
                <w:p w14:paraId="44FA9646">
                  <w:pPr>
                    <w:pStyle w:val="59"/>
                    <w:adjustRightInd w:val="0"/>
                    <w:snapToGrid w:val="0"/>
                    <w:rPr>
                      <w:rFonts w:hint="eastAsia" w:ascii="宋体" w:hAnsi="宋体" w:eastAsia="宋体" w:cs="宋体"/>
                      <w:snapToGrid w:val="0"/>
                      <w:color w:val="auto"/>
                      <w:sz w:val="21"/>
                      <w:szCs w:val="21"/>
                      <w:lang w:eastAsia="en-US"/>
                    </w:rPr>
                  </w:pPr>
                  <w:r>
                    <w:rPr>
                      <w:rFonts w:hint="eastAsia" w:ascii="宋体" w:hAnsi="宋体" w:eastAsia="宋体" w:cs="宋体"/>
                      <w:snapToGrid w:val="0"/>
                      <w:color w:val="auto"/>
                      <w:sz w:val="21"/>
                      <w:szCs w:val="21"/>
                      <w:lang w:eastAsia="en-US"/>
                    </w:rPr>
                    <w:t>合计</w:t>
                  </w:r>
                </w:p>
              </w:tc>
              <w:tc>
                <w:tcPr>
                  <w:tcW w:w="646" w:type="pct"/>
                  <w:noWrap w:val="0"/>
                  <w:vAlign w:val="center"/>
                </w:tcPr>
                <w:p w14:paraId="22DB4E60">
                  <w:pPr>
                    <w:pStyle w:val="59"/>
                    <w:adjustRightInd w:val="0"/>
                    <w:snapToGrid w:val="0"/>
                    <w:rPr>
                      <w:rFonts w:hint="eastAsia" w:ascii="宋体" w:hAnsi="宋体" w:eastAsia="宋体" w:cs="宋体"/>
                      <w:snapToGrid w:val="0"/>
                      <w:color w:val="auto"/>
                      <w:sz w:val="21"/>
                      <w:szCs w:val="21"/>
                      <w:lang w:val="en-US" w:eastAsia="zh-CN"/>
                    </w:rPr>
                  </w:pPr>
                  <w:r>
                    <w:rPr>
                      <w:rFonts w:hint="eastAsia" w:ascii="宋体" w:hAnsi="宋体" w:eastAsia="宋体" w:cs="宋体"/>
                      <w:snapToGrid w:val="0"/>
                      <w:color w:val="auto"/>
                      <w:sz w:val="21"/>
                      <w:szCs w:val="21"/>
                      <w:lang w:val="en-US" w:eastAsia="zh-CN"/>
                    </w:rPr>
                    <w:t>3</w:t>
                  </w:r>
                  <w:r>
                    <w:rPr>
                      <w:rFonts w:hint="eastAsia" w:cs="宋体"/>
                      <w:snapToGrid w:val="0"/>
                      <w:color w:val="auto"/>
                      <w:sz w:val="21"/>
                      <w:szCs w:val="21"/>
                      <w:lang w:val="en-US" w:eastAsia="zh-CN"/>
                    </w:rPr>
                    <w:t>2</w:t>
                  </w:r>
                </w:p>
              </w:tc>
            </w:tr>
          </w:tbl>
          <w:p w14:paraId="7BA2006E">
            <w:pPr>
              <w:pStyle w:val="68"/>
              <w:keepNext w:val="0"/>
              <w:keepLines w:val="0"/>
              <w:pageBreakBefore w:val="0"/>
              <w:widowControl w:val="0"/>
              <w:kinsoku/>
              <w:wordWrap/>
              <w:overflowPunct/>
              <w:topLinePunct w:val="0"/>
              <w:autoSpaceDE w:val="0"/>
              <w:autoSpaceDN w:val="0"/>
              <w:bidi w:val="0"/>
              <w:adjustRightInd/>
              <w:snapToGrid/>
              <w:spacing w:before="0" w:after="0" w:line="360" w:lineRule="auto"/>
              <w:jc w:val="center"/>
              <w:textAlignment w:val="auto"/>
              <w:outlineLvl w:val="9"/>
              <w:rPr>
                <w:rFonts w:ascii="宋体" w:hAnsi="宋体" w:eastAsia="宋体"/>
                <w:b w:val="0"/>
                <w:bCs/>
                <w:color w:val="auto"/>
                <w:kern w:val="2"/>
                <w:sz w:val="21"/>
                <w:szCs w:val="21"/>
                <w:shd w:val="clear" w:color="auto" w:fill="auto"/>
                <w:lang w:eastAsia="zh-CN"/>
              </w:rPr>
            </w:pPr>
          </w:p>
          <w:p w14:paraId="03D3ADFD">
            <w:pPr>
              <w:bidi w:val="0"/>
              <w:rPr>
                <w:rFonts w:hint="default"/>
                <w:color w:val="auto"/>
                <w:lang w:val="en-US" w:eastAsia="zh-CN"/>
              </w:rPr>
            </w:pPr>
          </w:p>
          <w:p w14:paraId="4E53774A">
            <w:pPr>
              <w:bidi w:val="0"/>
              <w:rPr>
                <w:rFonts w:hint="default"/>
                <w:color w:val="auto"/>
                <w:lang w:val="en-US" w:eastAsia="zh-CN"/>
              </w:rPr>
            </w:pPr>
          </w:p>
          <w:p w14:paraId="08192A6F">
            <w:pPr>
              <w:bidi w:val="0"/>
              <w:rPr>
                <w:rFonts w:hint="default"/>
                <w:color w:val="auto"/>
                <w:lang w:val="en-US" w:eastAsia="zh-CN"/>
              </w:rPr>
            </w:pPr>
          </w:p>
          <w:p w14:paraId="6A78FD2C">
            <w:pPr>
              <w:pStyle w:val="48"/>
              <w:widowControl w:val="0"/>
              <w:numPr>
                <w:ilvl w:val="0"/>
                <w:numId w:val="0"/>
              </w:numPr>
              <w:autoSpaceDE w:val="0"/>
              <w:autoSpaceDN w:val="0"/>
              <w:adjustRightInd w:val="0"/>
              <w:rPr>
                <w:rFonts w:hint="default"/>
                <w:color w:val="auto"/>
                <w:lang w:val="en-US" w:eastAsia="zh-CN"/>
              </w:rPr>
            </w:pPr>
          </w:p>
        </w:tc>
      </w:tr>
    </w:tbl>
    <w:p w14:paraId="5B0771F3">
      <w:pPr>
        <w:pStyle w:val="36"/>
        <w:rPr>
          <w:rFonts w:hint="eastAsia"/>
          <w:color w:val="auto"/>
        </w:rPr>
        <w:sectPr>
          <w:pgSz w:w="11905" w:h="16838"/>
          <w:pgMar w:top="1701" w:right="1531" w:bottom="1701" w:left="1531" w:header="851" w:footer="1077" w:gutter="0"/>
          <w:pgBorders>
            <w:top w:val="none" w:sz="0" w:space="0"/>
            <w:left w:val="none" w:sz="0" w:space="0"/>
            <w:bottom w:val="none" w:sz="0" w:space="0"/>
            <w:right w:val="none" w:sz="0" w:space="0"/>
          </w:pgBorders>
          <w:pgNumType w:fmt="decimal"/>
          <w:cols w:space="0" w:num="1"/>
          <w:rtlGutter w:val="0"/>
          <w:docGrid w:linePitch="312" w:charSpace="0"/>
        </w:sectPr>
      </w:pPr>
    </w:p>
    <w:p w14:paraId="032C7441">
      <w:pPr>
        <w:pStyle w:val="25"/>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五、</w:t>
      </w:r>
      <w:bookmarkStart w:id="4" w:name="_Hlk54167917"/>
      <w:r>
        <w:rPr>
          <w:rFonts w:hint="eastAsia" w:ascii="黑体" w:hAnsi="黑体" w:eastAsia="黑体"/>
          <w:snapToGrid w:val="0"/>
          <w:color w:val="auto"/>
          <w:sz w:val="30"/>
          <w:szCs w:val="30"/>
        </w:rPr>
        <w:t>环境保护措施监督检查清单</w:t>
      </w:r>
      <w:bookmarkEnd w:id="4"/>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1585"/>
        <w:gridCol w:w="1366"/>
        <w:gridCol w:w="2457"/>
        <w:gridCol w:w="1844"/>
      </w:tblGrid>
      <w:tr w14:paraId="4F386D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48" w:type="dxa"/>
            <w:tcBorders>
              <w:tl2br w:val="single" w:color="auto" w:sz="4" w:space="0"/>
            </w:tcBorders>
            <w:noWrap w:val="0"/>
            <w:vAlign w:val="top"/>
          </w:tcPr>
          <w:p w14:paraId="78F3C751">
            <w:pPr>
              <w:adjustRightInd w:val="0"/>
              <w:snapToGrid w:val="0"/>
              <w:ind w:firstLine="840"/>
              <w:rPr>
                <w:rFonts w:hint="eastAsia" w:ascii="宋体" w:hAnsi="宋体" w:eastAsia="宋体" w:cs="宋体"/>
                <w:color w:val="auto"/>
                <w:sz w:val="21"/>
                <w:szCs w:val="21"/>
              </w:rPr>
            </w:pPr>
            <w:r>
              <w:rPr>
                <w:rFonts w:hint="eastAsia" w:ascii="宋体" w:hAnsi="宋体" w:eastAsia="宋体" w:cs="宋体"/>
                <w:color w:val="auto"/>
                <w:sz w:val="21"/>
                <w:szCs w:val="21"/>
              </w:rPr>
              <w:t>内容</w:t>
            </w:r>
          </w:p>
          <w:p w14:paraId="02512668">
            <w:pPr>
              <w:adjustRightInd w:val="0"/>
              <w:snapToGrid w:val="0"/>
              <w:rPr>
                <w:rFonts w:hint="eastAsia" w:ascii="宋体" w:hAnsi="宋体" w:eastAsia="宋体" w:cs="宋体"/>
                <w:color w:val="auto"/>
                <w:sz w:val="21"/>
                <w:szCs w:val="21"/>
              </w:rPr>
            </w:pPr>
            <w:r>
              <w:rPr>
                <w:rFonts w:hint="eastAsia" w:ascii="宋体" w:hAnsi="宋体" w:eastAsia="宋体" w:cs="宋体"/>
                <w:color w:val="auto"/>
                <w:sz w:val="21"/>
                <w:szCs w:val="21"/>
              </w:rPr>
              <w:t>要素</w:t>
            </w:r>
          </w:p>
        </w:tc>
        <w:tc>
          <w:tcPr>
            <w:tcW w:w="1585" w:type="dxa"/>
            <w:noWrap w:val="0"/>
            <w:vAlign w:val="center"/>
          </w:tcPr>
          <w:p w14:paraId="00AB804A">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排放口</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编号、</w:t>
            </w:r>
          </w:p>
          <w:p w14:paraId="4AE14BA7">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名称</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/污染源</w:t>
            </w:r>
          </w:p>
        </w:tc>
        <w:tc>
          <w:tcPr>
            <w:tcW w:w="1366" w:type="dxa"/>
            <w:noWrap w:val="0"/>
            <w:vAlign w:val="center"/>
          </w:tcPr>
          <w:p w14:paraId="1D573C40">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污染物项目</w:t>
            </w:r>
          </w:p>
        </w:tc>
        <w:tc>
          <w:tcPr>
            <w:tcW w:w="2457" w:type="dxa"/>
            <w:noWrap w:val="0"/>
            <w:vAlign w:val="center"/>
          </w:tcPr>
          <w:p w14:paraId="0BFCAB08">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环境保护措施</w:t>
            </w:r>
          </w:p>
        </w:tc>
        <w:tc>
          <w:tcPr>
            <w:tcW w:w="1844" w:type="dxa"/>
            <w:noWrap w:val="0"/>
            <w:vAlign w:val="center"/>
          </w:tcPr>
          <w:p w14:paraId="0ECC4CAB">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执行标准</w:t>
            </w:r>
          </w:p>
        </w:tc>
      </w:tr>
      <w:tr w14:paraId="721D69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48" w:type="dxa"/>
            <w:noWrap w:val="0"/>
            <w:vAlign w:val="center"/>
          </w:tcPr>
          <w:p w14:paraId="752FA5D3">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大气环境</w:t>
            </w:r>
          </w:p>
        </w:tc>
        <w:tc>
          <w:tcPr>
            <w:tcW w:w="1585" w:type="dxa"/>
            <w:noWrap w:val="0"/>
            <w:vAlign w:val="center"/>
          </w:tcPr>
          <w:p w14:paraId="33D0807F">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c>
          <w:tcPr>
            <w:tcW w:w="1366" w:type="dxa"/>
            <w:noWrap w:val="0"/>
            <w:vAlign w:val="center"/>
          </w:tcPr>
          <w:p w14:paraId="499761BB">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c>
          <w:tcPr>
            <w:tcW w:w="2457" w:type="dxa"/>
            <w:noWrap w:val="0"/>
            <w:vAlign w:val="center"/>
          </w:tcPr>
          <w:p w14:paraId="00D9E380">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c>
          <w:tcPr>
            <w:tcW w:w="1844" w:type="dxa"/>
            <w:noWrap w:val="0"/>
            <w:vAlign w:val="center"/>
          </w:tcPr>
          <w:p w14:paraId="609E25C9">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w:t>
            </w:r>
          </w:p>
        </w:tc>
      </w:tr>
      <w:tr w14:paraId="43BD3D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48" w:type="dxa"/>
            <w:noWrap w:val="0"/>
            <w:vAlign w:val="center"/>
          </w:tcPr>
          <w:p w14:paraId="719FB993">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地表水环境</w:t>
            </w:r>
          </w:p>
        </w:tc>
        <w:tc>
          <w:tcPr>
            <w:tcW w:w="1585" w:type="dxa"/>
            <w:noWrap w:val="0"/>
            <w:vAlign w:val="center"/>
          </w:tcPr>
          <w:p w14:paraId="4B5FE7A9">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DW001</w:t>
            </w:r>
          </w:p>
        </w:tc>
        <w:tc>
          <w:tcPr>
            <w:tcW w:w="1366" w:type="dxa"/>
            <w:noWrap w:val="0"/>
            <w:vAlign w:val="center"/>
          </w:tcPr>
          <w:p w14:paraId="17922C84">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pH、CODcr、BOD、SS、NH</w:t>
            </w:r>
            <w:r>
              <w:rPr>
                <w:rFonts w:hint="eastAsia" w:ascii="宋体" w:hAnsi="宋体" w:eastAsia="宋体" w:cs="宋体"/>
                <w:color w:val="auto"/>
                <w:sz w:val="21"/>
                <w:szCs w:val="21"/>
                <w:vertAlign w:val="subscript"/>
                <w:lang w:val="en-US" w:eastAsia="zh-CN"/>
              </w:rPr>
              <w:t>3</w:t>
            </w:r>
            <w:r>
              <w:rPr>
                <w:rFonts w:hint="eastAsia" w:ascii="宋体" w:hAnsi="宋体" w:eastAsia="宋体" w:cs="宋体"/>
                <w:color w:val="auto"/>
                <w:sz w:val="21"/>
                <w:szCs w:val="21"/>
                <w:lang w:val="en-US" w:eastAsia="zh-CN"/>
              </w:rPr>
              <w:t>-N</w:t>
            </w:r>
          </w:p>
        </w:tc>
        <w:tc>
          <w:tcPr>
            <w:tcW w:w="2457" w:type="dxa"/>
            <w:noWrap w:val="0"/>
            <w:vAlign w:val="center"/>
          </w:tcPr>
          <w:p w14:paraId="60A09866">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生活污水经厂区新建</w:t>
            </w:r>
            <w:r>
              <w:rPr>
                <w:rFonts w:hint="eastAsia" w:ascii="宋体" w:hAnsi="宋体" w:cs="宋体"/>
                <w:color w:val="auto"/>
                <w:sz w:val="21"/>
                <w:szCs w:val="21"/>
                <w:lang w:val="en-US" w:eastAsia="zh-CN"/>
              </w:rPr>
              <w:t>1座容积为10m</w:t>
            </w:r>
            <w:r>
              <w:rPr>
                <w:rFonts w:hint="eastAsia" w:ascii="宋体" w:hAnsi="宋体" w:cs="宋体"/>
                <w:color w:val="auto"/>
                <w:sz w:val="21"/>
                <w:szCs w:val="21"/>
                <w:vertAlign w:val="superscript"/>
                <w:lang w:val="en-US" w:eastAsia="zh-CN"/>
              </w:rPr>
              <w:t>3</w:t>
            </w:r>
            <w:r>
              <w:rPr>
                <w:rFonts w:hint="eastAsia" w:ascii="宋体" w:hAnsi="宋体" w:cs="宋体"/>
                <w:color w:val="auto"/>
                <w:sz w:val="21"/>
                <w:szCs w:val="21"/>
                <w:lang w:val="en-US" w:eastAsia="zh-CN"/>
              </w:rPr>
              <w:t>化粪池</w:t>
            </w:r>
            <w:r>
              <w:rPr>
                <w:rFonts w:hint="eastAsia" w:ascii="宋体" w:hAnsi="宋体" w:eastAsia="宋体" w:cs="宋体"/>
                <w:color w:val="auto"/>
                <w:sz w:val="21"/>
                <w:szCs w:val="21"/>
                <w:lang w:val="en-US" w:eastAsia="zh-CN"/>
              </w:rPr>
              <w:t>处理达到</w:t>
            </w:r>
            <w:r>
              <w:rPr>
                <w:rFonts w:hint="eastAsia" w:ascii="宋体" w:hAnsi="宋体" w:eastAsia="宋体" w:cs="宋体"/>
                <w:b w:val="0"/>
                <w:bCs/>
                <w:color w:val="auto"/>
                <w:sz w:val="21"/>
                <w:szCs w:val="21"/>
              </w:rPr>
              <w:t>《污水综合排放标准》（GB8978-1996）中三级排放标准</w:t>
            </w:r>
            <w:r>
              <w:rPr>
                <w:rFonts w:hint="eastAsia" w:ascii="宋体" w:hAnsi="宋体" w:eastAsia="宋体" w:cs="宋体"/>
                <w:color w:val="auto"/>
                <w:sz w:val="21"/>
                <w:szCs w:val="21"/>
                <w:lang w:val="en-US" w:eastAsia="zh-CN"/>
              </w:rPr>
              <w:t>后排入市政污水管网，最终进龙眼井污水处理厂处理</w:t>
            </w:r>
          </w:p>
        </w:tc>
        <w:tc>
          <w:tcPr>
            <w:tcW w:w="1844" w:type="dxa"/>
            <w:noWrap w:val="0"/>
            <w:vAlign w:val="center"/>
          </w:tcPr>
          <w:p w14:paraId="5E660C0F">
            <w:pPr>
              <w:adjustRightInd w:val="0"/>
              <w:snapToGrid w:val="0"/>
              <w:jc w:val="center"/>
              <w:rPr>
                <w:rFonts w:hint="eastAsia" w:ascii="宋体" w:hAnsi="宋体" w:eastAsia="宋体" w:cs="宋体"/>
                <w:color w:val="auto"/>
                <w:sz w:val="21"/>
                <w:szCs w:val="21"/>
              </w:rPr>
            </w:pPr>
            <w:r>
              <w:rPr>
                <w:rFonts w:hint="eastAsia" w:ascii="宋体" w:hAnsi="宋体" w:eastAsia="宋体" w:cs="宋体"/>
                <w:b w:val="0"/>
                <w:bCs/>
                <w:color w:val="auto"/>
                <w:sz w:val="21"/>
                <w:szCs w:val="21"/>
              </w:rPr>
              <w:t>《污水综合排放标准》（GB8978-1996）中三级排放标准</w:t>
            </w:r>
          </w:p>
        </w:tc>
      </w:tr>
      <w:tr w14:paraId="4AAE65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48" w:type="dxa"/>
            <w:noWrap w:val="0"/>
            <w:vAlign w:val="center"/>
          </w:tcPr>
          <w:p w14:paraId="4A990606">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声环境</w:t>
            </w:r>
          </w:p>
        </w:tc>
        <w:tc>
          <w:tcPr>
            <w:tcW w:w="1585" w:type="dxa"/>
            <w:noWrap w:val="0"/>
            <w:vAlign w:val="center"/>
          </w:tcPr>
          <w:p w14:paraId="76031FAC">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c>
          <w:tcPr>
            <w:tcW w:w="1366" w:type="dxa"/>
            <w:noWrap w:val="0"/>
            <w:vAlign w:val="center"/>
          </w:tcPr>
          <w:p w14:paraId="4040A220">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设备运行噪声</w:t>
            </w:r>
          </w:p>
        </w:tc>
        <w:tc>
          <w:tcPr>
            <w:tcW w:w="2457" w:type="dxa"/>
            <w:noWrap w:val="0"/>
            <w:vAlign w:val="center"/>
          </w:tcPr>
          <w:p w14:paraId="61B4CBDF">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合理布局，基础减振，高噪声设备置于封闭室内</w:t>
            </w:r>
          </w:p>
        </w:tc>
        <w:tc>
          <w:tcPr>
            <w:tcW w:w="1844" w:type="dxa"/>
            <w:noWrap w:val="0"/>
            <w:vAlign w:val="center"/>
          </w:tcPr>
          <w:p w14:paraId="4C635584">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《工业企业厂界环境噪声排放标准》（GB12348-2008）中的</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类标准</w:t>
            </w:r>
          </w:p>
        </w:tc>
      </w:tr>
      <w:tr w14:paraId="59DE74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48" w:type="dxa"/>
            <w:noWrap w:val="0"/>
            <w:vAlign w:val="center"/>
          </w:tcPr>
          <w:p w14:paraId="42A23443">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电磁辐射</w:t>
            </w:r>
          </w:p>
        </w:tc>
        <w:tc>
          <w:tcPr>
            <w:tcW w:w="1585" w:type="dxa"/>
            <w:noWrap w:val="0"/>
            <w:vAlign w:val="center"/>
          </w:tcPr>
          <w:p w14:paraId="50CFB49D">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c>
          <w:tcPr>
            <w:tcW w:w="1366" w:type="dxa"/>
            <w:noWrap w:val="0"/>
            <w:vAlign w:val="center"/>
          </w:tcPr>
          <w:p w14:paraId="1714F36C">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c>
          <w:tcPr>
            <w:tcW w:w="2457" w:type="dxa"/>
            <w:noWrap w:val="0"/>
            <w:vAlign w:val="center"/>
          </w:tcPr>
          <w:p w14:paraId="1AB691DC">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c>
          <w:tcPr>
            <w:tcW w:w="1844" w:type="dxa"/>
            <w:noWrap w:val="0"/>
            <w:vAlign w:val="center"/>
          </w:tcPr>
          <w:p w14:paraId="634778C5">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r>
      <w:tr w14:paraId="3503B6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548" w:type="dxa"/>
            <w:noWrap w:val="0"/>
            <w:vAlign w:val="center"/>
          </w:tcPr>
          <w:p w14:paraId="1D5C1EC4">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固体废物</w:t>
            </w:r>
          </w:p>
        </w:tc>
        <w:tc>
          <w:tcPr>
            <w:tcW w:w="7252" w:type="dxa"/>
            <w:gridSpan w:val="4"/>
            <w:noWrap w:val="0"/>
            <w:vAlign w:val="center"/>
          </w:tcPr>
          <w:p w14:paraId="2F461BFE">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生活垃圾由环卫部门统一清运、</w:t>
            </w:r>
            <w:r>
              <w:rPr>
                <w:rFonts w:hint="eastAsia" w:ascii="宋体" w:hAnsi="宋体" w:cs="宋体"/>
                <w:color w:val="auto"/>
                <w:sz w:val="21"/>
                <w:szCs w:val="21"/>
                <w:lang w:val="en-US" w:eastAsia="zh-CN"/>
              </w:rPr>
              <w:t>化粪池</w:t>
            </w:r>
            <w:r>
              <w:rPr>
                <w:rFonts w:hint="eastAsia" w:ascii="宋体" w:hAnsi="宋体" w:eastAsia="宋体" w:cs="宋体"/>
                <w:color w:val="auto"/>
                <w:sz w:val="21"/>
                <w:szCs w:val="21"/>
                <w:lang w:val="en-US" w:eastAsia="zh-CN"/>
              </w:rPr>
              <w:t>污泥定期委托环卫部门清掏清运处置；</w:t>
            </w:r>
            <w:r>
              <w:rPr>
                <w:rFonts w:hint="eastAsia" w:ascii="宋体" w:hAnsi="宋体" w:eastAsia="宋体" w:cs="宋体"/>
                <w:b w:val="0"/>
                <w:bCs/>
                <w:color w:val="auto"/>
                <w:kern w:val="0"/>
                <w:sz w:val="21"/>
                <w:szCs w:val="21"/>
                <w:lang w:val="en-US" w:eastAsia="zh-CN"/>
              </w:rPr>
              <w:t>包装废弃物统一收集后外售给废品回收站；</w:t>
            </w:r>
            <w:r>
              <w:rPr>
                <w:rFonts w:hint="eastAsia" w:ascii="宋体" w:hAnsi="宋体" w:eastAsia="宋体" w:cs="宋体"/>
                <w:color w:val="auto"/>
                <w:sz w:val="21"/>
                <w:szCs w:val="21"/>
                <w:lang w:val="en-US" w:eastAsia="zh-CN"/>
              </w:rPr>
              <w:t>危险废物暂存于危废贮存库内，定期交由</w:t>
            </w:r>
            <w:r>
              <w:rPr>
                <w:rFonts w:hint="eastAsia" w:ascii="宋体" w:hAnsi="宋体" w:eastAsia="宋体" w:cs="宋体"/>
                <w:snapToGrid w:val="0"/>
                <w:color w:val="auto"/>
                <w:sz w:val="21"/>
                <w:szCs w:val="21"/>
                <w:lang w:val="en-US" w:eastAsia="zh-CN"/>
              </w:rPr>
              <w:t>资质公司</w:t>
            </w:r>
            <w:r>
              <w:rPr>
                <w:rFonts w:hint="eastAsia" w:ascii="宋体" w:hAnsi="宋体" w:eastAsia="宋体" w:cs="宋体"/>
                <w:color w:val="auto"/>
                <w:sz w:val="21"/>
                <w:szCs w:val="21"/>
                <w:lang w:val="en-US" w:eastAsia="zh-CN"/>
              </w:rPr>
              <w:t>处置。</w:t>
            </w:r>
          </w:p>
        </w:tc>
      </w:tr>
      <w:tr w14:paraId="09733C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548" w:type="dxa"/>
            <w:noWrap w:val="0"/>
            <w:vAlign w:val="center"/>
          </w:tcPr>
          <w:p w14:paraId="23D3BD17">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土壤及地下水</w:t>
            </w:r>
          </w:p>
          <w:p w14:paraId="0F6638F9">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污染防治措施</w:t>
            </w:r>
          </w:p>
        </w:tc>
        <w:tc>
          <w:tcPr>
            <w:tcW w:w="7252" w:type="dxa"/>
            <w:gridSpan w:val="4"/>
            <w:noWrap w:val="0"/>
            <w:vAlign w:val="center"/>
          </w:tcPr>
          <w:p w14:paraId="5FC7F8BE">
            <w:pPr>
              <w:pStyle w:val="59"/>
              <w:adjustRightInd w:val="0"/>
              <w:snapToGrid w:val="0"/>
              <w:jc w:val="left"/>
              <w:rPr>
                <w:rFonts w:hint="eastAsia" w:ascii="宋体" w:hAnsi="宋体" w:eastAsia="宋体" w:cs="宋体"/>
                <w:snapToGrid w:val="0"/>
                <w:color w:val="auto"/>
                <w:sz w:val="21"/>
                <w:szCs w:val="21"/>
                <w:lang w:val="en-US" w:eastAsia="en-US"/>
              </w:rPr>
            </w:pPr>
            <w:r>
              <w:rPr>
                <w:rFonts w:hint="eastAsia" w:ascii="宋体" w:hAnsi="宋体" w:eastAsia="宋体" w:cs="宋体"/>
                <w:snapToGrid w:val="0"/>
                <w:color w:val="auto"/>
                <w:sz w:val="21"/>
                <w:szCs w:val="21"/>
                <w:lang w:val="en-US" w:eastAsia="zh-CN"/>
              </w:rPr>
              <w:t>危废贮存库</w:t>
            </w:r>
            <w:r>
              <w:rPr>
                <w:rFonts w:hint="eastAsia" w:ascii="宋体" w:hAnsi="宋体" w:eastAsia="宋体" w:cs="宋体"/>
                <w:snapToGrid w:val="0"/>
                <w:color w:val="auto"/>
                <w:sz w:val="21"/>
                <w:szCs w:val="21"/>
                <w:lang w:val="en-US" w:eastAsia="en-US"/>
              </w:rPr>
              <w:t>为</w:t>
            </w:r>
            <w:r>
              <w:rPr>
                <w:rFonts w:hint="eastAsia" w:ascii="宋体" w:hAnsi="宋体" w:eastAsia="宋体" w:cs="宋体"/>
                <w:snapToGrid w:val="0"/>
                <w:color w:val="auto"/>
                <w:sz w:val="21"/>
                <w:szCs w:val="21"/>
                <w:lang w:val="en-US" w:eastAsia="zh-CN"/>
              </w:rPr>
              <w:t>重点防渗区，</w:t>
            </w:r>
            <w:r>
              <w:rPr>
                <w:rFonts w:hint="eastAsia" w:ascii="宋体" w:hAnsi="宋体" w:eastAsia="宋体" w:cs="宋体"/>
                <w:b w:val="0"/>
                <w:color w:val="auto"/>
                <w:sz w:val="21"/>
                <w:szCs w:val="21"/>
                <w:lang w:val="en-US" w:eastAsia="zh-CN"/>
              </w:rPr>
              <w:t>地面采用防渗混凝土+至少2mmHDPE膜进行防渗处理；防渗系数≤1.0×10</w:t>
            </w:r>
            <w:r>
              <w:rPr>
                <w:rFonts w:hint="eastAsia" w:cs="宋体"/>
                <w:b w:val="0"/>
                <w:color w:val="auto"/>
                <w:sz w:val="21"/>
                <w:szCs w:val="21"/>
                <w:vertAlign w:val="superscript"/>
                <w:lang w:val="en-US" w:eastAsia="zh-CN"/>
              </w:rPr>
              <w:t>-</w:t>
            </w:r>
            <w:r>
              <w:rPr>
                <w:rFonts w:hint="eastAsia" w:ascii="宋体" w:hAnsi="宋体" w:eastAsia="宋体" w:cs="宋体"/>
                <w:b w:val="0"/>
                <w:color w:val="auto"/>
                <w:sz w:val="21"/>
                <w:szCs w:val="21"/>
                <w:vertAlign w:val="superscript"/>
                <w:lang w:val="en-US" w:eastAsia="zh-CN"/>
              </w:rPr>
              <w:t>10</w:t>
            </w:r>
            <w:r>
              <w:rPr>
                <w:rFonts w:hint="eastAsia" w:ascii="宋体" w:hAnsi="宋体" w:eastAsia="宋体" w:cs="宋体"/>
                <w:b w:val="0"/>
                <w:color w:val="auto"/>
                <w:sz w:val="21"/>
                <w:szCs w:val="21"/>
                <w:lang w:val="en-US" w:eastAsia="zh-CN"/>
              </w:rPr>
              <w:t>cm/s</w:t>
            </w:r>
            <w:r>
              <w:rPr>
                <w:rFonts w:hint="eastAsia" w:ascii="宋体" w:hAnsi="宋体" w:eastAsia="宋体" w:cs="宋体"/>
                <w:snapToGrid w:val="0"/>
                <w:color w:val="auto"/>
                <w:sz w:val="21"/>
                <w:szCs w:val="21"/>
                <w:lang w:val="en-US" w:eastAsia="zh-CN"/>
              </w:rPr>
              <w:t>；</w:t>
            </w:r>
            <w:r>
              <w:rPr>
                <w:rFonts w:hint="eastAsia" w:ascii="宋体" w:hAnsi="宋体" w:eastAsia="宋体" w:cs="宋体"/>
                <w:color w:val="auto"/>
                <w:sz w:val="21"/>
                <w:szCs w:val="21"/>
                <w:lang w:val="en-US" w:eastAsia="zh-CN"/>
              </w:rPr>
              <w:t>一般固废贮存库、</w:t>
            </w:r>
            <w:r>
              <w:rPr>
                <w:rFonts w:hint="eastAsia" w:cs="宋体"/>
                <w:color w:val="auto"/>
                <w:sz w:val="21"/>
                <w:szCs w:val="21"/>
                <w:lang w:val="en-US" w:eastAsia="zh-CN"/>
              </w:rPr>
              <w:t>化粪池</w:t>
            </w:r>
            <w:r>
              <w:rPr>
                <w:rFonts w:hint="eastAsia" w:ascii="宋体" w:hAnsi="宋体" w:eastAsia="宋体" w:cs="宋体"/>
                <w:color w:val="auto"/>
                <w:sz w:val="21"/>
                <w:szCs w:val="21"/>
                <w:lang w:val="en-US" w:eastAsia="zh-CN"/>
              </w:rPr>
              <w:t>等，地面采用防渗混凝土进行防渗处理，使等效黏土防护层Mb≥1.5m，K≤1×10</w:t>
            </w:r>
            <w:r>
              <w:rPr>
                <w:rFonts w:hint="eastAsia" w:cs="宋体"/>
                <w:b w:val="0"/>
                <w:color w:val="auto"/>
                <w:sz w:val="21"/>
                <w:szCs w:val="21"/>
                <w:vertAlign w:val="superscript"/>
                <w:lang w:val="en-US" w:eastAsia="zh-CN"/>
              </w:rPr>
              <w:t>-</w:t>
            </w:r>
            <w:r>
              <w:rPr>
                <w:rFonts w:hint="eastAsia" w:ascii="宋体" w:hAnsi="宋体" w:eastAsia="宋体" w:cs="宋体"/>
                <w:color w:val="auto"/>
                <w:sz w:val="21"/>
                <w:szCs w:val="21"/>
                <w:vertAlign w:val="superscript"/>
                <w:lang w:val="en-US" w:eastAsia="zh-CN"/>
              </w:rPr>
              <w:t>7</w:t>
            </w:r>
            <w:r>
              <w:rPr>
                <w:rFonts w:hint="eastAsia" w:ascii="宋体" w:hAnsi="宋体" w:eastAsia="宋体" w:cs="宋体"/>
                <w:color w:val="auto"/>
                <w:sz w:val="21"/>
                <w:szCs w:val="21"/>
                <w:lang w:val="en-US" w:eastAsia="zh-CN"/>
              </w:rPr>
              <w:t>cm/s；</w:t>
            </w:r>
          </w:p>
          <w:p w14:paraId="234A9D30">
            <w:pPr>
              <w:adjustRightInd w:val="0"/>
              <w:snapToGrid w:val="0"/>
              <w:jc w:val="left"/>
              <w:rPr>
                <w:rFonts w:hint="eastAsia" w:ascii="宋体" w:hAnsi="宋体" w:eastAsia="宋体" w:cs="宋体"/>
                <w:color w:val="auto"/>
                <w:sz w:val="21"/>
                <w:szCs w:val="21"/>
                <w:lang w:val="en-US" w:eastAsia="zh-CN"/>
              </w:rPr>
            </w:pPr>
            <w:r>
              <w:rPr>
                <w:rFonts w:hint="eastAsia" w:ascii="宋体" w:hAnsi="宋体" w:cs="宋体"/>
                <w:snapToGrid w:val="0"/>
                <w:color w:val="auto"/>
                <w:sz w:val="21"/>
                <w:szCs w:val="21"/>
                <w:lang w:val="en-US" w:eastAsia="zh-CN"/>
              </w:rPr>
              <w:t>总装</w:t>
            </w:r>
            <w:r>
              <w:rPr>
                <w:rFonts w:hint="eastAsia" w:ascii="宋体" w:hAnsi="宋体" w:eastAsia="宋体" w:cs="宋体"/>
                <w:snapToGrid w:val="0"/>
                <w:color w:val="auto"/>
                <w:sz w:val="21"/>
                <w:szCs w:val="21"/>
                <w:lang w:val="en-US" w:eastAsia="zh-CN"/>
              </w:rPr>
              <w:t>车间、厂区道路做</w:t>
            </w:r>
            <w:r>
              <w:rPr>
                <w:rFonts w:hint="eastAsia" w:ascii="宋体" w:hAnsi="宋体" w:eastAsia="宋体" w:cs="宋体"/>
                <w:snapToGrid w:val="0"/>
                <w:color w:val="auto"/>
                <w:sz w:val="21"/>
                <w:szCs w:val="21"/>
                <w:lang w:val="en-US" w:eastAsia="en-US"/>
              </w:rPr>
              <w:t>简单防渗</w:t>
            </w:r>
            <w:r>
              <w:rPr>
                <w:rFonts w:hint="eastAsia" w:ascii="宋体" w:hAnsi="宋体" w:eastAsia="宋体" w:cs="宋体"/>
                <w:snapToGrid w:val="0"/>
                <w:color w:val="auto"/>
                <w:sz w:val="21"/>
                <w:szCs w:val="21"/>
                <w:lang w:val="en-US" w:eastAsia="zh-CN"/>
              </w:rPr>
              <w:t>，</w:t>
            </w:r>
            <w:r>
              <w:rPr>
                <w:rFonts w:hint="eastAsia" w:ascii="宋体" w:hAnsi="宋体" w:eastAsia="宋体" w:cs="宋体"/>
                <w:color w:val="auto"/>
                <w:sz w:val="21"/>
                <w:szCs w:val="21"/>
                <w:lang w:val="en-US" w:eastAsia="zh-CN"/>
              </w:rPr>
              <w:t>采取一般地面硬化。</w:t>
            </w:r>
          </w:p>
        </w:tc>
      </w:tr>
      <w:tr w14:paraId="6F276C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548" w:type="dxa"/>
            <w:noWrap w:val="0"/>
            <w:vAlign w:val="center"/>
          </w:tcPr>
          <w:p w14:paraId="595CCBAF">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生态保护措施</w:t>
            </w:r>
          </w:p>
        </w:tc>
        <w:tc>
          <w:tcPr>
            <w:tcW w:w="7252" w:type="dxa"/>
            <w:gridSpan w:val="4"/>
            <w:noWrap w:val="0"/>
            <w:vAlign w:val="center"/>
          </w:tcPr>
          <w:p w14:paraId="1C5F3A5D">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r>
      <w:tr w14:paraId="3298FA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548" w:type="dxa"/>
            <w:noWrap w:val="0"/>
            <w:vAlign w:val="center"/>
          </w:tcPr>
          <w:p w14:paraId="5BC650D5">
            <w:pPr>
              <w:adjustRightInd w:val="0"/>
              <w:snapToGrid w:val="0"/>
              <w:jc w:val="center"/>
              <w:rPr>
                <w:rFonts w:hint="eastAsia" w:ascii="宋体" w:hAnsi="宋体" w:eastAsia="宋体" w:cs="宋体"/>
                <w:color w:val="auto"/>
                <w:spacing w:val="-8"/>
                <w:sz w:val="21"/>
                <w:szCs w:val="21"/>
              </w:rPr>
            </w:pPr>
            <w:r>
              <w:rPr>
                <w:rFonts w:hint="eastAsia" w:ascii="宋体" w:hAnsi="宋体" w:eastAsia="宋体" w:cs="宋体"/>
                <w:color w:val="auto"/>
                <w:spacing w:val="-8"/>
                <w:sz w:val="21"/>
                <w:szCs w:val="21"/>
              </w:rPr>
              <w:t>环境风险</w:t>
            </w:r>
          </w:p>
          <w:p w14:paraId="4885F012">
            <w:pPr>
              <w:adjustRightInd w:val="0"/>
              <w:snapToGrid w:val="0"/>
              <w:jc w:val="center"/>
              <w:rPr>
                <w:rFonts w:hint="eastAsia" w:ascii="宋体" w:hAnsi="宋体" w:eastAsia="宋体" w:cs="宋体"/>
                <w:color w:val="auto"/>
                <w:spacing w:val="-8"/>
                <w:sz w:val="21"/>
                <w:szCs w:val="21"/>
              </w:rPr>
            </w:pPr>
            <w:r>
              <w:rPr>
                <w:rFonts w:hint="eastAsia" w:ascii="宋体" w:hAnsi="宋体" w:eastAsia="宋体" w:cs="宋体"/>
                <w:color w:val="auto"/>
                <w:spacing w:val="-8"/>
                <w:sz w:val="21"/>
                <w:szCs w:val="21"/>
              </w:rPr>
              <w:t>防范措施</w:t>
            </w:r>
          </w:p>
        </w:tc>
        <w:tc>
          <w:tcPr>
            <w:tcW w:w="7252" w:type="dxa"/>
            <w:gridSpan w:val="4"/>
            <w:noWrap w:val="0"/>
            <w:vAlign w:val="center"/>
          </w:tcPr>
          <w:p w14:paraId="66150A05">
            <w:pPr>
              <w:pStyle w:val="58"/>
              <w:keepNext w:val="0"/>
              <w:keepLines w:val="0"/>
              <w:pageBreakBefore w:val="0"/>
              <w:widowControl w:val="0"/>
              <w:numPr>
                <w:ilvl w:val="0"/>
                <w:numId w:val="0"/>
              </w:numPr>
              <w:tabs>
                <w:tab w:val="left" w:pos="1521"/>
              </w:tabs>
              <w:kinsoku/>
              <w:wordWrap/>
              <w:overflowPunct/>
              <w:topLinePunct w:val="0"/>
              <w:autoSpaceDE/>
              <w:autoSpaceDN/>
              <w:bidi w:val="0"/>
              <w:adjustRightInd/>
              <w:snapToGrid/>
              <w:spacing w:after="0" w:line="240" w:lineRule="auto"/>
              <w:ind w:right="0" w:rightChars="0"/>
              <w:jc w:val="left"/>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（一）火灾、爆炸风险防范措施</w:t>
            </w:r>
          </w:p>
          <w:p w14:paraId="487BA645">
            <w:pPr>
              <w:pStyle w:val="58"/>
              <w:keepNext w:val="0"/>
              <w:keepLines w:val="0"/>
              <w:pageBreakBefore w:val="0"/>
              <w:widowControl w:val="0"/>
              <w:numPr>
                <w:ilvl w:val="0"/>
                <w:numId w:val="0"/>
              </w:numPr>
              <w:tabs>
                <w:tab w:val="left" w:pos="1521"/>
              </w:tabs>
              <w:kinsoku/>
              <w:wordWrap/>
              <w:overflowPunct/>
              <w:topLinePunct w:val="0"/>
              <w:autoSpaceDE/>
              <w:autoSpaceDN/>
              <w:bidi w:val="0"/>
              <w:adjustRightInd/>
              <w:snapToGrid/>
              <w:spacing w:after="0" w:line="240" w:lineRule="auto"/>
              <w:ind w:right="0" w:rightChars="0"/>
              <w:jc w:val="left"/>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严禁火源进入生产车间、仓库，对明火严格控制；（2）为防止由于容器静电引起事故，必须使用除静电装置，不使用塑料容器；（3）为防止摩擦、冲击等发热、发火花而起火，应使用铜、铝等有色金属制造的工具；（4）严禁使用破损、腐蚀、有裂痕的容器；搬运时不要在地上抛掷拖拉，以防意外事故的发生；（5）电气设备应定期检修，发现可能引起火花，短路，发热及电气绝缘损坏，接触电阻；（6）项目严格执行相关规范要求，所有建、构筑物之间或与</w:t>
            </w:r>
            <w:r>
              <w:rPr>
                <w:rFonts w:hint="eastAsia" w:cs="宋体"/>
                <w:b w:val="0"/>
                <w:bCs w:val="0"/>
                <w:color w:val="auto"/>
                <w:sz w:val="21"/>
                <w:szCs w:val="21"/>
                <w:lang w:val="en-US" w:eastAsia="zh-CN"/>
              </w:rPr>
              <w:t>其他</w:t>
            </w:r>
            <w:r>
              <w:rPr>
                <w:rFonts w:hint="eastAsia" w:ascii="宋体" w:hAnsi="宋体" w:eastAsia="宋体" w:cs="宋体"/>
                <w:b w:val="0"/>
                <w:bCs w:val="0"/>
                <w:color w:val="auto"/>
                <w:sz w:val="21"/>
                <w:szCs w:val="21"/>
                <w:lang w:val="en-US" w:eastAsia="zh-CN"/>
              </w:rPr>
              <w:t>场所之间留有足够的防火间距，以防止在火灾时相互影响。项目根据《建筑设计防火规范</w:t>
            </w:r>
            <w:r>
              <w:rPr>
                <w:rFonts w:hint="eastAsia" w:cs="宋体"/>
                <w:b w:val="0"/>
                <w:bCs w:val="0"/>
                <w:color w:val="auto"/>
                <w:sz w:val="21"/>
                <w:szCs w:val="21"/>
                <w:lang w:val="en-US" w:eastAsia="zh-CN"/>
              </w:rPr>
              <w:t>》</w:t>
            </w:r>
            <w:r>
              <w:rPr>
                <w:rFonts w:hint="eastAsia" w:ascii="宋体" w:hAnsi="宋体" w:eastAsia="宋体" w:cs="宋体"/>
                <w:b w:val="0"/>
                <w:bCs w:val="0"/>
                <w:color w:val="auto"/>
                <w:sz w:val="21"/>
                <w:szCs w:val="21"/>
                <w:lang w:val="en-US" w:eastAsia="zh-CN"/>
              </w:rPr>
              <w:t>（GB50016-2014）的要求：火灾危险性等级和防火、防爆，对建筑物的防火等级均采用国家现行规范要求的耐火等级设计，满足建筑防火要求；（7）针对不同的工作部位，设计相应的消防系统。消防系统的设计应严格遵守《建筑设计防火规范》（GB50016-2014）及《自动喷水灭火系统设计规范》（GBJ50084-2001）的有关规定。在火灾爆炸的敏感区设计符合设计规范的消防管网、消防栓、喷淋系统和各种手持式灭火器材，一旦发生险情可及时发现处理，消除隐患。设置“危险</w:t>
            </w:r>
            <w:r>
              <w:rPr>
                <w:rFonts w:hint="eastAsia" w:cs="宋体"/>
                <w:b w:val="0"/>
                <w:bCs w:val="0"/>
                <w:color w:val="auto"/>
                <w:sz w:val="21"/>
                <w:szCs w:val="21"/>
                <w:lang w:val="en-US" w:eastAsia="zh-CN"/>
              </w:rPr>
              <w:t>”“</w:t>
            </w:r>
            <w:r>
              <w:rPr>
                <w:rFonts w:hint="eastAsia" w:ascii="宋体" w:hAnsi="宋体" w:eastAsia="宋体" w:cs="宋体"/>
                <w:b w:val="0"/>
                <w:bCs w:val="0"/>
                <w:color w:val="auto"/>
                <w:sz w:val="21"/>
                <w:szCs w:val="21"/>
                <w:lang w:val="en-US" w:eastAsia="zh-CN"/>
              </w:rPr>
              <w:t>禁止烟火”等警示标志</w:t>
            </w:r>
          </w:p>
          <w:p w14:paraId="382F9FED">
            <w:pPr>
              <w:pStyle w:val="58"/>
              <w:keepNext w:val="0"/>
              <w:keepLines w:val="0"/>
              <w:pageBreakBefore w:val="0"/>
              <w:widowControl w:val="0"/>
              <w:numPr>
                <w:ilvl w:val="0"/>
                <w:numId w:val="0"/>
              </w:numPr>
              <w:tabs>
                <w:tab w:val="left" w:pos="1521"/>
              </w:tabs>
              <w:kinsoku/>
              <w:wordWrap/>
              <w:overflowPunct/>
              <w:topLinePunct w:val="0"/>
              <w:autoSpaceDE/>
              <w:autoSpaceDN/>
              <w:bidi w:val="0"/>
              <w:adjustRightInd/>
              <w:snapToGrid/>
              <w:spacing w:after="0" w:line="240" w:lineRule="auto"/>
              <w:ind w:right="0" w:rightChars="0"/>
              <w:jc w:val="left"/>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（二）泄漏风险防范措施</w:t>
            </w:r>
          </w:p>
          <w:p w14:paraId="57EA49BB">
            <w:pPr>
              <w:pStyle w:val="58"/>
              <w:keepNext w:val="0"/>
              <w:keepLines w:val="0"/>
              <w:pageBreakBefore w:val="0"/>
              <w:widowControl w:val="0"/>
              <w:numPr>
                <w:ilvl w:val="0"/>
                <w:numId w:val="0"/>
              </w:numPr>
              <w:tabs>
                <w:tab w:val="left" w:pos="1521"/>
              </w:tabs>
              <w:kinsoku/>
              <w:wordWrap/>
              <w:overflowPunct/>
              <w:topLinePunct w:val="0"/>
              <w:autoSpaceDE/>
              <w:autoSpaceDN/>
              <w:bidi w:val="0"/>
              <w:adjustRightInd/>
              <w:snapToGrid/>
              <w:spacing w:after="0" w:line="240" w:lineRule="auto"/>
              <w:ind w:right="0" w:rightChars="0"/>
              <w:jc w:val="left"/>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危废间、生产车间应备有泄漏应急处理设备和合适的收容材料；（2）如发生小量泄漏，用砂土或其他不燃材料吸收，使用洁净的无火花工具收集吸收材料；如发生大量泄漏，构筑围堤或挖坑收容。用抗溶性泡沫覆盖，减少蒸发。</w:t>
            </w:r>
          </w:p>
          <w:p w14:paraId="72427584">
            <w:pPr>
              <w:pStyle w:val="58"/>
              <w:keepNext w:val="0"/>
              <w:keepLines w:val="0"/>
              <w:pageBreakBefore w:val="0"/>
              <w:widowControl w:val="0"/>
              <w:numPr>
                <w:ilvl w:val="0"/>
                <w:numId w:val="0"/>
              </w:numPr>
              <w:tabs>
                <w:tab w:val="left" w:pos="1521"/>
              </w:tabs>
              <w:kinsoku/>
              <w:wordWrap/>
              <w:overflowPunct/>
              <w:topLinePunct w:val="0"/>
              <w:autoSpaceDE/>
              <w:autoSpaceDN/>
              <w:bidi w:val="0"/>
              <w:adjustRightInd/>
              <w:snapToGrid/>
              <w:spacing w:after="0" w:line="240" w:lineRule="auto"/>
              <w:ind w:right="0" w:rightChars="0"/>
              <w:jc w:val="left"/>
              <w:textAlignment w:val="auto"/>
              <w:outlineLvl w:val="9"/>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（三）消防废水防范措施</w:t>
            </w:r>
          </w:p>
          <w:p w14:paraId="727F1EFD">
            <w:pPr>
              <w:pStyle w:val="58"/>
              <w:keepNext w:val="0"/>
              <w:keepLines w:val="0"/>
              <w:pageBreakBefore w:val="0"/>
              <w:widowControl w:val="0"/>
              <w:numPr>
                <w:ilvl w:val="0"/>
                <w:numId w:val="0"/>
              </w:numPr>
              <w:tabs>
                <w:tab w:val="left" w:pos="1521"/>
              </w:tabs>
              <w:kinsoku/>
              <w:wordWrap/>
              <w:overflowPunct/>
              <w:topLinePunct w:val="0"/>
              <w:autoSpaceDE/>
              <w:autoSpaceDN/>
              <w:bidi w:val="0"/>
              <w:adjustRightInd/>
              <w:snapToGrid/>
              <w:spacing w:after="0" w:line="240" w:lineRule="auto"/>
              <w:ind w:right="0" w:rightChars="0"/>
              <w:jc w:val="left"/>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（1）建议项目设置事故应急池，产生的消防废水可经事故应急池收集；（2）事故应急池为钢筋混凝土结构，四边</w:t>
            </w:r>
            <w:r>
              <w:rPr>
                <w:rFonts w:hint="eastAsia" w:cs="宋体"/>
                <w:b w:val="0"/>
                <w:bCs w:val="0"/>
                <w:color w:val="auto"/>
                <w:sz w:val="21"/>
                <w:szCs w:val="21"/>
                <w:lang w:val="en-US" w:eastAsia="zh-CN"/>
              </w:rPr>
              <w:t>墙体</w:t>
            </w:r>
            <w:r>
              <w:rPr>
                <w:rFonts w:hint="eastAsia" w:ascii="宋体" w:hAnsi="宋体" w:eastAsia="宋体" w:cs="宋体"/>
                <w:b w:val="0"/>
                <w:bCs w:val="0"/>
                <w:color w:val="auto"/>
                <w:sz w:val="21"/>
                <w:szCs w:val="21"/>
                <w:lang w:val="en-US" w:eastAsia="zh-CN"/>
              </w:rPr>
              <w:t>垂直，并做好防渗漏措施，以防止废水渗透入地下而污染地下水体。同时设置消防废水收集管网系统，并将管网系统与事故应急池连接，确保事故时的消防废水经管网收集进入事故应急池中暂存；（3）厂区雨水总排水口设置截断阀门，发生事故时，立即将雨水等排放口与外水体切断，使废水截留在事故应急池中，不会进入附近水体或市政管网；（4）厂区四周由围墙包围，大门口设置3cm以上的围堰，确保事故废水截留在厂区范围内。</w:t>
            </w:r>
          </w:p>
          <w:p w14:paraId="4D581FE8">
            <w:pPr>
              <w:pStyle w:val="58"/>
              <w:keepNext w:val="0"/>
              <w:keepLines w:val="0"/>
              <w:pageBreakBefore w:val="0"/>
              <w:widowControl w:val="0"/>
              <w:numPr>
                <w:ilvl w:val="0"/>
                <w:numId w:val="0"/>
              </w:numPr>
              <w:tabs>
                <w:tab w:val="left" w:pos="1334"/>
              </w:tabs>
              <w:kinsoku/>
              <w:wordWrap/>
              <w:overflowPunct/>
              <w:topLinePunct w:val="0"/>
              <w:autoSpaceDE w:val="0"/>
              <w:autoSpaceDN w:val="0"/>
              <w:bidi w:val="0"/>
              <w:adjustRightInd/>
              <w:snapToGrid/>
              <w:spacing w:before="0" w:after="0" w:line="240" w:lineRule="auto"/>
              <w:ind w:right="0" w:rightChars="0"/>
              <w:jc w:val="left"/>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w:t>
            </w:r>
            <w:r>
              <w:rPr>
                <w:rFonts w:hint="eastAsia" w:cs="宋体"/>
                <w:b w:val="0"/>
                <w:bCs w:val="0"/>
                <w:color w:val="auto"/>
                <w:sz w:val="21"/>
                <w:szCs w:val="21"/>
                <w:lang w:val="en-US" w:eastAsia="zh-CN"/>
              </w:rPr>
              <w:t>四</w:t>
            </w:r>
            <w:r>
              <w:rPr>
                <w:rFonts w:hint="eastAsia" w:ascii="宋体" w:hAnsi="宋体" w:eastAsia="宋体" w:cs="宋体"/>
                <w:b w:val="0"/>
                <w:bCs w:val="0"/>
                <w:color w:val="auto"/>
                <w:sz w:val="21"/>
                <w:szCs w:val="21"/>
                <w:lang w:val="en-US" w:eastAsia="zh-CN"/>
              </w:rPr>
              <w:t>）运行过程安全管理措施</w:t>
            </w:r>
          </w:p>
          <w:p w14:paraId="0155C3BC">
            <w:pPr>
              <w:pStyle w:val="58"/>
              <w:keepNext w:val="0"/>
              <w:keepLines w:val="0"/>
              <w:pageBreakBefore w:val="0"/>
              <w:widowControl w:val="0"/>
              <w:numPr>
                <w:ilvl w:val="0"/>
                <w:numId w:val="0"/>
              </w:numPr>
              <w:tabs>
                <w:tab w:val="left" w:pos="1334"/>
              </w:tabs>
              <w:kinsoku/>
              <w:wordWrap/>
              <w:overflowPunct/>
              <w:topLinePunct w:val="0"/>
              <w:autoSpaceDE w:val="0"/>
              <w:autoSpaceDN w:val="0"/>
              <w:bidi w:val="0"/>
              <w:adjustRightInd/>
              <w:snapToGrid/>
              <w:spacing w:before="0" w:after="0" w:line="240" w:lineRule="auto"/>
              <w:ind w:right="0" w:rightChars="0"/>
              <w:jc w:val="left"/>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（1）加强内部安全管理</w:t>
            </w:r>
          </w:p>
          <w:p w14:paraId="72EDFDD3">
            <w:pPr>
              <w:pStyle w:val="58"/>
              <w:keepNext w:val="0"/>
              <w:keepLines w:val="0"/>
              <w:pageBreakBefore w:val="0"/>
              <w:widowControl w:val="0"/>
              <w:numPr>
                <w:ilvl w:val="0"/>
                <w:numId w:val="0"/>
              </w:numPr>
              <w:tabs>
                <w:tab w:val="left" w:pos="1334"/>
              </w:tabs>
              <w:kinsoku/>
              <w:wordWrap/>
              <w:overflowPunct/>
              <w:topLinePunct w:val="0"/>
              <w:autoSpaceDE w:val="0"/>
              <w:autoSpaceDN w:val="0"/>
              <w:bidi w:val="0"/>
              <w:adjustRightInd/>
              <w:snapToGrid/>
              <w:spacing w:before="0" w:after="0" w:line="240" w:lineRule="auto"/>
              <w:ind w:right="0" w:rightChars="0"/>
              <w:jc w:val="left"/>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（2）加强对工艺操作的安全管理</w:t>
            </w:r>
          </w:p>
          <w:p w14:paraId="572D3385">
            <w:pPr>
              <w:pStyle w:val="58"/>
              <w:keepNext w:val="0"/>
              <w:keepLines w:val="0"/>
              <w:pageBreakBefore w:val="0"/>
              <w:widowControl w:val="0"/>
              <w:numPr>
                <w:ilvl w:val="0"/>
                <w:numId w:val="0"/>
              </w:numPr>
              <w:tabs>
                <w:tab w:val="left" w:pos="1334"/>
              </w:tabs>
              <w:kinsoku/>
              <w:wordWrap/>
              <w:overflowPunct/>
              <w:topLinePunct w:val="0"/>
              <w:autoSpaceDE w:val="0"/>
              <w:autoSpaceDN w:val="0"/>
              <w:bidi w:val="0"/>
              <w:adjustRightInd/>
              <w:snapToGrid/>
              <w:spacing w:before="0" w:after="0" w:line="240" w:lineRule="auto"/>
              <w:ind w:right="0" w:rightChars="0"/>
              <w:jc w:val="left"/>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（3）加强设备管理</w:t>
            </w:r>
          </w:p>
          <w:p w14:paraId="454DC7E4">
            <w:pPr>
              <w:pStyle w:val="58"/>
              <w:keepNext w:val="0"/>
              <w:keepLines w:val="0"/>
              <w:pageBreakBefore w:val="0"/>
              <w:widowControl w:val="0"/>
              <w:numPr>
                <w:ilvl w:val="0"/>
                <w:numId w:val="0"/>
              </w:numPr>
              <w:tabs>
                <w:tab w:val="left" w:pos="1334"/>
              </w:tabs>
              <w:kinsoku/>
              <w:wordWrap/>
              <w:overflowPunct/>
              <w:topLinePunct w:val="0"/>
              <w:autoSpaceDE w:val="0"/>
              <w:autoSpaceDN w:val="0"/>
              <w:bidi w:val="0"/>
              <w:adjustRightInd/>
              <w:snapToGrid/>
              <w:spacing w:before="0" w:after="0" w:line="240" w:lineRule="auto"/>
              <w:ind w:right="0" w:rightChars="0"/>
              <w:jc w:val="left"/>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（4）加强火源管理</w:t>
            </w:r>
          </w:p>
          <w:p w14:paraId="49668FE4">
            <w:pPr>
              <w:pStyle w:val="58"/>
              <w:keepNext w:val="0"/>
              <w:keepLines w:val="0"/>
              <w:pageBreakBefore w:val="0"/>
              <w:widowControl w:val="0"/>
              <w:numPr>
                <w:ilvl w:val="0"/>
                <w:numId w:val="0"/>
              </w:numPr>
              <w:tabs>
                <w:tab w:val="left" w:pos="1334"/>
              </w:tabs>
              <w:kinsoku/>
              <w:wordWrap/>
              <w:overflowPunct/>
              <w:topLinePunct w:val="0"/>
              <w:autoSpaceDE w:val="0"/>
              <w:autoSpaceDN w:val="0"/>
              <w:bidi w:val="0"/>
              <w:adjustRightInd/>
              <w:snapToGrid/>
              <w:spacing w:before="0" w:after="0" w:line="240" w:lineRule="auto"/>
              <w:ind w:right="0" w:rightChars="0"/>
              <w:jc w:val="left"/>
              <w:textAlignment w:val="auto"/>
              <w:outlineLvl w:val="9"/>
              <w:rPr>
                <w:rFonts w:hint="eastAsia" w:cs="宋体"/>
                <w:b w:val="0"/>
                <w:bCs w:val="0"/>
                <w:color w:val="auto"/>
                <w:sz w:val="21"/>
                <w:szCs w:val="21"/>
                <w:lang w:val="en-US" w:eastAsia="zh-CN"/>
              </w:rPr>
            </w:pPr>
            <w:r>
              <w:rPr>
                <w:rFonts w:hint="eastAsia" w:cs="宋体"/>
                <w:b w:val="0"/>
                <w:bCs w:val="0"/>
                <w:color w:val="auto"/>
                <w:sz w:val="21"/>
                <w:szCs w:val="21"/>
                <w:lang w:val="en-US" w:eastAsia="zh-CN"/>
              </w:rPr>
              <w:t>（5）</w:t>
            </w:r>
            <w:r>
              <w:rPr>
                <w:rFonts w:hint="eastAsia" w:ascii="宋体" w:hAnsi="宋体" w:eastAsia="宋体" w:cs="宋体"/>
                <w:color w:val="auto"/>
                <w:sz w:val="21"/>
                <w:szCs w:val="21"/>
                <w:lang w:val="en-US" w:eastAsia="zh-CN"/>
              </w:rPr>
              <w:t>加强消防组织与消防设施管理</w:t>
            </w:r>
          </w:p>
          <w:p w14:paraId="164B05AA">
            <w:pPr>
              <w:pStyle w:val="58"/>
              <w:keepNext w:val="0"/>
              <w:keepLines w:val="0"/>
              <w:pageBreakBefore w:val="0"/>
              <w:widowControl w:val="0"/>
              <w:numPr>
                <w:ilvl w:val="0"/>
                <w:numId w:val="0"/>
              </w:numPr>
              <w:tabs>
                <w:tab w:val="left" w:pos="1334"/>
              </w:tabs>
              <w:kinsoku/>
              <w:wordWrap/>
              <w:overflowPunct/>
              <w:topLinePunct w:val="0"/>
              <w:autoSpaceDE w:val="0"/>
              <w:autoSpaceDN w:val="0"/>
              <w:bidi w:val="0"/>
              <w:adjustRightInd/>
              <w:snapToGrid/>
              <w:spacing w:before="0" w:after="0" w:line="240" w:lineRule="auto"/>
              <w:ind w:right="0" w:rightChars="0"/>
              <w:jc w:val="left"/>
              <w:textAlignment w:val="auto"/>
              <w:outlineLvl w:val="9"/>
              <w:rPr>
                <w:rFonts w:hint="eastAsia" w:ascii="宋体" w:hAnsi="宋体" w:eastAsia="宋体" w:cs="宋体"/>
                <w:b w:val="0"/>
                <w:bCs w:val="0"/>
                <w:color w:val="auto"/>
                <w:sz w:val="21"/>
                <w:szCs w:val="21"/>
                <w:lang w:val="en-US" w:eastAsia="zh-CN"/>
              </w:rPr>
            </w:pPr>
            <w:r>
              <w:rPr>
                <w:rFonts w:hint="eastAsia" w:cs="宋体"/>
                <w:b w:val="0"/>
                <w:bCs w:val="0"/>
                <w:color w:val="auto"/>
                <w:sz w:val="21"/>
                <w:szCs w:val="21"/>
                <w:lang w:val="en-US" w:eastAsia="zh-CN"/>
              </w:rPr>
              <w:t>（6）</w:t>
            </w:r>
            <w:r>
              <w:rPr>
                <w:rFonts w:hint="eastAsia" w:ascii="宋体" w:hAnsi="宋体" w:eastAsia="宋体" w:cs="宋体"/>
                <w:b w:val="0"/>
                <w:bCs w:val="0"/>
                <w:color w:val="auto"/>
                <w:sz w:val="21"/>
                <w:szCs w:val="21"/>
                <w:lang w:val="en-US" w:eastAsia="zh-CN"/>
              </w:rPr>
              <w:t>安全色和安全标志</w:t>
            </w:r>
          </w:p>
          <w:p w14:paraId="099FBF6B">
            <w:pPr>
              <w:pStyle w:val="58"/>
              <w:keepNext w:val="0"/>
              <w:keepLines w:val="0"/>
              <w:pageBreakBefore w:val="0"/>
              <w:widowControl w:val="0"/>
              <w:numPr>
                <w:ilvl w:val="0"/>
                <w:numId w:val="0"/>
              </w:numPr>
              <w:tabs>
                <w:tab w:val="left" w:pos="1334"/>
              </w:tabs>
              <w:kinsoku/>
              <w:wordWrap/>
              <w:overflowPunct/>
              <w:topLinePunct w:val="0"/>
              <w:autoSpaceDE w:val="0"/>
              <w:autoSpaceDN w:val="0"/>
              <w:bidi w:val="0"/>
              <w:adjustRightInd/>
              <w:snapToGrid/>
              <w:spacing w:before="0" w:after="0" w:line="240" w:lineRule="auto"/>
              <w:ind w:right="0" w:rightChars="0"/>
              <w:jc w:val="left"/>
              <w:textAlignment w:val="auto"/>
              <w:outlineLvl w:val="9"/>
              <w:rPr>
                <w:rFonts w:hint="eastAsia" w:ascii="宋体" w:hAnsi="宋体" w:eastAsia="宋体" w:cs="宋体"/>
                <w:color w:val="auto"/>
                <w:sz w:val="21"/>
                <w:szCs w:val="21"/>
              </w:rPr>
            </w:pPr>
            <w:r>
              <w:rPr>
                <w:rFonts w:hint="eastAsia" w:cs="宋体"/>
                <w:b w:val="0"/>
                <w:bCs w:val="0"/>
                <w:color w:val="auto"/>
                <w:sz w:val="21"/>
                <w:szCs w:val="21"/>
                <w:lang w:val="en-US" w:eastAsia="zh-CN"/>
              </w:rPr>
              <w:t>（7）</w:t>
            </w:r>
            <w:r>
              <w:rPr>
                <w:rFonts w:hint="eastAsia" w:ascii="宋体" w:hAnsi="宋体" w:eastAsia="宋体" w:cs="宋体"/>
                <w:b w:val="0"/>
                <w:bCs w:val="0"/>
                <w:color w:val="auto"/>
                <w:sz w:val="21"/>
                <w:szCs w:val="21"/>
                <w:lang w:val="en-US" w:eastAsia="zh-CN"/>
              </w:rPr>
              <w:t>加强操作人员培训</w:t>
            </w:r>
          </w:p>
        </w:tc>
      </w:tr>
      <w:tr w14:paraId="0CFB78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548" w:type="dxa"/>
            <w:noWrap w:val="0"/>
            <w:vAlign w:val="center"/>
          </w:tcPr>
          <w:p w14:paraId="615C242A">
            <w:pPr>
              <w:adjustRightInd w:val="0"/>
              <w:snapToGrid w:val="0"/>
              <w:jc w:val="center"/>
              <w:rPr>
                <w:rFonts w:hint="eastAsia" w:ascii="宋体" w:hAnsi="宋体" w:eastAsia="宋体" w:cs="宋体"/>
                <w:color w:val="auto"/>
                <w:spacing w:val="-8"/>
                <w:sz w:val="21"/>
                <w:szCs w:val="21"/>
              </w:rPr>
            </w:pPr>
            <w:r>
              <w:rPr>
                <w:rFonts w:hint="eastAsia" w:ascii="宋体" w:hAnsi="宋体" w:eastAsia="宋体" w:cs="宋体"/>
                <w:color w:val="auto"/>
                <w:spacing w:val="-8"/>
                <w:sz w:val="21"/>
                <w:szCs w:val="21"/>
              </w:rPr>
              <w:t>其他环境</w:t>
            </w:r>
          </w:p>
          <w:p w14:paraId="2E4FF4B6">
            <w:pPr>
              <w:adjustRightInd w:val="0"/>
              <w:snapToGrid w:val="0"/>
              <w:jc w:val="center"/>
              <w:rPr>
                <w:rFonts w:hint="eastAsia" w:ascii="宋体" w:hAnsi="宋体" w:eastAsia="宋体" w:cs="宋体"/>
                <w:color w:val="auto"/>
                <w:spacing w:val="-8"/>
                <w:sz w:val="21"/>
                <w:szCs w:val="21"/>
              </w:rPr>
            </w:pPr>
            <w:r>
              <w:rPr>
                <w:rFonts w:hint="eastAsia" w:ascii="宋体" w:hAnsi="宋体" w:eastAsia="宋体" w:cs="宋体"/>
                <w:color w:val="auto"/>
                <w:spacing w:val="-8"/>
                <w:sz w:val="21"/>
                <w:szCs w:val="21"/>
              </w:rPr>
              <w:t>管理要求</w:t>
            </w:r>
          </w:p>
        </w:tc>
        <w:tc>
          <w:tcPr>
            <w:tcW w:w="7252" w:type="dxa"/>
            <w:gridSpan w:val="4"/>
            <w:noWrap w:val="0"/>
            <w:vAlign w:val="center"/>
          </w:tcPr>
          <w:p w14:paraId="3582FA4A">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r>
    </w:tbl>
    <w:p w14:paraId="3BA0E37C">
      <w:pPr>
        <w:pStyle w:val="25"/>
        <w:jc w:val="center"/>
        <w:outlineLvl w:val="0"/>
        <w:rPr>
          <w:rFonts w:ascii="黑体" w:hAnsi="黑体" w:eastAsia="黑体"/>
          <w:snapToGrid w:val="0"/>
          <w:color w:val="auto"/>
          <w:sz w:val="30"/>
          <w:szCs w:val="30"/>
        </w:rPr>
      </w:pPr>
      <w:r>
        <w:rPr>
          <w:snapToGrid w:val="0"/>
          <w:color w:val="auto"/>
        </w:rPr>
        <w:br w:type="page"/>
      </w:r>
      <w:r>
        <w:rPr>
          <w:rFonts w:hint="eastAsia" w:ascii="黑体" w:hAnsi="黑体" w:eastAsia="黑体"/>
          <w:snapToGrid w:val="0"/>
          <w:color w:val="auto"/>
          <w:sz w:val="30"/>
          <w:szCs w:val="30"/>
        </w:rPr>
        <w:t>六、结论</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5E7010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14:paraId="2623FA6D">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遂宁市安居区政宇年产10万辆新能源电动车项目</w:t>
            </w:r>
            <w:r>
              <w:rPr>
                <w:rFonts w:hint="eastAsia" w:ascii="宋体" w:hAnsi="宋体" w:eastAsia="宋体" w:cs="宋体"/>
                <w:b w:val="0"/>
                <w:bCs w:val="0"/>
                <w:color w:val="auto"/>
                <w:sz w:val="21"/>
                <w:szCs w:val="21"/>
                <w:lang w:val="en-US" w:eastAsia="zh-CN"/>
              </w:rPr>
              <w:t>符合国家产业政策；项目位于遂宁市安居区工业集中区，本次评价范围土地性质与该地区发展规划一致。本项目对运行过程中产生的废水、废气、噪声和固体废物，采取严格的治理措施，能做到稳定、达标排放。项目通过加强管理与日常监测，能满足国家和地方环境保护法规和标准要求。</w:t>
            </w:r>
          </w:p>
          <w:p w14:paraId="094F1F0C">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sz w:val="21"/>
                <w:szCs w:val="21"/>
                <w:lang w:val="en-US"/>
              </w:rPr>
            </w:pPr>
            <w:r>
              <w:rPr>
                <w:rFonts w:hint="eastAsia" w:ascii="宋体" w:hAnsi="宋体" w:eastAsia="宋体" w:cs="宋体"/>
                <w:b w:val="0"/>
                <w:bCs w:val="0"/>
                <w:color w:val="auto"/>
                <w:sz w:val="21"/>
                <w:szCs w:val="21"/>
                <w:lang w:val="en-US" w:eastAsia="zh-CN"/>
              </w:rPr>
              <w:t>综上所述，项目建设单位在严格贯彻落实本报告表提出的各项环境保护措施的前提下，从环境保护角度考虑，本项目的建设是合理、可行的。</w:t>
            </w:r>
          </w:p>
        </w:tc>
      </w:tr>
    </w:tbl>
    <w:p w14:paraId="511E70A6">
      <w:pPr>
        <w:rPr>
          <w:rFonts w:ascii="宋体"/>
          <w:color w:val="auto"/>
        </w:rPr>
        <w:sectPr>
          <w:pgSz w:w="11905" w:h="16838"/>
          <w:pgMar w:top="1701" w:right="1531" w:bottom="1701" w:left="1531" w:header="851" w:footer="1077" w:gutter="0"/>
          <w:pgBorders>
            <w:top w:val="none" w:sz="0" w:space="0"/>
            <w:left w:val="none" w:sz="0" w:space="0"/>
            <w:bottom w:val="none" w:sz="0" w:space="0"/>
            <w:right w:val="none" w:sz="0" w:space="0"/>
          </w:pgBorders>
          <w:pgNumType w:fmt="decimal"/>
          <w:cols w:space="0" w:num="1"/>
          <w:rtlGutter w:val="0"/>
          <w:docGrid w:linePitch="312" w:charSpace="0"/>
        </w:sectPr>
      </w:pPr>
    </w:p>
    <w:p w14:paraId="6E2498BC">
      <w:pPr>
        <w:pStyle w:val="25"/>
        <w:adjustRightInd w:val="0"/>
        <w:snapToGrid w:val="0"/>
        <w:spacing w:before="0" w:beforeAutospacing="0" w:after="0" w:afterAutospacing="0" w:line="648" w:lineRule="auto"/>
        <w:outlineLvl w:val="0"/>
        <w:rPr>
          <w:rFonts w:ascii="黑体" w:hAnsi="黑体" w:eastAsia="黑体"/>
          <w:snapToGrid w:val="0"/>
          <w:color w:val="auto"/>
          <w:sz w:val="32"/>
          <w:szCs w:val="32"/>
        </w:rPr>
      </w:pPr>
      <w:r>
        <w:rPr>
          <w:rFonts w:hint="eastAsia" w:ascii="黑体" w:hAnsi="黑体" w:eastAsia="黑体"/>
          <w:snapToGrid w:val="0"/>
          <w:color w:val="auto"/>
          <w:sz w:val="32"/>
          <w:szCs w:val="32"/>
        </w:rPr>
        <w:t>附表</w:t>
      </w:r>
    </w:p>
    <w:p w14:paraId="495A0207">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center"/>
        <w:textAlignment w:val="auto"/>
        <w:outlineLvl w:val="0"/>
        <w:rPr>
          <w:rFonts w:hint="eastAsia" w:ascii="方正小标宋_GBK" w:hAnsi="黑体" w:eastAsia="方正小标宋_GBK"/>
          <w:snapToGrid w:val="0"/>
          <w:color w:val="auto"/>
          <w:sz w:val="38"/>
          <w:szCs w:val="38"/>
        </w:rPr>
      </w:pPr>
      <w:r>
        <w:rPr>
          <w:rFonts w:hint="eastAsia" w:ascii="方正小标宋_GBK" w:hAnsi="黑体" w:eastAsia="方正小标宋_GBK"/>
          <w:snapToGrid w:val="0"/>
          <w:color w:val="auto"/>
          <w:sz w:val="38"/>
          <w:szCs w:val="38"/>
        </w:rPr>
        <w:t>建设项目污染物排放量汇总表</w:t>
      </w:r>
    </w:p>
    <w:tbl>
      <w:tblPr>
        <w:tblStyle w:val="30"/>
        <w:tblW w:w="137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761"/>
        <w:gridCol w:w="1959"/>
        <w:gridCol w:w="826"/>
      </w:tblGrid>
      <w:tr w14:paraId="113EDF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588" w:type="dxa"/>
            <w:tcBorders>
              <w:tl2br w:val="single" w:color="auto" w:sz="4" w:space="0"/>
            </w:tcBorders>
            <w:noWrap w:val="0"/>
            <w:tcMar>
              <w:left w:w="28" w:type="dxa"/>
              <w:right w:w="28" w:type="dxa"/>
            </w:tcMar>
            <w:vAlign w:val="center"/>
          </w:tcPr>
          <w:p w14:paraId="3F3FDB16">
            <w:pPr>
              <w:pStyle w:val="5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jc w:val="right"/>
              <w:textAlignment w:val="auto"/>
              <w:rPr>
                <w:rFonts w:hint="eastAsia" w:ascii="宋体" w:hAnsi="宋体" w:eastAsia="宋体" w:cs="宋体"/>
                <w:snapToGrid w:val="0"/>
                <w:color w:val="auto"/>
                <w:spacing w:val="-6"/>
                <w:kern w:val="21"/>
                <w:szCs w:val="21"/>
              </w:rPr>
            </w:pPr>
            <w:r>
              <w:rPr>
                <w:rFonts w:hint="eastAsia" w:ascii="宋体" w:hAnsi="宋体" w:eastAsia="宋体" w:cs="宋体"/>
                <w:snapToGrid w:val="0"/>
                <w:color w:val="auto"/>
                <w:spacing w:val="-6"/>
                <w:kern w:val="21"/>
                <w:szCs w:val="21"/>
              </w:rPr>
              <w:t>项目</w:t>
            </w:r>
          </w:p>
          <w:p w14:paraId="355B968D">
            <w:pPr>
              <w:pStyle w:val="5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jc w:val="left"/>
              <w:textAlignment w:val="auto"/>
              <w:rPr>
                <w:rFonts w:hint="eastAsia" w:ascii="宋体" w:hAnsi="宋体" w:eastAsia="宋体" w:cs="宋体"/>
                <w:snapToGrid w:val="0"/>
                <w:color w:val="auto"/>
                <w:spacing w:val="-6"/>
                <w:kern w:val="21"/>
                <w:szCs w:val="21"/>
              </w:rPr>
            </w:pPr>
            <w:r>
              <w:rPr>
                <w:rFonts w:hint="eastAsia" w:ascii="宋体" w:hAnsi="宋体" w:eastAsia="宋体" w:cs="宋体"/>
                <w:snapToGrid w:val="0"/>
                <w:color w:val="auto"/>
                <w:spacing w:val="-6"/>
                <w:kern w:val="21"/>
                <w:szCs w:val="21"/>
              </w:rPr>
              <w:t>分类</w:t>
            </w:r>
          </w:p>
        </w:tc>
        <w:tc>
          <w:tcPr>
            <w:tcW w:w="1417" w:type="dxa"/>
            <w:noWrap w:val="0"/>
            <w:tcMar>
              <w:left w:w="28" w:type="dxa"/>
              <w:right w:w="28" w:type="dxa"/>
            </w:tcMar>
            <w:vAlign w:val="center"/>
          </w:tcPr>
          <w:p w14:paraId="70CEB5DA">
            <w:pPr>
              <w:pStyle w:val="5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textAlignment w:val="auto"/>
              <w:rPr>
                <w:rFonts w:hint="eastAsia" w:ascii="宋体" w:hAnsi="宋体" w:eastAsia="宋体" w:cs="宋体"/>
                <w:snapToGrid w:val="0"/>
                <w:color w:val="auto"/>
                <w:spacing w:val="-6"/>
                <w:kern w:val="21"/>
                <w:szCs w:val="21"/>
              </w:rPr>
            </w:pPr>
            <w:r>
              <w:rPr>
                <w:rFonts w:hint="eastAsia" w:ascii="宋体" w:hAnsi="宋体" w:eastAsia="宋体" w:cs="宋体"/>
                <w:snapToGrid w:val="0"/>
                <w:color w:val="auto"/>
                <w:spacing w:val="-6"/>
                <w:kern w:val="21"/>
                <w:szCs w:val="21"/>
              </w:rPr>
              <w:t>污染物名称</w:t>
            </w:r>
          </w:p>
        </w:tc>
        <w:tc>
          <w:tcPr>
            <w:tcW w:w="1701" w:type="dxa"/>
            <w:noWrap w:val="0"/>
            <w:tcMar>
              <w:left w:w="28" w:type="dxa"/>
              <w:right w:w="28" w:type="dxa"/>
            </w:tcMar>
            <w:vAlign w:val="center"/>
          </w:tcPr>
          <w:p w14:paraId="025A0146">
            <w:pPr>
              <w:pStyle w:val="5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textAlignment w:val="auto"/>
              <w:rPr>
                <w:rFonts w:hint="eastAsia" w:ascii="宋体" w:hAnsi="宋体" w:eastAsia="宋体" w:cs="宋体"/>
                <w:snapToGrid w:val="0"/>
                <w:color w:val="auto"/>
                <w:spacing w:val="-6"/>
                <w:kern w:val="21"/>
                <w:szCs w:val="21"/>
              </w:rPr>
            </w:pPr>
            <w:r>
              <w:rPr>
                <w:rFonts w:hint="eastAsia" w:ascii="宋体" w:hAnsi="宋体" w:eastAsia="宋体" w:cs="宋体"/>
                <w:snapToGrid w:val="0"/>
                <w:color w:val="auto"/>
                <w:spacing w:val="-6"/>
                <w:kern w:val="21"/>
                <w:szCs w:val="21"/>
              </w:rPr>
              <w:t>现有工程</w:t>
            </w:r>
          </w:p>
          <w:p w14:paraId="148FEF72">
            <w:pPr>
              <w:pStyle w:val="5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textAlignment w:val="auto"/>
              <w:rPr>
                <w:rFonts w:hint="eastAsia" w:ascii="宋体" w:hAnsi="宋体" w:eastAsia="宋体" w:cs="宋体"/>
                <w:snapToGrid w:val="0"/>
                <w:color w:val="auto"/>
                <w:spacing w:val="-6"/>
                <w:kern w:val="21"/>
                <w:szCs w:val="21"/>
              </w:rPr>
            </w:pPr>
            <w:r>
              <w:rPr>
                <w:rFonts w:hint="eastAsia" w:ascii="宋体" w:hAnsi="宋体" w:eastAsia="宋体" w:cs="宋体"/>
                <w:snapToGrid w:val="0"/>
                <w:color w:val="auto"/>
                <w:spacing w:val="-6"/>
                <w:kern w:val="21"/>
                <w:szCs w:val="21"/>
              </w:rPr>
              <w:t>排放量（固体废物产生量）</w:t>
            </w:r>
            <w:r>
              <w:rPr>
                <w:rFonts w:hint="eastAsia" w:ascii="宋体" w:hAnsi="宋体" w:eastAsia="宋体" w:cs="宋体"/>
                <w:snapToGrid w:val="0"/>
                <w:color w:val="auto"/>
                <w:spacing w:val="-6"/>
                <w:kern w:val="21"/>
                <w:szCs w:val="21"/>
              </w:rPr>
              <w:fldChar w:fldCharType="begin"/>
            </w:r>
            <w:r>
              <w:rPr>
                <w:rFonts w:hint="eastAsia" w:ascii="宋体" w:hAnsi="宋体" w:eastAsia="宋体" w:cs="宋体"/>
                <w:snapToGrid w:val="0"/>
                <w:color w:val="auto"/>
                <w:spacing w:val="-6"/>
                <w:kern w:val="21"/>
                <w:szCs w:val="21"/>
              </w:rPr>
              <w:instrText xml:space="preserve"> = 1 \* GB3 \* MERGEFORMAT </w:instrText>
            </w:r>
            <w:r>
              <w:rPr>
                <w:rFonts w:hint="eastAsia" w:ascii="宋体" w:hAnsi="宋体" w:eastAsia="宋体" w:cs="宋体"/>
                <w:snapToGrid w:val="0"/>
                <w:color w:val="auto"/>
                <w:spacing w:val="-6"/>
                <w:kern w:val="21"/>
                <w:szCs w:val="21"/>
              </w:rPr>
              <w:fldChar w:fldCharType="separate"/>
            </w:r>
            <w:r>
              <w:rPr>
                <w:rFonts w:hint="eastAsia" w:ascii="宋体" w:hAnsi="宋体" w:eastAsia="宋体" w:cs="宋体"/>
                <w:color w:val="auto"/>
                <w:kern w:val="2"/>
                <w:szCs w:val="21"/>
              </w:rPr>
              <w:t>①</w:t>
            </w:r>
            <w:r>
              <w:rPr>
                <w:rFonts w:hint="eastAsia" w:ascii="宋体" w:hAnsi="宋体" w:eastAsia="宋体" w:cs="宋体"/>
                <w:snapToGrid w:val="0"/>
                <w:color w:val="auto"/>
                <w:spacing w:val="-6"/>
                <w:kern w:val="21"/>
                <w:szCs w:val="21"/>
              </w:rPr>
              <w:fldChar w:fldCharType="end"/>
            </w:r>
          </w:p>
        </w:tc>
        <w:tc>
          <w:tcPr>
            <w:tcW w:w="1276" w:type="dxa"/>
            <w:noWrap w:val="0"/>
            <w:tcMar>
              <w:left w:w="28" w:type="dxa"/>
              <w:right w:w="28" w:type="dxa"/>
            </w:tcMar>
            <w:vAlign w:val="center"/>
          </w:tcPr>
          <w:p w14:paraId="5A14456F">
            <w:pPr>
              <w:pStyle w:val="5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textAlignment w:val="auto"/>
              <w:rPr>
                <w:rFonts w:hint="eastAsia" w:ascii="宋体" w:hAnsi="宋体" w:eastAsia="宋体" w:cs="宋体"/>
                <w:snapToGrid w:val="0"/>
                <w:color w:val="auto"/>
                <w:spacing w:val="-6"/>
                <w:kern w:val="21"/>
                <w:szCs w:val="21"/>
              </w:rPr>
            </w:pPr>
            <w:r>
              <w:rPr>
                <w:rFonts w:hint="eastAsia" w:ascii="宋体" w:hAnsi="宋体" w:eastAsia="宋体" w:cs="宋体"/>
                <w:snapToGrid w:val="0"/>
                <w:color w:val="auto"/>
                <w:spacing w:val="-6"/>
                <w:kern w:val="21"/>
                <w:szCs w:val="21"/>
              </w:rPr>
              <w:t>现有工程</w:t>
            </w:r>
          </w:p>
          <w:p w14:paraId="1F8D730B">
            <w:pPr>
              <w:pStyle w:val="5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textAlignment w:val="auto"/>
              <w:rPr>
                <w:rFonts w:hint="eastAsia" w:ascii="宋体" w:hAnsi="宋体" w:eastAsia="宋体" w:cs="宋体"/>
                <w:snapToGrid w:val="0"/>
                <w:color w:val="auto"/>
                <w:spacing w:val="-6"/>
                <w:kern w:val="21"/>
                <w:szCs w:val="21"/>
              </w:rPr>
            </w:pPr>
            <w:r>
              <w:rPr>
                <w:rFonts w:hint="eastAsia" w:ascii="宋体" w:hAnsi="宋体" w:eastAsia="宋体" w:cs="宋体"/>
                <w:snapToGrid w:val="0"/>
                <w:color w:val="auto"/>
                <w:spacing w:val="-6"/>
                <w:kern w:val="21"/>
                <w:szCs w:val="21"/>
              </w:rPr>
              <w:t>许可排放量</w:t>
            </w:r>
          </w:p>
          <w:p w14:paraId="50179963">
            <w:pPr>
              <w:pStyle w:val="54"/>
              <w:keepNext w:val="0"/>
              <w:keepLines w:val="0"/>
              <w:pageBreakBefore w:val="0"/>
              <w:widowControl w:val="0"/>
              <w:kinsoku/>
              <w:wordWrap/>
              <w:overflowPunct/>
              <w:topLinePunct w:val="0"/>
              <w:autoSpaceDE/>
              <w:autoSpaceDN/>
              <w:bidi w:val="0"/>
              <w:adjustRightInd w:val="0"/>
              <w:snapToGrid w:val="0"/>
              <w:spacing w:before="0" w:beforeLines="0" w:after="0" w:afterLines="0"/>
              <w:ind w:left="0" w:leftChars="0" w:right="0"/>
              <w:textAlignment w:val="auto"/>
              <w:rPr>
                <w:rFonts w:hint="eastAsia" w:ascii="宋体" w:hAnsi="宋体" w:eastAsia="宋体" w:cs="宋体"/>
                <w:snapToGrid w:val="0"/>
                <w:color w:val="auto"/>
                <w:spacing w:val="-6"/>
                <w:kern w:val="21"/>
                <w:szCs w:val="21"/>
              </w:rPr>
            </w:pPr>
            <w:r>
              <w:rPr>
                <w:rFonts w:hint="eastAsia" w:ascii="宋体" w:hAnsi="宋体" w:eastAsia="宋体" w:cs="宋体"/>
                <w:snapToGrid w:val="0"/>
                <w:color w:val="auto"/>
                <w:spacing w:val="-6"/>
                <w:kern w:val="21"/>
                <w:szCs w:val="21"/>
              </w:rPr>
              <w:fldChar w:fldCharType="begin"/>
            </w:r>
            <w:r>
              <w:rPr>
                <w:rFonts w:hint="eastAsia" w:ascii="宋体" w:hAnsi="宋体" w:eastAsia="宋体" w:cs="宋体"/>
                <w:snapToGrid w:val="0"/>
                <w:color w:val="auto"/>
                <w:spacing w:val="-6"/>
                <w:kern w:val="21"/>
                <w:szCs w:val="21"/>
              </w:rPr>
              <w:instrText xml:space="preserve"> = 2 \* GB3 \* MERGEFORMAT </w:instrText>
            </w:r>
            <w:r>
              <w:rPr>
                <w:rFonts w:hint="eastAsia" w:ascii="宋体" w:hAnsi="宋体" w:eastAsia="宋体" w:cs="宋体"/>
                <w:snapToGrid w:val="0"/>
                <w:color w:val="auto"/>
                <w:spacing w:val="-6"/>
                <w:kern w:val="21"/>
                <w:szCs w:val="21"/>
              </w:rPr>
              <w:fldChar w:fldCharType="separate"/>
            </w:r>
            <w:r>
              <w:rPr>
                <w:rFonts w:hint="eastAsia" w:ascii="宋体" w:hAnsi="宋体" w:eastAsia="宋体" w:cs="宋体"/>
                <w:snapToGrid w:val="0"/>
                <w:color w:val="auto"/>
                <w:spacing w:val="-6"/>
                <w:kern w:val="21"/>
                <w:szCs w:val="21"/>
              </w:rPr>
              <w:t>②</w:t>
            </w:r>
            <w:r>
              <w:rPr>
                <w:rFonts w:hint="eastAsia" w:ascii="宋体" w:hAnsi="宋体" w:eastAsia="宋体" w:cs="宋体"/>
                <w:snapToGrid w:val="0"/>
                <w:color w:val="auto"/>
                <w:spacing w:val="-6"/>
                <w:kern w:val="21"/>
                <w:szCs w:val="21"/>
              </w:rPr>
              <w:fldChar w:fldCharType="end"/>
            </w:r>
          </w:p>
        </w:tc>
        <w:tc>
          <w:tcPr>
            <w:tcW w:w="1701" w:type="dxa"/>
            <w:noWrap w:val="0"/>
            <w:tcMar>
              <w:left w:w="28" w:type="dxa"/>
              <w:right w:w="28" w:type="dxa"/>
            </w:tcMar>
            <w:vAlign w:val="center"/>
          </w:tcPr>
          <w:p w14:paraId="5A65C7E4">
            <w:pPr>
              <w:pStyle w:val="5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textAlignment w:val="auto"/>
              <w:rPr>
                <w:rFonts w:hint="eastAsia" w:ascii="宋体" w:hAnsi="宋体" w:eastAsia="宋体" w:cs="宋体"/>
                <w:snapToGrid w:val="0"/>
                <w:color w:val="auto"/>
                <w:spacing w:val="-6"/>
                <w:kern w:val="21"/>
                <w:szCs w:val="21"/>
              </w:rPr>
            </w:pPr>
            <w:r>
              <w:rPr>
                <w:rFonts w:hint="eastAsia" w:ascii="宋体" w:hAnsi="宋体" w:eastAsia="宋体" w:cs="宋体"/>
                <w:snapToGrid w:val="0"/>
                <w:color w:val="auto"/>
                <w:spacing w:val="-6"/>
                <w:kern w:val="21"/>
                <w:szCs w:val="21"/>
              </w:rPr>
              <w:t>在建工程</w:t>
            </w:r>
          </w:p>
          <w:p w14:paraId="65FBF533">
            <w:pPr>
              <w:pStyle w:val="5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textAlignment w:val="auto"/>
              <w:rPr>
                <w:rFonts w:hint="eastAsia" w:ascii="宋体" w:hAnsi="宋体" w:eastAsia="宋体" w:cs="宋体"/>
                <w:snapToGrid w:val="0"/>
                <w:color w:val="auto"/>
                <w:spacing w:val="-6"/>
                <w:kern w:val="21"/>
                <w:szCs w:val="21"/>
              </w:rPr>
            </w:pPr>
            <w:r>
              <w:rPr>
                <w:rFonts w:hint="eastAsia" w:ascii="宋体" w:hAnsi="宋体" w:eastAsia="宋体" w:cs="宋体"/>
                <w:snapToGrid w:val="0"/>
                <w:color w:val="auto"/>
                <w:spacing w:val="-6"/>
                <w:kern w:val="21"/>
                <w:szCs w:val="21"/>
              </w:rPr>
              <w:t>排放量（固体废物产生量）</w:t>
            </w:r>
            <w:r>
              <w:rPr>
                <w:rFonts w:hint="eastAsia" w:ascii="宋体" w:hAnsi="宋体" w:eastAsia="宋体" w:cs="宋体"/>
                <w:snapToGrid w:val="0"/>
                <w:color w:val="auto"/>
                <w:spacing w:val="-6"/>
                <w:kern w:val="21"/>
                <w:szCs w:val="21"/>
              </w:rPr>
              <w:fldChar w:fldCharType="begin"/>
            </w:r>
            <w:r>
              <w:rPr>
                <w:rFonts w:hint="eastAsia" w:ascii="宋体" w:hAnsi="宋体" w:eastAsia="宋体" w:cs="宋体"/>
                <w:snapToGrid w:val="0"/>
                <w:color w:val="auto"/>
                <w:spacing w:val="-6"/>
                <w:kern w:val="21"/>
                <w:szCs w:val="21"/>
              </w:rPr>
              <w:instrText xml:space="preserve"> = 3 \* GB3 \* MERGEFORMAT </w:instrText>
            </w:r>
            <w:r>
              <w:rPr>
                <w:rFonts w:hint="eastAsia" w:ascii="宋体" w:hAnsi="宋体" w:eastAsia="宋体" w:cs="宋体"/>
                <w:snapToGrid w:val="0"/>
                <w:color w:val="auto"/>
                <w:spacing w:val="-6"/>
                <w:kern w:val="21"/>
                <w:szCs w:val="21"/>
              </w:rPr>
              <w:fldChar w:fldCharType="separate"/>
            </w:r>
            <w:r>
              <w:rPr>
                <w:rFonts w:hint="eastAsia" w:ascii="宋体" w:hAnsi="宋体" w:eastAsia="宋体" w:cs="宋体"/>
                <w:color w:val="auto"/>
                <w:kern w:val="2"/>
                <w:szCs w:val="21"/>
              </w:rPr>
              <w:t>③</w:t>
            </w:r>
            <w:r>
              <w:rPr>
                <w:rFonts w:hint="eastAsia" w:ascii="宋体" w:hAnsi="宋体" w:eastAsia="宋体" w:cs="宋体"/>
                <w:snapToGrid w:val="0"/>
                <w:color w:val="auto"/>
                <w:spacing w:val="-6"/>
                <w:kern w:val="21"/>
                <w:szCs w:val="21"/>
              </w:rPr>
              <w:fldChar w:fldCharType="end"/>
            </w:r>
          </w:p>
        </w:tc>
        <w:tc>
          <w:tcPr>
            <w:tcW w:w="1559" w:type="dxa"/>
            <w:noWrap w:val="0"/>
            <w:tcMar>
              <w:left w:w="28" w:type="dxa"/>
              <w:right w:w="28" w:type="dxa"/>
            </w:tcMar>
            <w:vAlign w:val="center"/>
          </w:tcPr>
          <w:p w14:paraId="3C0D3D8E">
            <w:pPr>
              <w:pStyle w:val="5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textAlignment w:val="auto"/>
              <w:rPr>
                <w:rFonts w:hint="eastAsia" w:ascii="宋体" w:hAnsi="宋体" w:eastAsia="宋体" w:cs="宋体"/>
                <w:snapToGrid w:val="0"/>
                <w:color w:val="auto"/>
                <w:spacing w:val="-6"/>
                <w:kern w:val="21"/>
                <w:szCs w:val="21"/>
              </w:rPr>
            </w:pPr>
            <w:r>
              <w:rPr>
                <w:rFonts w:hint="eastAsia" w:ascii="宋体" w:hAnsi="宋体" w:eastAsia="宋体" w:cs="宋体"/>
                <w:snapToGrid w:val="0"/>
                <w:color w:val="auto"/>
                <w:spacing w:val="-6"/>
                <w:kern w:val="21"/>
                <w:szCs w:val="21"/>
              </w:rPr>
              <w:t>本项目</w:t>
            </w:r>
          </w:p>
          <w:p w14:paraId="24B176F7">
            <w:pPr>
              <w:pStyle w:val="5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textAlignment w:val="auto"/>
              <w:rPr>
                <w:rFonts w:hint="eastAsia" w:ascii="宋体" w:hAnsi="宋体" w:eastAsia="宋体" w:cs="宋体"/>
                <w:snapToGrid w:val="0"/>
                <w:color w:val="auto"/>
                <w:spacing w:val="-6"/>
                <w:kern w:val="21"/>
                <w:szCs w:val="21"/>
              </w:rPr>
            </w:pPr>
            <w:r>
              <w:rPr>
                <w:rFonts w:hint="eastAsia" w:ascii="宋体" w:hAnsi="宋体" w:eastAsia="宋体" w:cs="宋体"/>
                <w:snapToGrid w:val="0"/>
                <w:color w:val="auto"/>
                <w:spacing w:val="-6"/>
                <w:kern w:val="21"/>
                <w:szCs w:val="21"/>
              </w:rPr>
              <w:t>排放量（固体废物产生量）</w:t>
            </w:r>
            <w:r>
              <w:rPr>
                <w:rFonts w:hint="eastAsia" w:ascii="宋体" w:hAnsi="宋体" w:eastAsia="宋体" w:cs="宋体"/>
                <w:snapToGrid w:val="0"/>
                <w:color w:val="auto"/>
                <w:spacing w:val="-6"/>
                <w:kern w:val="21"/>
                <w:szCs w:val="21"/>
              </w:rPr>
              <w:fldChar w:fldCharType="begin"/>
            </w:r>
            <w:r>
              <w:rPr>
                <w:rFonts w:hint="eastAsia" w:ascii="宋体" w:hAnsi="宋体" w:eastAsia="宋体" w:cs="宋体"/>
                <w:snapToGrid w:val="0"/>
                <w:color w:val="auto"/>
                <w:spacing w:val="-6"/>
                <w:kern w:val="21"/>
                <w:szCs w:val="21"/>
              </w:rPr>
              <w:instrText xml:space="preserve"> = 4 \* GB3 \* MERGEFORMAT </w:instrText>
            </w:r>
            <w:r>
              <w:rPr>
                <w:rFonts w:hint="eastAsia" w:ascii="宋体" w:hAnsi="宋体" w:eastAsia="宋体" w:cs="宋体"/>
                <w:snapToGrid w:val="0"/>
                <w:color w:val="auto"/>
                <w:spacing w:val="-6"/>
                <w:kern w:val="21"/>
                <w:szCs w:val="21"/>
              </w:rPr>
              <w:fldChar w:fldCharType="separate"/>
            </w:r>
            <w:r>
              <w:rPr>
                <w:rFonts w:hint="eastAsia" w:ascii="宋体" w:hAnsi="宋体" w:eastAsia="宋体" w:cs="宋体"/>
                <w:color w:val="auto"/>
                <w:kern w:val="2"/>
                <w:szCs w:val="21"/>
              </w:rPr>
              <w:t>④</w:t>
            </w:r>
            <w:r>
              <w:rPr>
                <w:rFonts w:hint="eastAsia" w:ascii="宋体" w:hAnsi="宋体" w:eastAsia="宋体" w:cs="宋体"/>
                <w:snapToGrid w:val="0"/>
                <w:color w:val="auto"/>
                <w:spacing w:val="-6"/>
                <w:kern w:val="21"/>
                <w:szCs w:val="21"/>
              </w:rPr>
              <w:fldChar w:fldCharType="end"/>
            </w:r>
          </w:p>
        </w:tc>
        <w:tc>
          <w:tcPr>
            <w:tcW w:w="1761" w:type="dxa"/>
            <w:noWrap w:val="0"/>
            <w:tcMar>
              <w:left w:w="28" w:type="dxa"/>
              <w:right w:w="28" w:type="dxa"/>
            </w:tcMar>
            <w:vAlign w:val="center"/>
          </w:tcPr>
          <w:p w14:paraId="6A2626ED">
            <w:pPr>
              <w:pStyle w:val="5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textAlignment w:val="auto"/>
              <w:rPr>
                <w:rFonts w:hint="eastAsia" w:ascii="宋体" w:hAnsi="宋体" w:eastAsia="宋体" w:cs="宋体"/>
                <w:snapToGrid w:val="0"/>
                <w:color w:val="auto"/>
                <w:spacing w:val="-16"/>
                <w:kern w:val="21"/>
                <w:szCs w:val="21"/>
              </w:rPr>
            </w:pPr>
            <w:r>
              <w:rPr>
                <w:rFonts w:hint="eastAsia" w:ascii="宋体" w:hAnsi="宋体" w:eastAsia="宋体" w:cs="宋体"/>
                <w:snapToGrid w:val="0"/>
                <w:color w:val="auto"/>
                <w:spacing w:val="-16"/>
                <w:kern w:val="21"/>
                <w:szCs w:val="21"/>
              </w:rPr>
              <w:t>以新带老削减量</w:t>
            </w:r>
          </w:p>
          <w:p w14:paraId="44193AB0">
            <w:pPr>
              <w:pStyle w:val="5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textAlignment w:val="auto"/>
              <w:rPr>
                <w:rFonts w:hint="eastAsia" w:ascii="宋体" w:hAnsi="宋体" w:eastAsia="宋体" w:cs="宋体"/>
                <w:snapToGrid w:val="0"/>
                <w:color w:val="auto"/>
                <w:spacing w:val="-16"/>
                <w:kern w:val="21"/>
                <w:szCs w:val="21"/>
              </w:rPr>
            </w:pPr>
            <w:r>
              <w:rPr>
                <w:rFonts w:hint="eastAsia" w:ascii="宋体" w:hAnsi="宋体" w:eastAsia="宋体" w:cs="宋体"/>
                <w:snapToGrid w:val="0"/>
                <w:color w:val="auto"/>
                <w:spacing w:val="-16"/>
                <w:kern w:val="21"/>
                <w:szCs w:val="21"/>
              </w:rPr>
              <w:t>（新建项目不填）</w:t>
            </w:r>
            <w:r>
              <w:rPr>
                <w:rFonts w:hint="eastAsia" w:ascii="宋体" w:hAnsi="宋体" w:eastAsia="宋体" w:cs="宋体"/>
                <w:snapToGrid w:val="0"/>
                <w:color w:val="auto"/>
                <w:spacing w:val="-16"/>
                <w:kern w:val="21"/>
                <w:szCs w:val="21"/>
              </w:rPr>
              <w:fldChar w:fldCharType="begin"/>
            </w:r>
            <w:r>
              <w:rPr>
                <w:rFonts w:hint="eastAsia" w:ascii="宋体" w:hAnsi="宋体" w:eastAsia="宋体" w:cs="宋体"/>
                <w:snapToGrid w:val="0"/>
                <w:color w:val="auto"/>
                <w:spacing w:val="-16"/>
                <w:kern w:val="21"/>
                <w:szCs w:val="21"/>
              </w:rPr>
              <w:instrText xml:space="preserve"> = 5 \* GB3 \* MERGEFORMAT </w:instrText>
            </w:r>
            <w:r>
              <w:rPr>
                <w:rFonts w:hint="eastAsia" w:ascii="宋体" w:hAnsi="宋体" w:eastAsia="宋体" w:cs="宋体"/>
                <w:snapToGrid w:val="0"/>
                <w:color w:val="auto"/>
                <w:spacing w:val="-16"/>
                <w:kern w:val="21"/>
                <w:szCs w:val="21"/>
              </w:rPr>
              <w:fldChar w:fldCharType="separate"/>
            </w:r>
            <w:r>
              <w:rPr>
                <w:rFonts w:hint="eastAsia" w:ascii="宋体" w:hAnsi="宋体" w:eastAsia="宋体" w:cs="宋体"/>
                <w:color w:val="auto"/>
                <w:kern w:val="2"/>
                <w:szCs w:val="21"/>
              </w:rPr>
              <w:t>⑤</w:t>
            </w:r>
            <w:r>
              <w:rPr>
                <w:rFonts w:hint="eastAsia" w:ascii="宋体" w:hAnsi="宋体" w:eastAsia="宋体" w:cs="宋体"/>
                <w:snapToGrid w:val="0"/>
                <w:color w:val="auto"/>
                <w:spacing w:val="-16"/>
                <w:kern w:val="21"/>
                <w:szCs w:val="21"/>
              </w:rPr>
              <w:fldChar w:fldCharType="end"/>
            </w:r>
          </w:p>
        </w:tc>
        <w:tc>
          <w:tcPr>
            <w:tcW w:w="1959" w:type="dxa"/>
            <w:noWrap w:val="0"/>
            <w:tcMar>
              <w:left w:w="28" w:type="dxa"/>
              <w:right w:w="28" w:type="dxa"/>
            </w:tcMar>
            <w:vAlign w:val="center"/>
          </w:tcPr>
          <w:p w14:paraId="3B9B0D5E">
            <w:pPr>
              <w:pStyle w:val="5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textAlignment w:val="auto"/>
              <w:rPr>
                <w:rFonts w:hint="eastAsia" w:ascii="宋体" w:hAnsi="宋体" w:eastAsia="宋体" w:cs="宋体"/>
                <w:snapToGrid w:val="0"/>
                <w:color w:val="auto"/>
                <w:spacing w:val="-16"/>
                <w:kern w:val="21"/>
                <w:szCs w:val="21"/>
              </w:rPr>
            </w:pPr>
            <w:r>
              <w:rPr>
                <w:rFonts w:hint="eastAsia" w:ascii="宋体" w:hAnsi="宋体" w:eastAsia="宋体" w:cs="宋体"/>
                <w:snapToGrid w:val="0"/>
                <w:color w:val="auto"/>
                <w:spacing w:val="-16"/>
                <w:kern w:val="21"/>
                <w:szCs w:val="21"/>
              </w:rPr>
              <w:t>本项目建成后</w:t>
            </w:r>
          </w:p>
          <w:p w14:paraId="623128C2">
            <w:pPr>
              <w:pStyle w:val="5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textAlignment w:val="auto"/>
              <w:rPr>
                <w:rFonts w:hint="eastAsia" w:ascii="宋体" w:hAnsi="宋体" w:eastAsia="宋体" w:cs="宋体"/>
                <w:snapToGrid w:val="0"/>
                <w:color w:val="auto"/>
                <w:spacing w:val="-16"/>
                <w:kern w:val="21"/>
                <w:szCs w:val="21"/>
              </w:rPr>
            </w:pPr>
            <w:r>
              <w:rPr>
                <w:rFonts w:hint="eastAsia" w:ascii="宋体" w:hAnsi="宋体" w:eastAsia="宋体" w:cs="宋体"/>
                <w:snapToGrid w:val="0"/>
                <w:color w:val="auto"/>
                <w:spacing w:val="-16"/>
                <w:kern w:val="21"/>
                <w:szCs w:val="21"/>
              </w:rPr>
              <w:t>全厂排放量（固体废物产生量）</w:t>
            </w:r>
            <w:r>
              <w:rPr>
                <w:rFonts w:hint="eastAsia" w:ascii="宋体" w:hAnsi="宋体" w:eastAsia="宋体" w:cs="宋体"/>
                <w:snapToGrid w:val="0"/>
                <w:color w:val="auto"/>
                <w:spacing w:val="-16"/>
                <w:kern w:val="21"/>
                <w:szCs w:val="21"/>
              </w:rPr>
              <w:fldChar w:fldCharType="begin"/>
            </w:r>
            <w:r>
              <w:rPr>
                <w:rFonts w:hint="eastAsia" w:ascii="宋体" w:hAnsi="宋体" w:eastAsia="宋体" w:cs="宋体"/>
                <w:snapToGrid w:val="0"/>
                <w:color w:val="auto"/>
                <w:spacing w:val="-16"/>
                <w:kern w:val="21"/>
                <w:szCs w:val="21"/>
              </w:rPr>
              <w:instrText xml:space="preserve"> = 6 \* GB3 \* MERGEFORMAT </w:instrText>
            </w:r>
            <w:r>
              <w:rPr>
                <w:rFonts w:hint="eastAsia" w:ascii="宋体" w:hAnsi="宋体" w:eastAsia="宋体" w:cs="宋体"/>
                <w:snapToGrid w:val="0"/>
                <w:color w:val="auto"/>
                <w:spacing w:val="-16"/>
                <w:kern w:val="21"/>
                <w:szCs w:val="21"/>
              </w:rPr>
              <w:fldChar w:fldCharType="separate"/>
            </w:r>
            <w:r>
              <w:rPr>
                <w:rFonts w:hint="eastAsia" w:ascii="宋体" w:hAnsi="宋体" w:eastAsia="宋体" w:cs="宋体"/>
                <w:color w:val="auto"/>
                <w:kern w:val="2"/>
                <w:szCs w:val="21"/>
              </w:rPr>
              <w:t>⑥</w:t>
            </w:r>
            <w:r>
              <w:rPr>
                <w:rFonts w:hint="eastAsia" w:ascii="宋体" w:hAnsi="宋体" w:eastAsia="宋体" w:cs="宋体"/>
                <w:snapToGrid w:val="0"/>
                <w:color w:val="auto"/>
                <w:spacing w:val="-16"/>
                <w:kern w:val="21"/>
                <w:szCs w:val="21"/>
              </w:rPr>
              <w:fldChar w:fldCharType="end"/>
            </w:r>
          </w:p>
        </w:tc>
        <w:tc>
          <w:tcPr>
            <w:tcW w:w="826" w:type="dxa"/>
            <w:noWrap w:val="0"/>
            <w:tcMar>
              <w:left w:w="28" w:type="dxa"/>
              <w:right w:w="28" w:type="dxa"/>
            </w:tcMar>
            <w:vAlign w:val="center"/>
          </w:tcPr>
          <w:p w14:paraId="1E1A83B9">
            <w:pPr>
              <w:pStyle w:val="5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textAlignment w:val="auto"/>
              <w:rPr>
                <w:rFonts w:hint="eastAsia" w:ascii="宋体" w:hAnsi="宋体" w:eastAsia="宋体" w:cs="宋体"/>
                <w:snapToGrid w:val="0"/>
                <w:color w:val="auto"/>
                <w:spacing w:val="-6"/>
                <w:kern w:val="21"/>
                <w:szCs w:val="21"/>
              </w:rPr>
            </w:pPr>
            <w:r>
              <w:rPr>
                <w:rFonts w:hint="eastAsia" w:ascii="宋体" w:hAnsi="宋体" w:eastAsia="宋体" w:cs="宋体"/>
                <w:snapToGrid w:val="0"/>
                <w:color w:val="auto"/>
                <w:spacing w:val="-6"/>
                <w:kern w:val="21"/>
                <w:szCs w:val="21"/>
              </w:rPr>
              <w:t>变化量</w:t>
            </w:r>
          </w:p>
          <w:p w14:paraId="78C0740F">
            <w:pPr>
              <w:pStyle w:val="5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textAlignment w:val="auto"/>
              <w:rPr>
                <w:rFonts w:hint="eastAsia" w:ascii="宋体" w:hAnsi="宋体" w:eastAsia="宋体" w:cs="宋体"/>
                <w:snapToGrid w:val="0"/>
                <w:color w:val="auto"/>
                <w:spacing w:val="-6"/>
                <w:kern w:val="21"/>
                <w:szCs w:val="21"/>
              </w:rPr>
            </w:pPr>
            <w:r>
              <w:rPr>
                <w:rFonts w:hint="eastAsia" w:ascii="宋体" w:hAnsi="宋体" w:eastAsia="宋体" w:cs="宋体"/>
                <w:snapToGrid w:val="0"/>
                <w:color w:val="auto"/>
                <w:spacing w:val="-6"/>
                <w:kern w:val="21"/>
                <w:szCs w:val="21"/>
              </w:rPr>
              <w:fldChar w:fldCharType="begin"/>
            </w:r>
            <w:r>
              <w:rPr>
                <w:rFonts w:hint="eastAsia" w:ascii="宋体" w:hAnsi="宋体" w:eastAsia="宋体" w:cs="宋体"/>
                <w:snapToGrid w:val="0"/>
                <w:color w:val="auto"/>
                <w:spacing w:val="-6"/>
                <w:kern w:val="21"/>
                <w:szCs w:val="21"/>
              </w:rPr>
              <w:instrText xml:space="preserve"> = 7 \* GB3 \* MERGEFORMAT </w:instrText>
            </w:r>
            <w:r>
              <w:rPr>
                <w:rFonts w:hint="eastAsia" w:ascii="宋体" w:hAnsi="宋体" w:eastAsia="宋体" w:cs="宋体"/>
                <w:snapToGrid w:val="0"/>
                <w:color w:val="auto"/>
                <w:spacing w:val="-6"/>
                <w:kern w:val="21"/>
                <w:szCs w:val="21"/>
              </w:rPr>
              <w:fldChar w:fldCharType="separate"/>
            </w:r>
            <w:r>
              <w:rPr>
                <w:rFonts w:hint="eastAsia" w:ascii="宋体" w:hAnsi="宋体" w:eastAsia="宋体" w:cs="宋体"/>
                <w:color w:val="auto"/>
                <w:kern w:val="2"/>
                <w:szCs w:val="21"/>
              </w:rPr>
              <w:t>⑦</w:t>
            </w:r>
            <w:r>
              <w:rPr>
                <w:rFonts w:hint="eastAsia" w:ascii="宋体" w:hAnsi="宋体" w:eastAsia="宋体" w:cs="宋体"/>
                <w:snapToGrid w:val="0"/>
                <w:color w:val="auto"/>
                <w:spacing w:val="-6"/>
                <w:kern w:val="21"/>
                <w:szCs w:val="21"/>
              </w:rPr>
              <w:fldChar w:fldCharType="end"/>
            </w:r>
          </w:p>
        </w:tc>
      </w:tr>
      <w:tr w14:paraId="15BD21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noWrap w:val="0"/>
            <w:vAlign w:val="center"/>
          </w:tcPr>
          <w:p w14:paraId="765B7B47">
            <w:pPr>
              <w:pStyle w:val="5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textAlignment w:val="auto"/>
              <w:rPr>
                <w:rFonts w:hint="eastAsia" w:ascii="宋体" w:hAnsi="宋体" w:eastAsia="宋体" w:cs="宋体"/>
                <w:snapToGrid w:val="0"/>
                <w:color w:val="auto"/>
                <w:kern w:val="21"/>
                <w:szCs w:val="21"/>
              </w:rPr>
            </w:pPr>
            <w:r>
              <w:rPr>
                <w:rFonts w:hint="eastAsia" w:ascii="宋体" w:hAnsi="宋体" w:eastAsia="宋体" w:cs="宋体"/>
                <w:snapToGrid w:val="0"/>
                <w:color w:val="auto"/>
                <w:kern w:val="21"/>
                <w:szCs w:val="21"/>
              </w:rPr>
              <w:t>废气</w:t>
            </w:r>
          </w:p>
        </w:tc>
        <w:tc>
          <w:tcPr>
            <w:tcW w:w="1417" w:type="dxa"/>
            <w:noWrap w:val="0"/>
            <w:vAlign w:val="center"/>
          </w:tcPr>
          <w:p w14:paraId="7403DBF0">
            <w:pPr>
              <w:pStyle w:val="59"/>
              <w:keepNext w:val="0"/>
              <w:keepLines w:val="0"/>
              <w:suppressLineNumbers w:val="0"/>
              <w:spacing w:before="0" w:beforeAutospacing="0" w:after="0" w:afterAutospacing="0"/>
              <w:ind w:left="0" w:leftChars="0" w:right="0" w:rightChars="0"/>
              <w:jc w:val="center"/>
              <w:rPr>
                <w:rFonts w:hint="default" w:ascii="宋体" w:hAnsi="宋体" w:eastAsia="宋体" w:cs="宋体"/>
                <w:snapToGrid w:val="0"/>
                <w:color w:val="auto"/>
                <w:kern w:val="21"/>
                <w:szCs w:val="21"/>
                <w:lang w:val="en-US" w:eastAsia="zh-CN"/>
              </w:rPr>
            </w:pPr>
          </w:p>
        </w:tc>
        <w:tc>
          <w:tcPr>
            <w:tcW w:w="1701" w:type="dxa"/>
            <w:noWrap w:val="0"/>
            <w:vAlign w:val="center"/>
          </w:tcPr>
          <w:p w14:paraId="398EDA1B">
            <w:pPr>
              <w:pStyle w:val="59"/>
              <w:keepNext w:val="0"/>
              <w:keepLines w:val="0"/>
              <w:suppressLineNumbers w:val="0"/>
              <w:spacing w:before="0" w:beforeAutospacing="0" w:after="0" w:afterAutospacing="0"/>
              <w:ind w:left="0" w:leftChars="0" w:right="0" w:rightChars="0"/>
              <w:jc w:val="center"/>
              <w:rPr>
                <w:rFonts w:hint="eastAsia" w:ascii="宋体" w:hAnsi="宋体" w:eastAsia="宋体" w:cs="宋体"/>
                <w:snapToGrid w:val="0"/>
                <w:color w:val="auto"/>
                <w:kern w:val="21"/>
                <w:szCs w:val="21"/>
                <w:lang w:val="en-US" w:eastAsia="zh-CN"/>
              </w:rPr>
            </w:pPr>
          </w:p>
        </w:tc>
        <w:tc>
          <w:tcPr>
            <w:tcW w:w="1276" w:type="dxa"/>
            <w:noWrap w:val="0"/>
            <w:vAlign w:val="center"/>
          </w:tcPr>
          <w:p w14:paraId="4681ED27">
            <w:pPr>
              <w:spacing w:beforeLines="0" w:afterLines="0" w:line="240" w:lineRule="auto"/>
              <w:jc w:val="center"/>
              <w:rPr>
                <w:rFonts w:hint="eastAsia" w:ascii="宋体" w:hAnsi="宋体" w:eastAsia="宋体" w:cs="宋体"/>
                <w:snapToGrid w:val="0"/>
                <w:color w:val="auto"/>
                <w:kern w:val="21"/>
                <w:szCs w:val="21"/>
                <w:lang w:val="en-US" w:eastAsia="zh-CN"/>
              </w:rPr>
            </w:pPr>
          </w:p>
        </w:tc>
        <w:tc>
          <w:tcPr>
            <w:tcW w:w="1701" w:type="dxa"/>
            <w:noWrap w:val="0"/>
            <w:vAlign w:val="center"/>
          </w:tcPr>
          <w:p w14:paraId="4447623F">
            <w:pPr>
              <w:spacing w:beforeLines="0" w:afterLines="0" w:line="240" w:lineRule="auto"/>
              <w:jc w:val="center"/>
              <w:rPr>
                <w:rFonts w:hint="eastAsia" w:ascii="宋体" w:hAnsi="宋体" w:eastAsia="宋体" w:cs="宋体"/>
                <w:snapToGrid w:val="0"/>
                <w:color w:val="auto"/>
                <w:kern w:val="21"/>
                <w:szCs w:val="21"/>
                <w:lang w:val="en-US" w:eastAsia="zh-CN"/>
              </w:rPr>
            </w:pPr>
          </w:p>
        </w:tc>
        <w:tc>
          <w:tcPr>
            <w:tcW w:w="1559" w:type="dxa"/>
            <w:noWrap w:val="0"/>
            <w:vAlign w:val="center"/>
          </w:tcPr>
          <w:p w14:paraId="66BC00E9">
            <w:pPr>
              <w:pStyle w:val="59"/>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napToGrid w:val="0"/>
                <w:color w:val="auto"/>
                <w:sz w:val="21"/>
                <w:szCs w:val="21"/>
                <w:lang w:val="en-US" w:eastAsia="zh-CN"/>
              </w:rPr>
            </w:pPr>
          </w:p>
        </w:tc>
        <w:tc>
          <w:tcPr>
            <w:tcW w:w="1761" w:type="dxa"/>
            <w:noWrap w:val="0"/>
            <w:vAlign w:val="center"/>
          </w:tcPr>
          <w:p w14:paraId="00C9D3E8">
            <w:pPr>
              <w:pStyle w:val="59"/>
              <w:keepNext w:val="0"/>
              <w:keepLines w:val="0"/>
              <w:suppressLineNumbers w:val="0"/>
              <w:spacing w:before="0" w:beforeAutospacing="0" w:after="0" w:afterAutospacing="0"/>
              <w:ind w:left="0" w:leftChars="0" w:right="0" w:rightChars="0"/>
              <w:jc w:val="center"/>
              <w:rPr>
                <w:rFonts w:hint="eastAsia" w:ascii="宋体" w:hAnsi="宋体" w:eastAsia="宋体" w:cs="宋体"/>
                <w:snapToGrid w:val="0"/>
                <w:color w:val="auto"/>
                <w:kern w:val="21"/>
                <w:sz w:val="20"/>
                <w:szCs w:val="21"/>
                <w:lang w:val="en-US" w:eastAsia="zh-CN" w:bidi="ar-SA"/>
              </w:rPr>
            </w:pPr>
          </w:p>
        </w:tc>
        <w:tc>
          <w:tcPr>
            <w:tcW w:w="1959" w:type="dxa"/>
            <w:noWrap w:val="0"/>
            <w:vAlign w:val="center"/>
          </w:tcPr>
          <w:p w14:paraId="666C3FD4">
            <w:pPr>
              <w:pStyle w:val="59"/>
              <w:keepNext w:val="0"/>
              <w:keepLines w:val="0"/>
              <w:suppressLineNumbers w:val="0"/>
              <w:spacing w:before="0" w:beforeAutospacing="0" w:after="0" w:afterAutospacing="0"/>
              <w:ind w:left="0" w:leftChars="0" w:right="0" w:rightChars="0"/>
              <w:jc w:val="center"/>
              <w:rPr>
                <w:rFonts w:hint="eastAsia" w:ascii="宋体" w:hAnsi="宋体" w:eastAsia="宋体" w:cs="宋体"/>
                <w:snapToGrid w:val="0"/>
                <w:color w:val="auto"/>
                <w:kern w:val="21"/>
                <w:sz w:val="20"/>
                <w:szCs w:val="21"/>
                <w:lang w:val="en-US" w:eastAsia="zh-CN" w:bidi="ar-SA"/>
              </w:rPr>
            </w:pPr>
          </w:p>
        </w:tc>
        <w:tc>
          <w:tcPr>
            <w:tcW w:w="826" w:type="dxa"/>
            <w:noWrap w:val="0"/>
            <w:vAlign w:val="center"/>
          </w:tcPr>
          <w:p w14:paraId="04236762">
            <w:pPr>
              <w:pStyle w:val="59"/>
              <w:keepNext w:val="0"/>
              <w:keepLines w:val="0"/>
              <w:suppressLineNumbers w:val="0"/>
              <w:spacing w:before="0" w:beforeAutospacing="0" w:after="0" w:afterAutospacing="0"/>
              <w:ind w:left="0" w:leftChars="0" w:right="0" w:rightChars="0"/>
              <w:jc w:val="center"/>
              <w:rPr>
                <w:rFonts w:hint="eastAsia" w:ascii="宋体" w:hAnsi="宋体" w:eastAsia="宋体" w:cs="宋体"/>
                <w:snapToGrid w:val="0"/>
                <w:color w:val="auto"/>
                <w:kern w:val="21"/>
                <w:sz w:val="20"/>
                <w:szCs w:val="21"/>
                <w:lang w:val="en-US" w:eastAsia="zh-CN" w:bidi="ar-SA"/>
              </w:rPr>
            </w:pPr>
          </w:p>
        </w:tc>
      </w:tr>
      <w:tr w14:paraId="0649E2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restart"/>
            <w:noWrap w:val="0"/>
            <w:vAlign w:val="center"/>
          </w:tcPr>
          <w:p w14:paraId="2EBDCDEA">
            <w:pPr>
              <w:pStyle w:val="5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textAlignment w:val="auto"/>
              <w:rPr>
                <w:rFonts w:hint="eastAsia" w:ascii="宋体" w:hAnsi="宋体" w:eastAsia="宋体" w:cs="宋体"/>
                <w:snapToGrid w:val="0"/>
                <w:color w:val="auto"/>
                <w:kern w:val="21"/>
                <w:szCs w:val="21"/>
              </w:rPr>
            </w:pPr>
            <w:r>
              <w:rPr>
                <w:rFonts w:hint="eastAsia" w:ascii="宋体" w:hAnsi="宋体" w:eastAsia="宋体" w:cs="宋体"/>
                <w:snapToGrid w:val="0"/>
                <w:color w:val="auto"/>
                <w:kern w:val="21"/>
                <w:szCs w:val="21"/>
              </w:rPr>
              <w:t>废水</w:t>
            </w:r>
          </w:p>
        </w:tc>
        <w:tc>
          <w:tcPr>
            <w:tcW w:w="1417" w:type="dxa"/>
            <w:noWrap w:val="0"/>
            <w:vAlign w:val="center"/>
          </w:tcPr>
          <w:p w14:paraId="29B58A4F">
            <w:pPr>
              <w:jc w:val="center"/>
              <w:rPr>
                <w:rFonts w:hint="eastAsia" w:hAnsi="宋体" w:eastAsia="宋体" w:cs="宋体"/>
                <w:snapToGrid w:val="0"/>
                <w:color w:val="auto"/>
                <w:kern w:val="21"/>
                <w:szCs w:val="21"/>
                <w:lang w:val="en-US" w:eastAsia="zh-CN"/>
              </w:rPr>
            </w:pPr>
            <w:r>
              <w:rPr>
                <w:rFonts w:hint="eastAsia"/>
                <w:color w:val="auto"/>
                <w:lang w:val="en-US" w:eastAsia="zh-CN"/>
              </w:rPr>
              <w:t>废水量</w:t>
            </w:r>
          </w:p>
        </w:tc>
        <w:tc>
          <w:tcPr>
            <w:tcW w:w="1701" w:type="dxa"/>
            <w:noWrap w:val="0"/>
            <w:vAlign w:val="center"/>
          </w:tcPr>
          <w:p w14:paraId="73D1231D">
            <w:pPr>
              <w:pStyle w:val="59"/>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napToGrid w:val="0"/>
                <w:color w:val="auto"/>
                <w:sz w:val="21"/>
                <w:szCs w:val="21"/>
                <w:lang w:val="en-US" w:eastAsia="zh-CN"/>
              </w:rPr>
            </w:pPr>
          </w:p>
        </w:tc>
        <w:tc>
          <w:tcPr>
            <w:tcW w:w="1276" w:type="dxa"/>
            <w:noWrap w:val="0"/>
            <w:vAlign w:val="center"/>
          </w:tcPr>
          <w:p w14:paraId="5CB038D2">
            <w:pPr>
              <w:pStyle w:val="5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textAlignment w:val="auto"/>
              <w:rPr>
                <w:rFonts w:hint="eastAsia" w:hAnsi="宋体" w:eastAsia="宋体" w:cs="宋体"/>
                <w:snapToGrid w:val="0"/>
                <w:color w:val="auto"/>
                <w:kern w:val="21"/>
                <w:szCs w:val="21"/>
                <w:lang w:val="en-US" w:eastAsia="zh-CN"/>
              </w:rPr>
            </w:pPr>
          </w:p>
        </w:tc>
        <w:tc>
          <w:tcPr>
            <w:tcW w:w="1701" w:type="dxa"/>
            <w:noWrap w:val="0"/>
            <w:vAlign w:val="center"/>
          </w:tcPr>
          <w:p w14:paraId="12A9D66B">
            <w:pPr>
              <w:pStyle w:val="5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textAlignment w:val="auto"/>
              <w:rPr>
                <w:rFonts w:hint="eastAsia" w:hAnsi="宋体" w:eastAsia="宋体" w:cs="宋体"/>
                <w:snapToGrid w:val="0"/>
                <w:color w:val="auto"/>
                <w:kern w:val="21"/>
                <w:szCs w:val="21"/>
                <w:lang w:val="en-US" w:eastAsia="zh-CN"/>
              </w:rPr>
            </w:pPr>
          </w:p>
        </w:tc>
        <w:tc>
          <w:tcPr>
            <w:tcW w:w="1559" w:type="dxa"/>
            <w:noWrap w:val="0"/>
            <w:vAlign w:val="center"/>
          </w:tcPr>
          <w:p w14:paraId="5B164A34">
            <w:pPr>
              <w:pStyle w:val="59"/>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napToGrid w:val="0"/>
                <w:color w:val="auto"/>
                <w:sz w:val="21"/>
                <w:szCs w:val="21"/>
                <w:lang w:val="en-US" w:eastAsia="zh-CN"/>
              </w:rPr>
            </w:pPr>
            <w:r>
              <w:rPr>
                <w:rFonts w:hint="eastAsia" w:ascii="Times New Roman" w:hAnsi="Times New Roman" w:cs="Times New Roman"/>
                <w:snapToGrid w:val="0"/>
                <w:color w:val="auto"/>
                <w:sz w:val="21"/>
                <w:szCs w:val="21"/>
                <w:lang w:val="en-US" w:eastAsia="zh-CN"/>
              </w:rPr>
              <w:t>1440</w:t>
            </w:r>
          </w:p>
        </w:tc>
        <w:tc>
          <w:tcPr>
            <w:tcW w:w="1761" w:type="dxa"/>
            <w:noWrap w:val="0"/>
            <w:vAlign w:val="center"/>
          </w:tcPr>
          <w:p w14:paraId="0C69CE25">
            <w:pPr>
              <w:pStyle w:val="5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textAlignment w:val="auto"/>
              <w:rPr>
                <w:rFonts w:hint="eastAsia" w:hAnsi="宋体" w:eastAsia="宋体" w:cs="宋体"/>
                <w:snapToGrid w:val="0"/>
                <w:color w:val="auto"/>
                <w:kern w:val="21"/>
                <w:szCs w:val="21"/>
                <w:lang w:val="en-US" w:eastAsia="zh-CN"/>
              </w:rPr>
            </w:pPr>
          </w:p>
        </w:tc>
        <w:tc>
          <w:tcPr>
            <w:tcW w:w="1959" w:type="dxa"/>
            <w:noWrap w:val="0"/>
            <w:vAlign w:val="center"/>
          </w:tcPr>
          <w:p w14:paraId="2A041C5C">
            <w:pPr>
              <w:pStyle w:val="59"/>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napToGrid w:val="0"/>
                <w:color w:val="auto"/>
                <w:sz w:val="21"/>
                <w:szCs w:val="21"/>
                <w:lang w:val="en-US" w:eastAsia="zh-CN"/>
              </w:rPr>
            </w:pPr>
            <w:r>
              <w:rPr>
                <w:rFonts w:hint="eastAsia" w:ascii="Times New Roman" w:hAnsi="Times New Roman" w:cs="Times New Roman"/>
                <w:snapToGrid w:val="0"/>
                <w:color w:val="auto"/>
                <w:sz w:val="21"/>
                <w:szCs w:val="21"/>
                <w:lang w:val="en-US" w:eastAsia="zh-CN"/>
              </w:rPr>
              <w:t>1440</w:t>
            </w:r>
          </w:p>
        </w:tc>
        <w:tc>
          <w:tcPr>
            <w:tcW w:w="826" w:type="dxa"/>
            <w:noWrap w:val="0"/>
            <w:vAlign w:val="center"/>
          </w:tcPr>
          <w:p w14:paraId="334E0C88">
            <w:pPr>
              <w:pStyle w:val="59"/>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napToGrid w:val="0"/>
                <w:color w:val="auto"/>
                <w:sz w:val="21"/>
                <w:szCs w:val="21"/>
                <w:lang w:val="en-US" w:eastAsia="zh-CN"/>
              </w:rPr>
            </w:pPr>
            <w:r>
              <w:rPr>
                <w:rFonts w:hint="eastAsia" w:ascii="Times New Roman" w:hAnsi="Times New Roman" w:cs="Times New Roman"/>
                <w:snapToGrid w:val="0"/>
                <w:color w:val="auto"/>
                <w:sz w:val="21"/>
                <w:szCs w:val="21"/>
                <w:lang w:val="en-US" w:eastAsia="zh-CN"/>
              </w:rPr>
              <w:t>1440</w:t>
            </w:r>
          </w:p>
        </w:tc>
      </w:tr>
      <w:tr w14:paraId="00D2F5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noWrap w:val="0"/>
            <w:vAlign w:val="center"/>
          </w:tcPr>
          <w:p w14:paraId="2B651BDB">
            <w:pPr>
              <w:pStyle w:val="5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textAlignment w:val="auto"/>
              <w:rPr>
                <w:rFonts w:hint="eastAsia" w:ascii="宋体" w:hAnsi="宋体" w:eastAsia="宋体" w:cs="宋体"/>
                <w:snapToGrid w:val="0"/>
                <w:color w:val="auto"/>
                <w:kern w:val="21"/>
                <w:szCs w:val="21"/>
              </w:rPr>
            </w:pPr>
          </w:p>
        </w:tc>
        <w:tc>
          <w:tcPr>
            <w:tcW w:w="1417" w:type="dxa"/>
            <w:noWrap w:val="0"/>
            <w:vAlign w:val="center"/>
          </w:tcPr>
          <w:p w14:paraId="7DC29386">
            <w:pPr>
              <w:jc w:val="center"/>
              <w:rPr>
                <w:rFonts w:hint="eastAsia" w:ascii="宋体" w:hAnsi="宋体" w:eastAsia="宋体" w:cs="宋体"/>
                <w:snapToGrid w:val="0"/>
                <w:color w:val="auto"/>
                <w:kern w:val="21"/>
                <w:szCs w:val="21"/>
                <w:lang w:val="en-US" w:eastAsia="zh-CN"/>
              </w:rPr>
            </w:pPr>
            <w:r>
              <w:rPr>
                <w:rFonts w:hint="eastAsia"/>
                <w:color w:val="auto"/>
                <w:lang w:val="en-US" w:eastAsia="zh-CN"/>
              </w:rPr>
              <w:t>COD</w:t>
            </w:r>
          </w:p>
        </w:tc>
        <w:tc>
          <w:tcPr>
            <w:tcW w:w="1701" w:type="dxa"/>
            <w:noWrap w:val="0"/>
            <w:vAlign w:val="center"/>
          </w:tcPr>
          <w:p w14:paraId="7BD6A830">
            <w:pPr>
              <w:pStyle w:val="59"/>
              <w:keepNext w:val="0"/>
              <w:keepLines w:val="0"/>
              <w:suppressLineNumbers w:val="0"/>
              <w:spacing w:before="0" w:beforeAutospacing="0" w:after="0" w:afterAutospacing="0"/>
              <w:ind w:left="0" w:leftChars="0" w:right="0" w:rightChars="0"/>
              <w:jc w:val="center"/>
              <w:rPr>
                <w:rFonts w:hint="eastAsia" w:ascii="宋体" w:hAnsi="宋体" w:eastAsia="宋体" w:cs="宋体"/>
                <w:snapToGrid w:val="0"/>
                <w:color w:val="auto"/>
                <w:kern w:val="21"/>
                <w:sz w:val="20"/>
                <w:szCs w:val="21"/>
                <w:lang w:val="en-US" w:eastAsia="zh-CN" w:bidi="ar-SA"/>
              </w:rPr>
            </w:pPr>
          </w:p>
        </w:tc>
        <w:tc>
          <w:tcPr>
            <w:tcW w:w="1276" w:type="dxa"/>
            <w:noWrap w:val="0"/>
            <w:vAlign w:val="center"/>
          </w:tcPr>
          <w:p w14:paraId="04DE9D38">
            <w:pPr>
              <w:pStyle w:val="5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textAlignment w:val="auto"/>
              <w:rPr>
                <w:rFonts w:hint="eastAsia" w:ascii="宋体" w:hAnsi="宋体" w:eastAsia="宋体" w:cs="宋体"/>
                <w:snapToGrid w:val="0"/>
                <w:color w:val="auto"/>
                <w:kern w:val="21"/>
                <w:sz w:val="20"/>
                <w:szCs w:val="21"/>
                <w:lang w:val="en-US" w:eastAsia="zh-CN" w:bidi="ar-SA"/>
              </w:rPr>
            </w:pPr>
          </w:p>
        </w:tc>
        <w:tc>
          <w:tcPr>
            <w:tcW w:w="1701" w:type="dxa"/>
            <w:noWrap w:val="0"/>
            <w:vAlign w:val="center"/>
          </w:tcPr>
          <w:p w14:paraId="0D74D53F">
            <w:pPr>
              <w:pStyle w:val="5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textAlignment w:val="auto"/>
              <w:rPr>
                <w:rFonts w:hint="eastAsia" w:ascii="宋体" w:hAnsi="宋体" w:eastAsia="宋体" w:cs="宋体"/>
                <w:snapToGrid w:val="0"/>
                <w:color w:val="auto"/>
                <w:kern w:val="21"/>
                <w:sz w:val="20"/>
                <w:szCs w:val="21"/>
                <w:lang w:val="en-US" w:eastAsia="zh-CN" w:bidi="ar-SA"/>
              </w:rPr>
            </w:pPr>
          </w:p>
        </w:tc>
        <w:tc>
          <w:tcPr>
            <w:tcW w:w="1559" w:type="dxa"/>
            <w:noWrap w:val="0"/>
            <w:vAlign w:val="center"/>
          </w:tcPr>
          <w:p w14:paraId="520827B2">
            <w:pPr>
              <w:pStyle w:val="59"/>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0.432</w:t>
            </w:r>
          </w:p>
        </w:tc>
        <w:tc>
          <w:tcPr>
            <w:tcW w:w="1761" w:type="dxa"/>
            <w:noWrap w:val="0"/>
            <w:vAlign w:val="center"/>
          </w:tcPr>
          <w:p w14:paraId="256918A2">
            <w:pPr>
              <w:pStyle w:val="59"/>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snapToGrid w:val="0"/>
                <w:color w:val="auto"/>
                <w:sz w:val="21"/>
                <w:szCs w:val="21"/>
                <w:lang w:val="en-US" w:eastAsia="zh-CN"/>
              </w:rPr>
            </w:pPr>
          </w:p>
        </w:tc>
        <w:tc>
          <w:tcPr>
            <w:tcW w:w="1959" w:type="dxa"/>
            <w:noWrap w:val="0"/>
            <w:vAlign w:val="center"/>
          </w:tcPr>
          <w:p w14:paraId="62427413">
            <w:pPr>
              <w:pStyle w:val="59"/>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0.432</w:t>
            </w:r>
          </w:p>
        </w:tc>
        <w:tc>
          <w:tcPr>
            <w:tcW w:w="826" w:type="dxa"/>
            <w:noWrap w:val="0"/>
            <w:vAlign w:val="center"/>
          </w:tcPr>
          <w:p w14:paraId="5D5F1A4F">
            <w:pPr>
              <w:pStyle w:val="59"/>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0.432</w:t>
            </w:r>
          </w:p>
        </w:tc>
      </w:tr>
      <w:tr w14:paraId="71E448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noWrap w:val="0"/>
            <w:vAlign w:val="center"/>
          </w:tcPr>
          <w:p w14:paraId="2E999E66">
            <w:pPr>
              <w:pStyle w:val="5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textAlignment w:val="auto"/>
              <w:rPr>
                <w:rFonts w:hint="eastAsia" w:ascii="宋体" w:hAnsi="宋体" w:eastAsia="宋体" w:cs="宋体"/>
                <w:snapToGrid w:val="0"/>
                <w:color w:val="auto"/>
                <w:kern w:val="21"/>
                <w:szCs w:val="21"/>
              </w:rPr>
            </w:pPr>
          </w:p>
        </w:tc>
        <w:tc>
          <w:tcPr>
            <w:tcW w:w="1417" w:type="dxa"/>
            <w:noWrap w:val="0"/>
            <w:vAlign w:val="center"/>
          </w:tcPr>
          <w:p w14:paraId="1E44BA08">
            <w:pPr>
              <w:jc w:val="center"/>
              <w:rPr>
                <w:rFonts w:hint="eastAsia" w:ascii="宋体" w:hAnsi="宋体" w:eastAsia="宋体" w:cs="宋体"/>
                <w:snapToGrid w:val="0"/>
                <w:color w:val="auto"/>
                <w:kern w:val="21"/>
                <w:szCs w:val="21"/>
                <w:lang w:val="en-US" w:eastAsia="zh-CN"/>
              </w:rPr>
            </w:pPr>
            <w:r>
              <w:rPr>
                <w:rFonts w:hint="eastAsia"/>
                <w:color w:val="auto"/>
                <w:lang w:val="en-US" w:eastAsia="zh-CN"/>
              </w:rPr>
              <w:t>NH</w:t>
            </w:r>
            <w:r>
              <w:rPr>
                <w:rFonts w:hint="eastAsia"/>
                <w:color w:val="auto"/>
                <w:vertAlign w:val="subscript"/>
                <w:lang w:val="en-US" w:eastAsia="zh-CN"/>
              </w:rPr>
              <w:t>3</w:t>
            </w:r>
            <w:r>
              <w:rPr>
                <w:rFonts w:hint="eastAsia"/>
                <w:color w:val="auto"/>
                <w:lang w:val="en-US" w:eastAsia="zh-CN"/>
              </w:rPr>
              <w:t>-N</w:t>
            </w:r>
          </w:p>
        </w:tc>
        <w:tc>
          <w:tcPr>
            <w:tcW w:w="1701" w:type="dxa"/>
            <w:noWrap w:val="0"/>
            <w:vAlign w:val="center"/>
          </w:tcPr>
          <w:p w14:paraId="0816243B">
            <w:pPr>
              <w:pStyle w:val="59"/>
              <w:keepNext w:val="0"/>
              <w:keepLines w:val="0"/>
              <w:suppressLineNumbers w:val="0"/>
              <w:spacing w:before="0" w:beforeAutospacing="0" w:after="0" w:afterAutospacing="0"/>
              <w:ind w:left="0" w:leftChars="0" w:right="0" w:rightChars="0"/>
              <w:jc w:val="center"/>
              <w:rPr>
                <w:rFonts w:hint="eastAsia" w:ascii="宋体" w:hAnsi="宋体" w:eastAsia="宋体" w:cs="宋体"/>
                <w:snapToGrid w:val="0"/>
                <w:color w:val="auto"/>
                <w:kern w:val="21"/>
                <w:sz w:val="20"/>
                <w:szCs w:val="21"/>
                <w:lang w:val="en-US" w:eastAsia="zh-CN" w:bidi="ar-SA"/>
              </w:rPr>
            </w:pPr>
          </w:p>
        </w:tc>
        <w:tc>
          <w:tcPr>
            <w:tcW w:w="1276" w:type="dxa"/>
            <w:noWrap w:val="0"/>
            <w:vAlign w:val="center"/>
          </w:tcPr>
          <w:p w14:paraId="77F87EFF">
            <w:pPr>
              <w:pStyle w:val="5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textAlignment w:val="auto"/>
              <w:rPr>
                <w:rFonts w:hint="eastAsia" w:ascii="宋体" w:hAnsi="宋体" w:eastAsia="宋体" w:cs="宋体"/>
                <w:snapToGrid w:val="0"/>
                <w:color w:val="auto"/>
                <w:kern w:val="21"/>
                <w:sz w:val="20"/>
                <w:szCs w:val="21"/>
                <w:lang w:val="en-US" w:eastAsia="zh-CN" w:bidi="ar-SA"/>
              </w:rPr>
            </w:pPr>
          </w:p>
        </w:tc>
        <w:tc>
          <w:tcPr>
            <w:tcW w:w="1701" w:type="dxa"/>
            <w:noWrap w:val="0"/>
            <w:vAlign w:val="center"/>
          </w:tcPr>
          <w:p w14:paraId="2F4BE59F">
            <w:pPr>
              <w:pStyle w:val="5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textAlignment w:val="auto"/>
              <w:rPr>
                <w:rFonts w:hint="eastAsia" w:ascii="宋体" w:hAnsi="宋体" w:eastAsia="宋体" w:cs="宋体"/>
                <w:snapToGrid w:val="0"/>
                <w:color w:val="auto"/>
                <w:kern w:val="21"/>
                <w:sz w:val="20"/>
                <w:szCs w:val="21"/>
                <w:lang w:val="en-US" w:eastAsia="zh-CN" w:bidi="ar-SA"/>
              </w:rPr>
            </w:pPr>
          </w:p>
        </w:tc>
        <w:tc>
          <w:tcPr>
            <w:tcW w:w="1559" w:type="dxa"/>
            <w:noWrap w:val="0"/>
            <w:vAlign w:val="center"/>
          </w:tcPr>
          <w:p w14:paraId="199A1F27">
            <w:pPr>
              <w:pStyle w:val="59"/>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0.0432</w:t>
            </w:r>
          </w:p>
        </w:tc>
        <w:tc>
          <w:tcPr>
            <w:tcW w:w="1761" w:type="dxa"/>
            <w:noWrap w:val="0"/>
            <w:vAlign w:val="center"/>
          </w:tcPr>
          <w:p w14:paraId="6C6DE09A">
            <w:pPr>
              <w:pStyle w:val="59"/>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snapToGrid w:val="0"/>
                <w:color w:val="auto"/>
                <w:sz w:val="21"/>
                <w:szCs w:val="21"/>
                <w:lang w:val="en-US" w:eastAsia="zh-CN"/>
              </w:rPr>
            </w:pPr>
          </w:p>
        </w:tc>
        <w:tc>
          <w:tcPr>
            <w:tcW w:w="1959" w:type="dxa"/>
            <w:noWrap w:val="0"/>
            <w:vAlign w:val="center"/>
          </w:tcPr>
          <w:p w14:paraId="0B6C5B95">
            <w:pPr>
              <w:pStyle w:val="59"/>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0.0432</w:t>
            </w:r>
          </w:p>
        </w:tc>
        <w:tc>
          <w:tcPr>
            <w:tcW w:w="826" w:type="dxa"/>
            <w:noWrap w:val="0"/>
            <w:vAlign w:val="center"/>
          </w:tcPr>
          <w:p w14:paraId="316681B1">
            <w:pPr>
              <w:pStyle w:val="59"/>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0.0432</w:t>
            </w:r>
          </w:p>
        </w:tc>
      </w:tr>
      <w:tr w14:paraId="000AD9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restart"/>
            <w:noWrap w:val="0"/>
            <w:vAlign w:val="center"/>
          </w:tcPr>
          <w:p w14:paraId="5369F04A">
            <w:pPr>
              <w:pStyle w:val="5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textAlignment w:val="auto"/>
              <w:rPr>
                <w:rFonts w:hint="eastAsia" w:ascii="宋体" w:hAnsi="宋体" w:eastAsia="宋体" w:cs="宋体"/>
                <w:snapToGrid w:val="0"/>
                <w:color w:val="auto"/>
                <w:kern w:val="21"/>
                <w:szCs w:val="21"/>
              </w:rPr>
            </w:pPr>
            <w:r>
              <w:rPr>
                <w:rFonts w:hint="eastAsia" w:ascii="宋体" w:hAnsi="宋体" w:eastAsia="宋体" w:cs="宋体"/>
                <w:snapToGrid w:val="0"/>
                <w:color w:val="auto"/>
                <w:kern w:val="21"/>
                <w:szCs w:val="21"/>
              </w:rPr>
              <w:t>一般工业</w:t>
            </w:r>
          </w:p>
          <w:p w14:paraId="1C30AD7E">
            <w:pPr>
              <w:pStyle w:val="5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textAlignment w:val="auto"/>
              <w:rPr>
                <w:rFonts w:hint="eastAsia" w:ascii="宋体" w:hAnsi="宋体" w:eastAsia="宋体" w:cs="宋体"/>
                <w:snapToGrid w:val="0"/>
                <w:color w:val="auto"/>
                <w:kern w:val="21"/>
                <w:szCs w:val="21"/>
              </w:rPr>
            </w:pPr>
            <w:r>
              <w:rPr>
                <w:rFonts w:hint="eastAsia" w:ascii="宋体" w:hAnsi="宋体" w:eastAsia="宋体" w:cs="宋体"/>
                <w:snapToGrid w:val="0"/>
                <w:color w:val="auto"/>
                <w:kern w:val="21"/>
                <w:szCs w:val="21"/>
              </w:rPr>
              <w:t>固体废物</w:t>
            </w:r>
          </w:p>
        </w:tc>
        <w:tc>
          <w:tcPr>
            <w:tcW w:w="1417" w:type="dxa"/>
            <w:noWrap w:val="0"/>
            <w:vAlign w:val="center"/>
          </w:tcPr>
          <w:p w14:paraId="00BEA44C">
            <w:pPr>
              <w:jc w:val="center"/>
              <w:rPr>
                <w:rFonts w:hint="default" w:ascii="宋体" w:hAnsi="宋体" w:eastAsia="宋体" w:cs="宋体"/>
                <w:snapToGrid w:val="0"/>
                <w:color w:val="auto"/>
                <w:kern w:val="21"/>
                <w:szCs w:val="21"/>
                <w:lang w:val="en-US" w:eastAsia="zh-CN"/>
              </w:rPr>
            </w:pPr>
            <w:r>
              <w:rPr>
                <w:rFonts w:hint="eastAsia"/>
                <w:color w:val="auto"/>
                <w:lang w:val="en-US" w:eastAsia="zh-CN"/>
              </w:rPr>
              <w:t>生活垃圾</w:t>
            </w:r>
          </w:p>
        </w:tc>
        <w:tc>
          <w:tcPr>
            <w:tcW w:w="1701" w:type="dxa"/>
            <w:noWrap w:val="0"/>
            <w:vAlign w:val="center"/>
          </w:tcPr>
          <w:p w14:paraId="551E3AF4">
            <w:pPr>
              <w:pStyle w:val="59"/>
              <w:keepNext w:val="0"/>
              <w:keepLines w:val="0"/>
              <w:suppressLineNumbers w:val="0"/>
              <w:spacing w:before="0" w:beforeAutospacing="0" w:after="0" w:afterAutospacing="0"/>
              <w:ind w:left="0" w:leftChars="0" w:right="0" w:rightChars="0"/>
              <w:jc w:val="center"/>
              <w:rPr>
                <w:rFonts w:hint="eastAsia" w:ascii="宋体" w:hAnsi="宋体" w:eastAsia="宋体" w:cs="宋体"/>
                <w:snapToGrid w:val="0"/>
                <w:color w:val="auto"/>
                <w:kern w:val="21"/>
                <w:sz w:val="20"/>
                <w:szCs w:val="21"/>
                <w:lang w:val="en-US" w:eastAsia="zh-CN" w:bidi="ar-SA"/>
              </w:rPr>
            </w:pPr>
          </w:p>
        </w:tc>
        <w:tc>
          <w:tcPr>
            <w:tcW w:w="1276" w:type="dxa"/>
            <w:noWrap w:val="0"/>
            <w:vAlign w:val="center"/>
          </w:tcPr>
          <w:p w14:paraId="4117E087">
            <w:pPr>
              <w:pStyle w:val="5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textAlignment w:val="auto"/>
              <w:rPr>
                <w:rFonts w:hint="eastAsia" w:ascii="宋体" w:hAnsi="宋体" w:eastAsia="宋体" w:cs="宋体"/>
                <w:snapToGrid w:val="0"/>
                <w:color w:val="auto"/>
                <w:kern w:val="21"/>
                <w:sz w:val="20"/>
                <w:szCs w:val="21"/>
                <w:lang w:val="en-US" w:eastAsia="zh-CN" w:bidi="ar-SA"/>
              </w:rPr>
            </w:pPr>
          </w:p>
        </w:tc>
        <w:tc>
          <w:tcPr>
            <w:tcW w:w="1701" w:type="dxa"/>
            <w:noWrap w:val="0"/>
            <w:vAlign w:val="center"/>
          </w:tcPr>
          <w:p w14:paraId="142F9073">
            <w:pPr>
              <w:pStyle w:val="5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textAlignment w:val="auto"/>
              <w:rPr>
                <w:rFonts w:hint="eastAsia" w:ascii="宋体" w:hAnsi="宋体" w:eastAsia="宋体" w:cs="宋体"/>
                <w:snapToGrid w:val="0"/>
                <w:color w:val="auto"/>
                <w:kern w:val="21"/>
                <w:sz w:val="20"/>
                <w:szCs w:val="21"/>
                <w:lang w:val="en-US" w:eastAsia="zh-CN" w:bidi="ar-SA"/>
              </w:rPr>
            </w:pPr>
          </w:p>
        </w:tc>
        <w:tc>
          <w:tcPr>
            <w:tcW w:w="1559" w:type="dxa"/>
            <w:noWrap w:val="0"/>
            <w:vAlign w:val="center"/>
          </w:tcPr>
          <w:p w14:paraId="201F5D6D">
            <w:pPr>
              <w:pStyle w:val="59"/>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14.4</w:t>
            </w:r>
          </w:p>
        </w:tc>
        <w:tc>
          <w:tcPr>
            <w:tcW w:w="1761" w:type="dxa"/>
            <w:noWrap w:val="0"/>
            <w:vAlign w:val="center"/>
          </w:tcPr>
          <w:p w14:paraId="58C41527">
            <w:pPr>
              <w:pStyle w:val="59"/>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snapToGrid w:val="0"/>
                <w:color w:val="auto"/>
                <w:sz w:val="21"/>
                <w:szCs w:val="21"/>
                <w:lang w:val="en-US" w:eastAsia="zh-CN"/>
              </w:rPr>
            </w:pPr>
          </w:p>
        </w:tc>
        <w:tc>
          <w:tcPr>
            <w:tcW w:w="1959" w:type="dxa"/>
            <w:noWrap w:val="0"/>
            <w:vAlign w:val="center"/>
          </w:tcPr>
          <w:p w14:paraId="33AD64BB">
            <w:pPr>
              <w:pStyle w:val="59"/>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14.4</w:t>
            </w:r>
          </w:p>
        </w:tc>
        <w:tc>
          <w:tcPr>
            <w:tcW w:w="826" w:type="dxa"/>
            <w:noWrap w:val="0"/>
            <w:vAlign w:val="center"/>
          </w:tcPr>
          <w:p w14:paraId="7BACD436">
            <w:pPr>
              <w:pStyle w:val="59"/>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14.4</w:t>
            </w:r>
          </w:p>
        </w:tc>
      </w:tr>
      <w:tr w14:paraId="056069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noWrap w:val="0"/>
            <w:vAlign w:val="center"/>
          </w:tcPr>
          <w:p w14:paraId="69B9056D">
            <w:pPr>
              <w:pStyle w:val="5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textAlignment w:val="auto"/>
              <w:rPr>
                <w:rFonts w:hint="eastAsia" w:ascii="宋体" w:hAnsi="宋体" w:eastAsia="宋体" w:cs="宋体"/>
                <w:snapToGrid w:val="0"/>
                <w:color w:val="auto"/>
                <w:kern w:val="21"/>
                <w:szCs w:val="21"/>
              </w:rPr>
            </w:pPr>
          </w:p>
        </w:tc>
        <w:tc>
          <w:tcPr>
            <w:tcW w:w="1417" w:type="dxa"/>
            <w:noWrap w:val="0"/>
            <w:vAlign w:val="center"/>
          </w:tcPr>
          <w:p w14:paraId="0DE7FD15">
            <w:pPr>
              <w:jc w:val="center"/>
              <w:rPr>
                <w:rFonts w:hint="default" w:hAnsi="宋体" w:eastAsia="宋体" w:cs="宋体"/>
                <w:snapToGrid w:val="0"/>
                <w:color w:val="auto"/>
                <w:kern w:val="21"/>
                <w:szCs w:val="21"/>
                <w:lang w:val="en-US" w:eastAsia="zh-CN"/>
              </w:rPr>
            </w:pPr>
            <w:r>
              <w:rPr>
                <w:rFonts w:hint="eastAsia"/>
                <w:color w:val="auto"/>
                <w:lang w:val="en-US" w:eastAsia="zh-CN"/>
              </w:rPr>
              <w:t>包装废弃物</w:t>
            </w:r>
          </w:p>
        </w:tc>
        <w:tc>
          <w:tcPr>
            <w:tcW w:w="1701" w:type="dxa"/>
            <w:noWrap w:val="0"/>
            <w:vAlign w:val="center"/>
          </w:tcPr>
          <w:p w14:paraId="07AFD7A2">
            <w:pPr>
              <w:pStyle w:val="59"/>
              <w:keepNext w:val="0"/>
              <w:keepLines w:val="0"/>
              <w:suppressLineNumbers w:val="0"/>
              <w:spacing w:before="0" w:beforeAutospacing="0" w:after="0" w:afterAutospacing="0"/>
              <w:ind w:left="0" w:leftChars="0" w:right="0" w:rightChars="0"/>
              <w:jc w:val="center"/>
              <w:rPr>
                <w:rFonts w:hint="eastAsia" w:hAnsi="宋体" w:eastAsia="宋体" w:cs="宋体"/>
                <w:snapToGrid w:val="0"/>
                <w:color w:val="auto"/>
                <w:kern w:val="21"/>
                <w:szCs w:val="21"/>
                <w:lang w:val="en-US" w:eastAsia="zh-CN"/>
              </w:rPr>
            </w:pPr>
          </w:p>
        </w:tc>
        <w:tc>
          <w:tcPr>
            <w:tcW w:w="1276" w:type="dxa"/>
            <w:noWrap w:val="0"/>
            <w:vAlign w:val="center"/>
          </w:tcPr>
          <w:p w14:paraId="6F6D9818">
            <w:pPr>
              <w:pStyle w:val="5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textAlignment w:val="auto"/>
              <w:rPr>
                <w:rFonts w:hint="eastAsia" w:hAnsi="宋体" w:eastAsia="宋体" w:cs="宋体"/>
                <w:snapToGrid w:val="0"/>
                <w:color w:val="auto"/>
                <w:kern w:val="21"/>
                <w:szCs w:val="21"/>
                <w:lang w:val="en-US" w:eastAsia="zh-CN"/>
              </w:rPr>
            </w:pPr>
          </w:p>
        </w:tc>
        <w:tc>
          <w:tcPr>
            <w:tcW w:w="1701" w:type="dxa"/>
            <w:noWrap w:val="0"/>
            <w:vAlign w:val="center"/>
          </w:tcPr>
          <w:p w14:paraId="54B1CB1B">
            <w:pPr>
              <w:pStyle w:val="5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textAlignment w:val="auto"/>
              <w:rPr>
                <w:rFonts w:hint="eastAsia" w:hAnsi="宋体" w:eastAsia="宋体" w:cs="宋体"/>
                <w:snapToGrid w:val="0"/>
                <w:color w:val="auto"/>
                <w:kern w:val="21"/>
                <w:szCs w:val="21"/>
                <w:lang w:val="en-US" w:eastAsia="zh-CN"/>
              </w:rPr>
            </w:pPr>
          </w:p>
        </w:tc>
        <w:tc>
          <w:tcPr>
            <w:tcW w:w="1559" w:type="dxa"/>
            <w:noWrap w:val="0"/>
            <w:vAlign w:val="center"/>
          </w:tcPr>
          <w:p w14:paraId="57710023">
            <w:pPr>
              <w:pStyle w:val="59"/>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2</w:t>
            </w:r>
          </w:p>
        </w:tc>
        <w:tc>
          <w:tcPr>
            <w:tcW w:w="1761" w:type="dxa"/>
            <w:noWrap w:val="0"/>
            <w:vAlign w:val="center"/>
          </w:tcPr>
          <w:p w14:paraId="1082BCD7">
            <w:pPr>
              <w:pStyle w:val="59"/>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snapToGrid w:val="0"/>
                <w:color w:val="auto"/>
                <w:sz w:val="21"/>
                <w:szCs w:val="21"/>
                <w:lang w:val="en-US" w:eastAsia="zh-CN"/>
              </w:rPr>
            </w:pPr>
          </w:p>
        </w:tc>
        <w:tc>
          <w:tcPr>
            <w:tcW w:w="1959" w:type="dxa"/>
            <w:noWrap w:val="0"/>
            <w:vAlign w:val="center"/>
          </w:tcPr>
          <w:p w14:paraId="30ADE6A5">
            <w:pPr>
              <w:pStyle w:val="59"/>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2</w:t>
            </w:r>
          </w:p>
        </w:tc>
        <w:tc>
          <w:tcPr>
            <w:tcW w:w="826" w:type="dxa"/>
            <w:noWrap w:val="0"/>
            <w:vAlign w:val="center"/>
          </w:tcPr>
          <w:p w14:paraId="23601194">
            <w:pPr>
              <w:pStyle w:val="59"/>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2</w:t>
            </w:r>
          </w:p>
        </w:tc>
      </w:tr>
      <w:tr w14:paraId="5F10F1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noWrap w:val="0"/>
            <w:vAlign w:val="center"/>
          </w:tcPr>
          <w:p w14:paraId="2670A665">
            <w:pPr>
              <w:pStyle w:val="5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textAlignment w:val="auto"/>
              <w:rPr>
                <w:rFonts w:hint="eastAsia" w:ascii="宋体" w:hAnsi="宋体" w:eastAsia="宋体" w:cs="宋体"/>
                <w:snapToGrid w:val="0"/>
                <w:color w:val="auto"/>
                <w:kern w:val="21"/>
                <w:szCs w:val="21"/>
              </w:rPr>
            </w:pPr>
          </w:p>
        </w:tc>
        <w:tc>
          <w:tcPr>
            <w:tcW w:w="1417" w:type="dxa"/>
            <w:noWrap w:val="0"/>
            <w:vAlign w:val="center"/>
          </w:tcPr>
          <w:p w14:paraId="11BD0008">
            <w:pPr>
              <w:jc w:val="center"/>
              <w:rPr>
                <w:rFonts w:hint="eastAsia" w:hAnsi="宋体" w:eastAsia="宋体" w:cs="宋体"/>
                <w:snapToGrid w:val="0"/>
                <w:color w:val="auto"/>
                <w:kern w:val="21"/>
                <w:szCs w:val="21"/>
                <w:lang w:val="en-US" w:eastAsia="zh-CN"/>
              </w:rPr>
            </w:pPr>
            <w:r>
              <w:rPr>
                <w:rFonts w:hint="eastAsia"/>
                <w:color w:val="auto"/>
                <w:lang w:val="en-US" w:eastAsia="zh-CN"/>
              </w:rPr>
              <w:t>化粪池污泥</w:t>
            </w:r>
          </w:p>
        </w:tc>
        <w:tc>
          <w:tcPr>
            <w:tcW w:w="1701" w:type="dxa"/>
            <w:noWrap w:val="0"/>
            <w:vAlign w:val="center"/>
          </w:tcPr>
          <w:p w14:paraId="7F624B40">
            <w:pPr>
              <w:pStyle w:val="59"/>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napToGrid w:val="0"/>
                <w:color w:val="auto"/>
                <w:sz w:val="21"/>
                <w:szCs w:val="21"/>
                <w:lang w:val="en-US" w:eastAsia="zh-CN"/>
              </w:rPr>
            </w:pPr>
          </w:p>
        </w:tc>
        <w:tc>
          <w:tcPr>
            <w:tcW w:w="1276" w:type="dxa"/>
            <w:noWrap w:val="0"/>
            <w:vAlign w:val="center"/>
          </w:tcPr>
          <w:p w14:paraId="57A9BEE2">
            <w:pPr>
              <w:pStyle w:val="5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textAlignment w:val="auto"/>
              <w:rPr>
                <w:rFonts w:hint="eastAsia" w:hAnsi="宋体" w:eastAsia="宋体" w:cs="宋体"/>
                <w:snapToGrid w:val="0"/>
                <w:color w:val="auto"/>
                <w:kern w:val="21"/>
                <w:szCs w:val="21"/>
                <w:lang w:val="en-US" w:eastAsia="zh-CN"/>
              </w:rPr>
            </w:pPr>
          </w:p>
        </w:tc>
        <w:tc>
          <w:tcPr>
            <w:tcW w:w="1701" w:type="dxa"/>
            <w:noWrap w:val="0"/>
            <w:vAlign w:val="center"/>
          </w:tcPr>
          <w:p w14:paraId="45CD4880">
            <w:pPr>
              <w:pStyle w:val="5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textAlignment w:val="auto"/>
              <w:rPr>
                <w:rFonts w:hint="eastAsia" w:hAnsi="宋体" w:eastAsia="宋体" w:cs="宋体"/>
                <w:snapToGrid w:val="0"/>
                <w:color w:val="auto"/>
                <w:kern w:val="21"/>
                <w:szCs w:val="21"/>
                <w:lang w:val="en-US" w:eastAsia="zh-CN"/>
              </w:rPr>
            </w:pPr>
          </w:p>
        </w:tc>
        <w:tc>
          <w:tcPr>
            <w:tcW w:w="1559" w:type="dxa"/>
            <w:noWrap w:val="0"/>
            <w:vAlign w:val="center"/>
          </w:tcPr>
          <w:p w14:paraId="12AC4B19">
            <w:pPr>
              <w:pStyle w:val="59"/>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0.864</w:t>
            </w:r>
          </w:p>
        </w:tc>
        <w:tc>
          <w:tcPr>
            <w:tcW w:w="1761" w:type="dxa"/>
            <w:noWrap w:val="0"/>
            <w:vAlign w:val="center"/>
          </w:tcPr>
          <w:p w14:paraId="5E8BA933">
            <w:pPr>
              <w:pStyle w:val="59"/>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snapToGrid w:val="0"/>
                <w:color w:val="auto"/>
                <w:sz w:val="21"/>
                <w:szCs w:val="21"/>
                <w:lang w:val="en-US" w:eastAsia="zh-CN"/>
              </w:rPr>
            </w:pPr>
          </w:p>
        </w:tc>
        <w:tc>
          <w:tcPr>
            <w:tcW w:w="1959" w:type="dxa"/>
            <w:noWrap w:val="0"/>
            <w:vAlign w:val="center"/>
          </w:tcPr>
          <w:p w14:paraId="0693C6DF">
            <w:pPr>
              <w:pStyle w:val="59"/>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0.864</w:t>
            </w:r>
          </w:p>
        </w:tc>
        <w:tc>
          <w:tcPr>
            <w:tcW w:w="826" w:type="dxa"/>
            <w:noWrap w:val="0"/>
            <w:vAlign w:val="center"/>
          </w:tcPr>
          <w:p w14:paraId="641F40BF">
            <w:pPr>
              <w:pStyle w:val="59"/>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0.864</w:t>
            </w:r>
          </w:p>
        </w:tc>
      </w:tr>
      <w:tr w14:paraId="59C331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restart"/>
            <w:noWrap w:val="0"/>
            <w:vAlign w:val="center"/>
          </w:tcPr>
          <w:p w14:paraId="1A8DBBA7">
            <w:pPr>
              <w:pStyle w:val="5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textAlignment w:val="auto"/>
              <w:rPr>
                <w:rFonts w:hint="eastAsia" w:ascii="宋体" w:hAnsi="宋体" w:eastAsia="宋体" w:cs="宋体"/>
                <w:snapToGrid w:val="0"/>
                <w:color w:val="auto"/>
                <w:kern w:val="21"/>
                <w:szCs w:val="21"/>
              </w:rPr>
            </w:pPr>
            <w:r>
              <w:rPr>
                <w:rFonts w:hint="eastAsia" w:ascii="宋体" w:hAnsi="宋体" w:eastAsia="宋体" w:cs="宋体"/>
                <w:snapToGrid w:val="0"/>
                <w:color w:val="auto"/>
                <w:kern w:val="21"/>
                <w:szCs w:val="21"/>
              </w:rPr>
              <w:t>危险废物</w:t>
            </w:r>
          </w:p>
        </w:tc>
        <w:tc>
          <w:tcPr>
            <w:tcW w:w="1417" w:type="dxa"/>
            <w:noWrap w:val="0"/>
            <w:vAlign w:val="center"/>
          </w:tcPr>
          <w:p w14:paraId="79096ABA">
            <w:pPr>
              <w:jc w:val="center"/>
              <w:rPr>
                <w:rFonts w:hint="default" w:ascii="宋体" w:hAnsi="宋体" w:eastAsia="宋体" w:cs="宋体"/>
                <w:snapToGrid w:val="0"/>
                <w:color w:val="auto"/>
                <w:kern w:val="21"/>
                <w:szCs w:val="21"/>
                <w:lang w:val="en-US" w:eastAsia="zh-CN"/>
              </w:rPr>
            </w:pPr>
            <w:r>
              <w:rPr>
                <w:rFonts w:hint="eastAsia"/>
                <w:color w:val="auto"/>
                <w:lang w:val="en-US" w:eastAsia="zh-CN"/>
              </w:rPr>
              <w:t>废机油及废油桶</w:t>
            </w:r>
          </w:p>
        </w:tc>
        <w:tc>
          <w:tcPr>
            <w:tcW w:w="1701" w:type="dxa"/>
            <w:noWrap w:val="0"/>
            <w:vAlign w:val="center"/>
          </w:tcPr>
          <w:p w14:paraId="387FA921">
            <w:pPr>
              <w:pStyle w:val="59"/>
              <w:keepNext w:val="0"/>
              <w:keepLines w:val="0"/>
              <w:suppressLineNumbers w:val="0"/>
              <w:spacing w:before="0" w:beforeAutospacing="0" w:after="0" w:afterAutospacing="0"/>
              <w:ind w:left="0" w:leftChars="0" w:right="0" w:rightChars="0"/>
              <w:jc w:val="center"/>
              <w:rPr>
                <w:rFonts w:hint="eastAsia" w:ascii="宋体" w:hAnsi="宋体" w:eastAsia="宋体" w:cs="宋体"/>
                <w:snapToGrid w:val="0"/>
                <w:color w:val="auto"/>
                <w:kern w:val="21"/>
                <w:sz w:val="20"/>
                <w:szCs w:val="21"/>
                <w:lang w:val="en-US" w:eastAsia="zh-CN" w:bidi="ar-SA"/>
              </w:rPr>
            </w:pPr>
          </w:p>
        </w:tc>
        <w:tc>
          <w:tcPr>
            <w:tcW w:w="1276" w:type="dxa"/>
            <w:noWrap w:val="0"/>
            <w:vAlign w:val="center"/>
          </w:tcPr>
          <w:p w14:paraId="141D6948">
            <w:pPr>
              <w:pStyle w:val="5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textAlignment w:val="auto"/>
              <w:rPr>
                <w:rFonts w:hint="eastAsia" w:ascii="宋体" w:hAnsi="宋体" w:eastAsia="宋体" w:cs="宋体"/>
                <w:snapToGrid w:val="0"/>
                <w:color w:val="auto"/>
                <w:kern w:val="21"/>
                <w:sz w:val="20"/>
                <w:szCs w:val="21"/>
                <w:lang w:val="en-US" w:eastAsia="zh-CN" w:bidi="ar-SA"/>
              </w:rPr>
            </w:pPr>
          </w:p>
        </w:tc>
        <w:tc>
          <w:tcPr>
            <w:tcW w:w="1701" w:type="dxa"/>
            <w:noWrap w:val="0"/>
            <w:vAlign w:val="center"/>
          </w:tcPr>
          <w:p w14:paraId="7F1046FA">
            <w:pPr>
              <w:pStyle w:val="5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textAlignment w:val="auto"/>
              <w:rPr>
                <w:rFonts w:hint="eastAsia" w:ascii="宋体" w:hAnsi="宋体" w:eastAsia="宋体" w:cs="宋体"/>
                <w:snapToGrid w:val="0"/>
                <w:color w:val="auto"/>
                <w:kern w:val="21"/>
                <w:sz w:val="20"/>
                <w:szCs w:val="21"/>
                <w:lang w:val="en-US" w:eastAsia="zh-CN" w:bidi="ar-SA"/>
              </w:rPr>
            </w:pPr>
          </w:p>
        </w:tc>
        <w:tc>
          <w:tcPr>
            <w:tcW w:w="1559" w:type="dxa"/>
            <w:noWrap w:val="0"/>
            <w:vAlign w:val="center"/>
          </w:tcPr>
          <w:p w14:paraId="3AB4AB5A">
            <w:pPr>
              <w:pStyle w:val="59"/>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0.0</w:t>
            </w:r>
            <w:r>
              <w:rPr>
                <w:rFonts w:hint="eastAsia" w:ascii="Times New Roman" w:hAnsi="Times New Roman" w:cs="Times New Roman"/>
                <w:snapToGrid w:val="0"/>
                <w:color w:val="auto"/>
                <w:sz w:val="21"/>
                <w:szCs w:val="21"/>
                <w:lang w:val="en-US" w:eastAsia="zh-CN"/>
              </w:rPr>
              <w:t>2</w:t>
            </w:r>
          </w:p>
        </w:tc>
        <w:tc>
          <w:tcPr>
            <w:tcW w:w="1761" w:type="dxa"/>
            <w:noWrap w:val="0"/>
            <w:vAlign w:val="center"/>
          </w:tcPr>
          <w:p w14:paraId="7CFB103A">
            <w:pPr>
              <w:pStyle w:val="59"/>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snapToGrid w:val="0"/>
                <w:color w:val="auto"/>
                <w:sz w:val="21"/>
                <w:szCs w:val="21"/>
                <w:lang w:val="en-US" w:eastAsia="zh-CN"/>
              </w:rPr>
            </w:pPr>
          </w:p>
        </w:tc>
        <w:tc>
          <w:tcPr>
            <w:tcW w:w="1959" w:type="dxa"/>
            <w:noWrap w:val="0"/>
            <w:vAlign w:val="center"/>
          </w:tcPr>
          <w:p w14:paraId="09962ADB">
            <w:pPr>
              <w:pStyle w:val="59"/>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0.0</w:t>
            </w:r>
            <w:r>
              <w:rPr>
                <w:rFonts w:hint="eastAsia" w:ascii="Times New Roman" w:hAnsi="Times New Roman" w:cs="Times New Roman"/>
                <w:snapToGrid w:val="0"/>
                <w:color w:val="auto"/>
                <w:sz w:val="21"/>
                <w:szCs w:val="21"/>
                <w:lang w:val="en-US" w:eastAsia="zh-CN"/>
              </w:rPr>
              <w:t>2</w:t>
            </w:r>
          </w:p>
        </w:tc>
        <w:tc>
          <w:tcPr>
            <w:tcW w:w="826" w:type="dxa"/>
            <w:noWrap w:val="0"/>
            <w:vAlign w:val="center"/>
          </w:tcPr>
          <w:p w14:paraId="1C2B0DB5">
            <w:pPr>
              <w:pStyle w:val="59"/>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0.0</w:t>
            </w:r>
            <w:r>
              <w:rPr>
                <w:rFonts w:hint="eastAsia" w:ascii="Times New Roman" w:hAnsi="Times New Roman" w:cs="Times New Roman"/>
                <w:snapToGrid w:val="0"/>
                <w:color w:val="auto"/>
                <w:sz w:val="21"/>
                <w:szCs w:val="21"/>
                <w:lang w:val="en-US" w:eastAsia="zh-CN"/>
              </w:rPr>
              <w:t>2</w:t>
            </w:r>
          </w:p>
        </w:tc>
      </w:tr>
      <w:tr w14:paraId="793A24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noWrap w:val="0"/>
            <w:vAlign w:val="center"/>
          </w:tcPr>
          <w:p w14:paraId="5EED9D8B">
            <w:pPr>
              <w:pStyle w:val="5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textAlignment w:val="auto"/>
              <w:rPr>
                <w:rFonts w:hint="eastAsia" w:ascii="宋体" w:hAnsi="宋体" w:eastAsia="宋体" w:cs="宋体"/>
                <w:snapToGrid w:val="0"/>
                <w:color w:val="auto"/>
                <w:kern w:val="21"/>
                <w:szCs w:val="21"/>
              </w:rPr>
            </w:pPr>
          </w:p>
        </w:tc>
        <w:tc>
          <w:tcPr>
            <w:tcW w:w="1417" w:type="dxa"/>
            <w:noWrap w:val="0"/>
            <w:vAlign w:val="center"/>
          </w:tcPr>
          <w:p w14:paraId="26B0E58F">
            <w:pPr>
              <w:jc w:val="center"/>
              <w:rPr>
                <w:rFonts w:hint="default" w:hAnsi="宋体" w:eastAsia="宋体" w:cs="宋体"/>
                <w:snapToGrid w:val="0"/>
                <w:color w:val="auto"/>
                <w:kern w:val="21"/>
                <w:szCs w:val="21"/>
                <w:lang w:val="en-US" w:eastAsia="zh-CN"/>
              </w:rPr>
            </w:pPr>
            <w:r>
              <w:rPr>
                <w:rFonts w:hint="eastAsia"/>
                <w:color w:val="auto"/>
                <w:lang w:val="en-US" w:eastAsia="zh-CN"/>
              </w:rPr>
              <w:t>废铅酸电池</w:t>
            </w:r>
          </w:p>
        </w:tc>
        <w:tc>
          <w:tcPr>
            <w:tcW w:w="1701" w:type="dxa"/>
            <w:noWrap w:val="0"/>
            <w:vAlign w:val="center"/>
          </w:tcPr>
          <w:p w14:paraId="2D9881EF">
            <w:pPr>
              <w:pStyle w:val="59"/>
              <w:keepNext w:val="0"/>
              <w:keepLines w:val="0"/>
              <w:suppressLineNumbers w:val="0"/>
              <w:spacing w:before="0" w:beforeAutospacing="0" w:after="0" w:afterAutospacing="0"/>
              <w:ind w:left="0" w:leftChars="0" w:right="0" w:rightChars="0"/>
              <w:jc w:val="center"/>
              <w:rPr>
                <w:rFonts w:hint="eastAsia" w:ascii="宋体" w:hAnsi="宋体" w:eastAsia="宋体" w:cs="宋体"/>
                <w:snapToGrid w:val="0"/>
                <w:color w:val="auto"/>
                <w:kern w:val="21"/>
                <w:sz w:val="20"/>
                <w:szCs w:val="21"/>
                <w:lang w:val="en-US" w:eastAsia="zh-CN" w:bidi="ar-SA"/>
              </w:rPr>
            </w:pPr>
          </w:p>
        </w:tc>
        <w:tc>
          <w:tcPr>
            <w:tcW w:w="1276" w:type="dxa"/>
            <w:noWrap w:val="0"/>
            <w:vAlign w:val="center"/>
          </w:tcPr>
          <w:p w14:paraId="067AF37C">
            <w:pPr>
              <w:pStyle w:val="5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textAlignment w:val="auto"/>
              <w:rPr>
                <w:rFonts w:hint="eastAsia" w:ascii="宋体" w:hAnsi="宋体" w:eastAsia="宋体" w:cs="宋体"/>
                <w:snapToGrid w:val="0"/>
                <w:color w:val="auto"/>
                <w:kern w:val="21"/>
                <w:sz w:val="20"/>
                <w:szCs w:val="21"/>
                <w:lang w:val="en-US" w:eastAsia="zh-CN" w:bidi="ar-SA"/>
              </w:rPr>
            </w:pPr>
          </w:p>
        </w:tc>
        <w:tc>
          <w:tcPr>
            <w:tcW w:w="1701" w:type="dxa"/>
            <w:noWrap w:val="0"/>
            <w:vAlign w:val="center"/>
          </w:tcPr>
          <w:p w14:paraId="6E92B9C3">
            <w:pPr>
              <w:pStyle w:val="5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textAlignment w:val="auto"/>
              <w:rPr>
                <w:rFonts w:hint="eastAsia" w:ascii="宋体" w:hAnsi="宋体" w:eastAsia="宋体" w:cs="宋体"/>
                <w:snapToGrid w:val="0"/>
                <w:color w:val="auto"/>
                <w:kern w:val="21"/>
                <w:sz w:val="20"/>
                <w:szCs w:val="21"/>
                <w:lang w:val="en-US" w:eastAsia="zh-CN" w:bidi="ar-SA"/>
              </w:rPr>
            </w:pPr>
          </w:p>
        </w:tc>
        <w:tc>
          <w:tcPr>
            <w:tcW w:w="1559" w:type="dxa"/>
            <w:noWrap w:val="0"/>
            <w:vAlign w:val="center"/>
          </w:tcPr>
          <w:p w14:paraId="3E9E5F0E">
            <w:pPr>
              <w:pStyle w:val="59"/>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0.0</w:t>
            </w:r>
            <w:r>
              <w:rPr>
                <w:rFonts w:hint="eastAsia" w:ascii="Times New Roman" w:hAnsi="Times New Roman" w:cs="Times New Roman"/>
                <w:snapToGrid w:val="0"/>
                <w:color w:val="auto"/>
                <w:sz w:val="21"/>
                <w:szCs w:val="21"/>
                <w:lang w:val="en-US" w:eastAsia="zh-CN"/>
              </w:rPr>
              <w:t>8</w:t>
            </w:r>
          </w:p>
        </w:tc>
        <w:tc>
          <w:tcPr>
            <w:tcW w:w="1761" w:type="dxa"/>
            <w:noWrap w:val="0"/>
            <w:vAlign w:val="center"/>
          </w:tcPr>
          <w:p w14:paraId="6E135912">
            <w:pPr>
              <w:pStyle w:val="59"/>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snapToGrid w:val="0"/>
                <w:color w:val="auto"/>
                <w:sz w:val="21"/>
                <w:szCs w:val="21"/>
                <w:lang w:val="en-US" w:eastAsia="zh-CN"/>
              </w:rPr>
            </w:pPr>
          </w:p>
        </w:tc>
        <w:tc>
          <w:tcPr>
            <w:tcW w:w="1959" w:type="dxa"/>
            <w:noWrap w:val="0"/>
            <w:vAlign w:val="center"/>
          </w:tcPr>
          <w:p w14:paraId="373F7347">
            <w:pPr>
              <w:pStyle w:val="59"/>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0.0</w:t>
            </w:r>
            <w:r>
              <w:rPr>
                <w:rFonts w:hint="eastAsia" w:ascii="Times New Roman" w:hAnsi="Times New Roman" w:cs="Times New Roman"/>
                <w:snapToGrid w:val="0"/>
                <w:color w:val="auto"/>
                <w:sz w:val="21"/>
                <w:szCs w:val="21"/>
                <w:lang w:val="en-US" w:eastAsia="zh-CN"/>
              </w:rPr>
              <w:t>8</w:t>
            </w:r>
          </w:p>
        </w:tc>
        <w:tc>
          <w:tcPr>
            <w:tcW w:w="826" w:type="dxa"/>
            <w:noWrap w:val="0"/>
            <w:vAlign w:val="center"/>
          </w:tcPr>
          <w:p w14:paraId="2AF5D9EC">
            <w:pPr>
              <w:pStyle w:val="59"/>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0.0</w:t>
            </w:r>
            <w:r>
              <w:rPr>
                <w:rFonts w:hint="eastAsia" w:ascii="Times New Roman" w:hAnsi="Times New Roman" w:cs="Times New Roman"/>
                <w:snapToGrid w:val="0"/>
                <w:color w:val="auto"/>
                <w:sz w:val="21"/>
                <w:szCs w:val="21"/>
                <w:lang w:val="en-US" w:eastAsia="zh-CN"/>
              </w:rPr>
              <w:t>8</w:t>
            </w:r>
          </w:p>
        </w:tc>
      </w:tr>
      <w:tr w14:paraId="34D12F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noWrap w:val="0"/>
            <w:vAlign w:val="center"/>
          </w:tcPr>
          <w:p w14:paraId="0B9C73A7">
            <w:pPr>
              <w:pStyle w:val="5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textAlignment w:val="auto"/>
              <w:rPr>
                <w:rFonts w:hint="eastAsia" w:ascii="宋体" w:hAnsi="宋体" w:eastAsia="宋体" w:cs="宋体"/>
                <w:snapToGrid w:val="0"/>
                <w:color w:val="auto"/>
                <w:kern w:val="21"/>
                <w:szCs w:val="21"/>
              </w:rPr>
            </w:pPr>
          </w:p>
        </w:tc>
        <w:tc>
          <w:tcPr>
            <w:tcW w:w="1417" w:type="dxa"/>
            <w:noWrap w:val="0"/>
            <w:vAlign w:val="center"/>
          </w:tcPr>
          <w:p w14:paraId="3AF2DBD5">
            <w:pPr>
              <w:jc w:val="center"/>
              <w:rPr>
                <w:rFonts w:hint="default"/>
                <w:color w:val="auto"/>
                <w:lang w:val="en-US" w:eastAsia="zh-CN"/>
              </w:rPr>
            </w:pPr>
            <w:r>
              <w:rPr>
                <w:rFonts w:hint="eastAsia" w:ascii="宋体" w:hAnsi="宋体"/>
                <w:bCs/>
                <w:color w:val="auto"/>
                <w:szCs w:val="21"/>
                <w:lang w:val="en-US" w:eastAsia="zh-CN"/>
              </w:rPr>
              <w:t>含油抹布手套</w:t>
            </w:r>
          </w:p>
        </w:tc>
        <w:tc>
          <w:tcPr>
            <w:tcW w:w="1701" w:type="dxa"/>
            <w:noWrap w:val="0"/>
            <w:vAlign w:val="center"/>
          </w:tcPr>
          <w:p w14:paraId="3E9DBDD0">
            <w:pPr>
              <w:pStyle w:val="59"/>
              <w:keepNext w:val="0"/>
              <w:keepLines w:val="0"/>
              <w:suppressLineNumbers w:val="0"/>
              <w:spacing w:before="0" w:beforeAutospacing="0" w:after="0" w:afterAutospacing="0"/>
              <w:ind w:left="0" w:leftChars="0" w:right="0" w:rightChars="0"/>
              <w:jc w:val="center"/>
              <w:rPr>
                <w:rFonts w:hint="eastAsia"/>
                <w:color w:val="auto"/>
                <w:lang w:val="en-US" w:eastAsia="zh-CN"/>
              </w:rPr>
            </w:pPr>
          </w:p>
        </w:tc>
        <w:tc>
          <w:tcPr>
            <w:tcW w:w="1276" w:type="dxa"/>
            <w:noWrap w:val="0"/>
            <w:vAlign w:val="center"/>
          </w:tcPr>
          <w:p w14:paraId="13F3AFDE">
            <w:pPr>
              <w:pStyle w:val="5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textAlignment w:val="auto"/>
              <w:rPr>
                <w:rFonts w:hint="eastAsia" w:ascii="宋体" w:hAnsi="宋体" w:eastAsia="宋体" w:cs="宋体"/>
                <w:snapToGrid w:val="0"/>
                <w:color w:val="auto"/>
                <w:kern w:val="21"/>
                <w:sz w:val="20"/>
                <w:szCs w:val="21"/>
                <w:lang w:val="en-US" w:eastAsia="zh-CN" w:bidi="ar-SA"/>
              </w:rPr>
            </w:pPr>
          </w:p>
        </w:tc>
        <w:tc>
          <w:tcPr>
            <w:tcW w:w="1701" w:type="dxa"/>
            <w:noWrap w:val="0"/>
            <w:vAlign w:val="center"/>
          </w:tcPr>
          <w:p w14:paraId="3732FDC1">
            <w:pPr>
              <w:pStyle w:val="5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textAlignment w:val="auto"/>
              <w:rPr>
                <w:rFonts w:hint="eastAsia" w:ascii="宋体" w:hAnsi="宋体" w:eastAsia="宋体" w:cs="宋体"/>
                <w:snapToGrid w:val="0"/>
                <w:color w:val="auto"/>
                <w:kern w:val="21"/>
                <w:sz w:val="20"/>
                <w:szCs w:val="21"/>
                <w:lang w:val="en-US" w:eastAsia="zh-CN" w:bidi="ar-SA"/>
              </w:rPr>
            </w:pPr>
          </w:p>
        </w:tc>
        <w:tc>
          <w:tcPr>
            <w:tcW w:w="1559" w:type="dxa"/>
            <w:noWrap w:val="0"/>
            <w:vAlign w:val="center"/>
          </w:tcPr>
          <w:p w14:paraId="5357A27E">
            <w:pPr>
              <w:pStyle w:val="59"/>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0.01</w:t>
            </w:r>
          </w:p>
        </w:tc>
        <w:tc>
          <w:tcPr>
            <w:tcW w:w="1761" w:type="dxa"/>
            <w:noWrap w:val="0"/>
            <w:vAlign w:val="center"/>
          </w:tcPr>
          <w:p w14:paraId="1258FF2B">
            <w:pPr>
              <w:pStyle w:val="59"/>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snapToGrid w:val="0"/>
                <w:color w:val="auto"/>
                <w:sz w:val="21"/>
                <w:szCs w:val="21"/>
                <w:lang w:val="en-US" w:eastAsia="zh-CN"/>
              </w:rPr>
            </w:pPr>
          </w:p>
        </w:tc>
        <w:tc>
          <w:tcPr>
            <w:tcW w:w="1959" w:type="dxa"/>
            <w:noWrap w:val="0"/>
            <w:vAlign w:val="center"/>
          </w:tcPr>
          <w:p w14:paraId="2BABB786">
            <w:pPr>
              <w:pStyle w:val="59"/>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0.01</w:t>
            </w:r>
          </w:p>
        </w:tc>
        <w:tc>
          <w:tcPr>
            <w:tcW w:w="826" w:type="dxa"/>
            <w:noWrap w:val="0"/>
            <w:vAlign w:val="center"/>
          </w:tcPr>
          <w:p w14:paraId="6D480C96">
            <w:pPr>
              <w:pStyle w:val="59"/>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0.01</w:t>
            </w:r>
          </w:p>
        </w:tc>
      </w:tr>
    </w:tbl>
    <w:p w14:paraId="1DFBFA98">
      <w:pPr>
        <w:pStyle w:val="54"/>
        <w:spacing w:before="192" w:beforeLines="80" w:after="24"/>
        <w:jc w:val="left"/>
        <w:rPr>
          <w:rFonts w:hint="eastAsia"/>
          <w:color w:val="auto"/>
        </w:rPr>
        <w:sectPr>
          <w:footerReference r:id="rId6" w:type="default"/>
          <w:pgSz w:w="16838" w:h="11905" w:orient="landscape"/>
          <w:pgMar w:top="1531" w:right="1701" w:bottom="1531" w:left="1701" w:header="851" w:footer="1077" w:gutter="0"/>
          <w:pgBorders>
            <w:top w:val="none" w:sz="0" w:space="0"/>
            <w:left w:val="none" w:sz="0" w:space="0"/>
            <w:bottom w:val="none" w:sz="0" w:space="0"/>
            <w:right w:val="none" w:sz="0" w:space="0"/>
          </w:pgBorders>
          <w:pgNumType w:fmt="decimal"/>
          <w:cols w:space="0" w:num="1"/>
          <w:rtlGutter w:val="0"/>
          <w:docGrid w:linePitch="312" w:charSpace="0"/>
        </w:sectPr>
      </w:pPr>
      <w:r>
        <w:rPr>
          <w:rFonts w:hAnsi="宋体"/>
          <w:snapToGrid w:val="0"/>
          <w:color w:val="auto"/>
          <w:kern w:val="21"/>
          <w:szCs w:val="21"/>
        </w:rPr>
        <w:t>注：</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3 \* GB3 \* MERGEFORMAT </w:instrText>
      </w:r>
      <w:r>
        <w:rPr>
          <w:rFonts w:hAnsi="宋体"/>
          <w:snapToGrid w:val="0"/>
          <w:color w:val="auto"/>
          <w:spacing w:val="-6"/>
          <w:kern w:val="21"/>
          <w:szCs w:val="21"/>
        </w:rPr>
        <w:fldChar w:fldCharType="separate"/>
      </w:r>
      <w:r>
        <w:rPr>
          <w:rFonts w:hint="eastAsia" w:hAnsi="宋体"/>
          <w:color w:val="auto"/>
          <w:szCs w:val="21"/>
        </w:rPr>
        <w:t>③</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4 \* GB3 \* MERGEFORMAT </w:instrText>
      </w:r>
      <w:r>
        <w:rPr>
          <w:rFonts w:hAnsi="宋体"/>
          <w:snapToGrid w:val="0"/>
          <w:color w:val="auto"/>
          <w:spacing w:val="-6"/>
          <w:kern w:val="21"/>
          <w:szCs w:val="21"/>
        </w:rPr>
        <w:fldChar w:fldCharType="separate"/>
      </w:r>
      <w:r>
        <w:rPr>
          <w:rFonts w:hint="eastAsia" w:hAnsi="宋体"/>
          <w:color w:val="auto"/>
          <w:szCs w:val="21"/>
        </w:rPr>
        <w:t>④</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5 \* GB3 \* MERGEFORMAT </w:instrText>
      </w:r>
      <w:r>
        <w:rPr>
          <w:rFonts w:hAnsi="宋体"/>
          <w:snapToGrid w:val="0"/>
          <w:color w:val="auto"/>
          <w:spacing w:val="-16"/>
          <w:kern w:val="21"/>
          <w:szCs w:val="21"/>
        </w:rPr>
        <w:fldChar w:fldCharType="separate"/>
      </w:r>
      <w:r>
        <w:rPr>
          <w:rFonts w:hint="eastAsia" w:hAnsi="宋体"/>
          <w:color w:val="auto"/>
          <w:szCs w:val="21"/>
        </w:rPr>
        <w:t>⑤</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7 \* GB3 \* MERGEFORMAT </w:instrText>
      </w:r>
      <w:r>
        <w:rPr>
          <w:rFonts w:hAnsi="宋体"/>
          <w:snapToGrid w:val="0"/>
          <w:color w:val="auto"/>
          <w:spacing w:val="-6"/>
          <w:kern w:val="21"/>
          <w:szCs w:val="21"/>
        </w:rPr>
        <w:fldChar w:fldCharType="separate"/>
      </w:r>
      <w:r>
        <w:rPr>
          <w:rFonts w:hint="eastAsia" w:hAnsi="宋体"/>
          <w:color w:val="auto"/>
          <w:szCs w:val="21"/>
        </w:rPr>
        <w:t>⑦</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p>
    <w:p w14:paraId="05BE3479">
      <w:pPr>
        <w:bidi w:val="0"/>
        <w:rPr>
          <w:color w:val="auto"/>
        </w:rPr>
      </w:pPr>
    </w:p>
    <w:sectPr>
      <w:footerReference r:id="rId7" w:type="default"/>
      <w:pgSz w:w="16838" w:h="11905" w:orient="landscape"/>
      <w:pgMar w:top="1531" w:right="1701" w:bottom="1531" w:left="1701" w:header="851" w:footer="1077" w:gutter="0"/>
      <w:pgBorders>
        <w:top w:val="none" w:sz="0" w:space="0"/>
        <w:left w:val="none" w:sz="0" w:space="0"/>
        <w:bottom w:val="none" w:sz="0" w:space="0"/>
        <w:right w:val="none" w:sz="0" w:space="0"/>
      </w:pgBorders>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BE434A1-5FD4-459B-909D-94ED70AED28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embedRegular r:id="rId2" w:fontKey="{2FD65E8D-71B7-4219-B4F4-7F854E5356DC}"/>
  </w:font>
  <w:font w:name="仿宋">
    <w:panose1 w:val="02010609060101010101"/>
    <w:charset w:val="86"/>
    <w:family w:val="auto"/>
    <w:pitch w:val="default"/>
    <w:sig w:usb0="800002BF" w:usb1="38CF7CFA" w:usb2="00000016" w:usb3="00000000" w:csb0="00040001" w:csb1="00000000"/>
    <w:embedRegular r:id="rId3" w:fontKey="{9526A243-D73D-4271-B9C1-37053E113CE6}"/>
  </w:font>
  <w:font w:name="Cambria">
    <w:panose1 w:val="02040503050406030204"/>
    <w:charset w:val="00"/>
    <w:family w:val="roman"/>
    <w:pitch w:val="default"/>
    <w:sig w:usb0="E00006FF" w:usb1="420024FF" w:usb2="02000000" w:usb3="00000000" w:csb0="2000019F" w:csb1="00000000"/>
  </w:font>
  <w:font w:name="FangSong_GB2312">
    <w:altName w:val="仿宋"/>
    <w:panose1 w:val="02010609060101010101"/>
    <w:charset w:val="86"/>
    <w:family w:val="modern"/>
    <w:pitch w:val="default"/>
    <w:sig w:usb0="00000000" w:usb1="00000000" w:usb2="00000016" w:usb3="00000000" w:csb0="00040001" w:csb1="00000000"/>
  </w:font>
  <w:font w:name="方正仿宋简体">
    <w:altName w:val="微软雅黑"/>
    <w:panose1 w:val="0201060103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TimesNewRoman">
    <w:altName w:val="Times New Roman"/>
    <w:panose1 w:val="00000000000000000000"/>
    <w:charset w:val="00"/>
    <w:family w:val="roman"/>
    <w:pitch w:val="default"/>
    <w:sig w:usb0="00000000" w:usb1="00000000" w:usb2="00000000" w:usb3="00000000" w:csb0="00000001" w:csb1="00000000"/>
  </w:font>
  <w:font w:name="方正小标宋_GBK">
    <w:panose1 w:val="02000000000000000000"/>
    <w:charset w:val="86"/>
    <w:family w:val="script"/>
    <w:pitch w:val="default"/>
    <w:sig w:usb0="A00002BF" w:usb1="38CF7CFA" w:usb2="00082016" w:usb3="00000000" w:csb0="00040001" w:csb1="00000000"/>
    <w:embedRegular r:id="rId4" w:fontKey="{7D582610-1160-4AAC-AFFB-7B5C8FB01FF4}"/>
  </w:font>
  <w:font w:name="楷体_GB2312">
    <w:altName w:val="楷体"/>
    <w:panose1 w:val="02010609030101010101"/>
    <w:charset w:val="86"/>
    <w:family w:val="modern"/>
    <w:pitch w:val="default"/>
    <w:sig w:usb0="00000000" w:usb1="00000000" w:usb2="00000010" w:usb3="00000000" w:csb0="00040000" w:csb1="00000000"/>
    <w:embedRegular r:id="rId5" w:fontKey="{7E4736E0-7AAA-429D-A68B-4C87080EDE71}"/>
  </w:font>
  <w:font w:name="楷体">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embedRegular r:id="rId6" w:fontKey="{8B3BB274-CEC7-422E-A540-74B18BD46C49}"/>
  </w:font>
  <w:font w:name="华文宋体">
    <w:altName w:val="宋体"/>
    <w:panose1 w:val="00000000000000000000"/>
    <w:charset w:val="00"/>
    <w:family w:val="auto"/>
    <w:pitch w:val="default"/>
    <w:sig w:usb0="00000000" w:usb1="00000000" w:usb2="00000000" w:usb3="00000000" w:csb0="00040001" w:csb1="00000000"/>
    <w:embedRegular r:id="rId7" w:fontKey="{70D6546B-3DFD-4128-9BDB-5CAC4B6A8E13}"/>
  </w:font>
  <w:font w:name="Helvetica">
    <w:altName w:val="Arial"/>
    <w:panose1 w:val="00000000000000000000"/>
    <w:charset w:val="00"/>
    <w:family w:val="roman"/>
    <w:pitch w:val="default"/>
    <w:sig w:usb0="00000000" w:usb1="00000000" w:usb2="00000000" w:usb3="00000000" w:csb0="00000001" w:csb1="00000000"/>
    <w:embedRegular r:id="rId8" w:fontKey="{9EC1E5C3-F041-4792-8F75-F297D487FE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89D369">
    <w:pPr>
      <w:pStyle w:val="21"/>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215FF7">
    <w:pPr>
      <w:pStyle w:val="21"/>
      <w:framePr w:wrap="around" w:vAnchor="text" w:hAnchor="margin" w:xAlign="center" w:y="1"/>
      <w:rPr>
        <w:rStyle w:val="33"/>
      </w:rPr>
    </w:pPr>
    <w:r>
      <w:fldChar w:fldCharType="begin"/>
    </w:r>
    <w:r>
      <w:rPr>
        <w:rStyle w:val="33"/>
      </w:rPr>
      <w:instrText xml:space="preserve">PAGE  </w:instrText>
    </w:r>
    <w:r>
      <w:fldChar w:fldCharType="end"/>
    </w:r>
  </w:p>
  <w:p w14:paraId="64B2DF54">
    <w:pPr>
      <w:pStyle w:val="21"/>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2BFCDC">
    <w:pPr>
      <w:pStyle w:val="21"/>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121286">
                          <w:pPr>
                            <w:pStyle w:val="21"/>
                            <w:rPr>
                              <w:rStyle w:val="33"/>
                              <w:rFonts w:ascii="宋体" w:hAnsi="宋体"/>
                              <w:sz w:val="28"/>
                              <w:szCs w:val="28"/>
                            </w:rPr>
                          </w:pPr>
                          <w:r>
                            <w:rPr>
                              <w:rStyle w:val="33"/>
                              <w:rFonts w:hint="eastAsia" w:ascii="宋体" w:hAnsi="宋体"/>
                              <w:sz w:val="28"/>
                              <w:szCs w:val="28"/>
                            </w:rPr>
                            <w:t>—</w:t>
                          </w:r>
                          <w:r>
                            <w:rPr>
                              <w:rStyle w:val="33"/>
                              <w:rFonts w:hint="eastAsia" w:ascii="宋体" w:hAnsi="宋体"/>
                              <w:sz w:val="20"/>
                            </w:rPr>
                            <w:t xml:space="preserve">  </w:t>
                          </w:r>
                          <w:r>
                            <w:rPr>
                              <w:rFonts w:ascii="宋体" w:hAnsi="宋体"/>
                              <w:sz w:val="26"/>
                              <w:szCs w:val="26"/>
                            </w:rPr>
                            <w:fldChar w:fldCharType="begin"/>
                          </w:r>
                          <w:r>
                            <w:rPr>
                              <w:rStyle w:val="33"/>
                              <w:rFonts w:ascii="宋体" w:hAnsi="宋体"/>
                              <w:sz w:val="26"/>
                              <w:szCs w:val="26"/>
                            </w:rPr>
                            <w:instrText xml:space="preserve">PAGE  </w:instrText>
                          </w:r>
                          <w:r>
                            <w:rPr>
                              <w:rFonts w:ascii="宋体" w:hAnsi="宋体"/>
                              <w:sz w:val="26"/>
                              <w:szCs w:val="26"/>
                            </w:rPr>
                            <w:fldChar w:fldCharType="separate"/>
                          </w:r>
                          <w:r>
                            <w:rPr>
                              <w:rStyle w:val="33"/>
                              <w:rFonts w:ascii="宋体" w:hAnsi="宋体"/>
                              <w:sz w:val="26"/>
                              <w:szCs w:val="26"/>
                            </w:rPr>
                            <w:t>9</w:t>
                          </w:r>
                          <w:r>
                            <w:rPr>
                              <w:rFonts w:ascii="宋体" w:hAnsi="宋体"/>
                              <w:sz w:val="26"/>
                              <w:szCs w:val="26"/>
                            </w:rPr>
                            <w:fldChar w:fldCharType="end"/>
                          </w:r>
                          <w:r>
                            <w:rPr>
                              <w:rStyle w:val="33"/>
                              <w:rFonts w:hint="eastAsia" w:ascii="宋体" w:hAnsi="宋体"/>
                              <w:sz w:val="20"/>
                            </w:rPr>
                            <w:t xml:space="preserve">  </w:t>
                          </w:r>
                          <w:r>
                            <w:rPr>
                              <w:rStyle w:val="33"/>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5A121286">
                    <w:pPr>
                      <w:pStyle w:val="21"/>
                      <w:rPr>
                        <w:rStyle w:val="33"/>
                        <w:rFonts w:ascii="宋体" w:hAnsi="宋体"/>
                        <w:sz w:val="28"/>
                        <w:szCs w:val="28"/>
                      </w:rPr>
                    </w:pPr>
                    <w:r>
                      <w:rPr>
                        <w:rStyle w:val="33"/>
                        <w:rFonts w:hint="eastAsia" w:ascii="宋体" w:hAnsi="宋体"/>
                        <w:sz w:val="28"/>
                        <w:szCs w:val="28"/>
                      </w:rPr>
                      <w:t>—</w:t>
                    </w:r>
                    <w:r>
                      <w:rPr>
                        <w:rStyle w:val="33"/>
                        <w:rFonts w:hint="eastAsia" w:ascii="宋体" w:hAnsi="宋体"/>
                        <w:sz w:val="20"/>
                      </w:rPr>
                      <w:t xml:space="preserve">  </w:t>
                    </w:r>
                    <w:r>
                      <w:rPr>
                        <w:rFonts w:ascii="宋体" w:hAnsi="宋体"/>
                        <w:sz w:val="26"/>
                        <w:szCs w:val="26"/>
                      </w:rPr>
                      <w:fldChar w:fldCharType="begin"/>
                    </w:r>
                    <w:r>
                      <w:rPr>
                        <w:rStyle w:val="33"/>
                        <w:rFonts w:ascii="宋体" w:hAnsi="宋体"/>
                        <w:sz w:val="26"/>
                        <w:szCs w:val="26"/>
                      </w:rPr>
                      <w:instrText xml:space="preserve">PAGE  </w:instrText>
                    </w:r>
                    <w:r>
                      <w:rPr>
                        <w:rFonts w:ascii="宋体" w:hAnsi="宋体"/>
                        <w:sz w:val="26"/>
                        <w:szCs w:val="26"/>
                      </w:rPr>
                      <w:fldChar w:fldCharType="separate"/>
                    </w:r>
                    <w:r>
                      <w:rPr>
                        <w:rStyle w:val="33"/>
                        <w:rFonts w:ascii="宋体" w:hAnsi="宋体"/>
                        <w:sz w:val="26"/>
                        <w:szCs w:val="26"/>
                      </w:rPr>
                      <w:t>9</w:t>
                    </w:r>
                    <w:r>
                      <w:rPr>
                        <w:rFonts w:ascii="宋体" w:hAnsi="宋体"/>
                        <w:sz w:val="26"/>
                        <w:szCs w:val="26"/>
                      </w:rPr>
                      <w:fldChar w:fldCharType="end"/>
                    </w:r>
                    <w:r>
                      <w:rPr>
                        <w:rStyle w:val="33"/>
                        <w:rFonts w:hint="eastAsia" w:ascii="宋体" w:hAnsi="宋体"/>
                        <w:sz w:val="20"/>
                      </w:rPr>
                      <w:t xml:space="preserve">  </w:t>
                    </w:r>
                    <w:r>
                      <w:rPr>
                        <w:rStyle w:val="33"/>
                        <w:rFonts w:hint="eastAsia" w:ascii="宋体" w:hAnsi="宋体"/>
                        <w:sz w:val="28"/>
                        <w:szCs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4D6DE6">
    <w:pPr>
      <w:pStyle w:val="21"/>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446121">
                          <w:pPr>
                            <w:pStyle w:val="21"/>
                            <w:rPr>
                              <w:rStyle w:val="33"/>
                              <w:rFonts w:ascii="宋体" w:hAnsi="宋体"/>
                              <w:sz w:val="28"/>
                              <w:szCs w:val="28"/>
                            </w:rPr>
                          </w:pPr>
                          <w:r>
                            <w:rPr>
                              <w:rStyle w:val="33"/>
                              <w:rFonts w:hint="eastAsia" w:ascii="宋体" w:hAnsi="宋体"/>
                              <w:sz w:val="28"/>
                              <w:szCs w:val="28"/>
                            </w:rPr>
                            <w:t>—</w:t>
                          </w:r>
                          <w:r>
                            <w:rPr>
                              <w:rStyle w:val="33"/>
                              <w:rFonts w:hint="eastAsia" w:ascii="宋体" w:hAnsi="宋体"/>
                              <w:sz w:val="20"/>
                            </w:rPr>
                            <w:t xml:space="preserve">  </w:t>
                          </w:r>
                          <w:r>
                            <w:rPr>
                              <w:rFonts w:ascii="宋体" w:hAnsi="宋体"/>
                              <w:sz w:val="26"/>
                              <w:szCs w:val="26"/>
                            </w:rPr>
                            <w:fldChar w:fldCharType="begin"/>
                          </w:r>
                          <w:r>
                            <w:rPr>
                              <w:rStyle w:val="33"/>
                              <w:rFonts w:ascii="宋体" w:hAnsi="宋体"/>
                              <w:sz w:val="26"/>
                              <w:szCs w:val="26"/>
                            </w:rPr>
                            <w:instrText xml:space="preserve">PAGE  </w:instrText>
                          </w:r>
                          <w:r>
                            <w:rPr>
                              <w:rFonts w:ascii="宋体" w:hAnsi="宋体"/>
                              <w:sz w:val="26"/>
                              <w:szCs w:val="26"/>
                            </w:rPr>
                            <w:fldChar w:fldCharType="separate"/>
                          </w:r>
                          <w:r>
                            <w:rPr>
                              <w:rStyle w:val="33"/>
                              <w:rFonts w:ascii="宋体" w:hAnsi="宋体"/>
                              <w:sz w:val="26"/>
                              <w:szCs w:val="26"/>
                            </w:rPr>
                            <w:t>10</w:t>
                          </w:r>
                          <w:r>
                            <w:rPr>
                              <w:rFonts w:ascii="宋体" w:hAnsi="宋体"/>
                              <w:sz w:val="26"/>
                              <w:szCs w:val="26"/>
                            </w:rPr>
                            <w:fldChar w:fldCharType="end"/>
                          </w:r>
                          <w:r>
                            <w:rPr>
                              <w:rStyle w:val="33"/>
                              <w:rFonts w:hint="eastAsia" w:ascii="宋体" w:hAnsi="宋体"/>
                              <w:sz w:val="20"/>
                            </w:rPr>
                            <w:t xml:space="preserve">  </w:t>
                          </w:r>
                          <w:r>
                            <w:rPr>
                              <w:rStyle w:val="33"/>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47446121">
                    <w:pPr>
                      <w:pStyle w:val="21"/>
                      <w:rPr>
                        <w:rStyle w:val="33"/>
                        <w:rFonts w:ascii="宋体" w:hAnsi="宋体"/>
                        <w:sz w:val="28"/>
                        <w:szCs w:val="28"/>
                      </w:rPr>
                    </w:pPr>
                    <w:r>
                      <w:rPr>
                        <w:rStyle w:val="33"/>
                        <w:rFonts w:hint="eastAsia" w:ascii="宋体" w:hAnsi="宋体"/>
                        <w:sz w:val="28"/>
                        <w:szCs w:val="28"/>
                      </w:rPr>
                      <w:t>—</w:t>
                    </w:r>
                    <w:r>
                      <w:rPr>
                        <w:rStyle w:val="33"/>
                        <w:rFonts w:hint="eastAsia" w:ascii="宋体" w:hAnsi="宋体"/>
                        <w:sz w:val="20"/>
                      </w:rPr>
                      <w:t xml:space="preserve">  </w:t>
                    </w:r>
                    <w:r>
                      <w:rPr>
                        <w:rFonts w:ascii="宋体" w:hAnsi="宋体"/>
                        <w:sz w:val="26"/>
                        <w:szCs w:val="26"/>
                      </w:rPr>
                      <w:fldChar w:fldCharType="begin"/>
                    </w:r>
                    <w:r>
                      <w:rPr>
                        <w:rStyle w:val="33"/>
                        <w:rFonts w:ascii="宋体" w:hAnsi="宋体"/>
                        <w:sz w:val="26"/>
                        <w:szCs w:val="26"/>
                      </w:rPr>
                      <w:instrText xml:space="preserve">PAGE  </w:instrText>
                    </w:r>
                    <w:r>
                      <w:rPr>
                        <w:rFonts w:ascii="宋体" w:hAnsi="宋体"/>
                        <w:sz w:val="26"/>
                        <w:szCs w:val="26"/>
                      </w:rPr>
                      <w:fldChar w:fldCharType="separate"/>
                    </w:r>
                    <w:r>
                      <w:rPr>
                        <w:rStyle w:val="33"/>
                        <w:rFonts w:ascii="宋体" w:hAnsi="宋体"/>
                        <w:sz w:val="26"/>
                        <w:szCs w:val="26"/>
                      </w:rPr>
                      <w:t>10</w:t>
                    </w:r>
                    <w:r>
                      <w:rPr>
                        <w:rFonts w:ascii="宋体" w:hAnsi="宋体"/>
                        <w:sz w:val="26"/>
                        <w:szCs w:val="26"/>
                      </w:rPr>
                      <w:fldChar w:fldCharType="end"/>
                    </w:r>
                    <w:r>
                      <w:rPr>
                        <w:rStyle w:val="33"/>
                        <w:rFonts w:hint="eastAsia" w:ascii="宋体" w:hAnsi="宋体"/>
                        <w:sz w:val="20"/>
                      </w:rPr>
                      <w:t xml:space="preserve">  </w:t>
                    </w:r>
                    <w:r>
                      <w:rPr>
                        <w:rStyle w:val="33"/>
                        <w:rFonts w:hint="eastAsia" w:ascii="宋体" w:hAnsi="宋体"/>
                        <w:sz w:val="28"/>
                        <w:szCs w:val="28"/>
                      </w:rPr>
                      <w:t>—</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9D7BF4">
    <w:pPr>
      <w:pStyle w:val="21"/>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16107A">
                          <w:pPr>
                            <w:pStyle w:val="21"/>
                            <w:rPr>
                              <w:rStyle w:val="33"/>
                              <w:rFonts w:ascii="宋体" w:hAnsi="宋体"/>
                              <w:sz w:val="28"/>
                              <w:szCs w:val="28"/>
                            </w:rPr>
                          </w:pPr>
                          <w:r>
                            <w:rPr>
                              <w:rStyle w:val="33"/>
                              <w:rFonts w:hint="eastAsia" w:ascii="宋体" w:hAnsi="宋体"/>
                              <w:sz w:val="28"/>
                              <w:szCs w:val="28"/>
                            </w:rPr>
                            <w:t>—</w:t>
                          </w:r>
                          <w:r>
                            <w:rPr>
                              <w:rStyle w:val="33"/>
                              <w:rFonts w:hint="eastAsia" w:ascii="宋体" w:hAnsi="宋体"/>
                              <w:sz w:val="20"/>
                            </w:rPr>
                            <w:t xml:space="preserve">  </w:t>
                          </w:r>
                          <w:r>
                            <w:rPr>
                              <w:rFonts w:ascii="宋体" w:hAnsi="宋体"/>
                              <w:sz w:val="26"/>
                              <w:szCs w:val="26"/>
                            </w:rPr>
                            <w:fldChar w:fldCharType="begin"/>
                          </w:r>
                          <w:r>
                            <w:rPr>
                              <w:rStyle w:val="33"/>
                              <w:rFonts w:ascii="宋体" w:hAnsi="宋体"/>
                              <w:sz w:val="26"/>
                              <w:szCs w:val="26"/>
                            </w:rPr>
                            <w:instrText xml:space="preserve">PAGE  </w:instrText>
                          </w:r>
                          <w:r>
                            <w:rPr>
                              <w:rFonts w:ascii="宋体" w:hAnsi="宋体"/>
                              <w:sz w:val="26"/>
                              <w:szCs w:val="26"/>
                            </w:rPr>
                            <w:fldChar w:fldCharType="separate"/>
                          </w:r>
                          <w:r>
                            <w:rPr>
                              <w:rStyle w:val="33"/>
                              <w:rFonts w:ascii="宋体" w:hAnsi="宋体"/>
                              <w:sz w:val="26"/>
                              <w:szCs w:val="26"/>
                            </w:rPr>
                            <w:t>11</w:t>
                          </w:r>
                          <w:r>
                            <w:rPr>
                              <w:rFonts w:ascii="宋体" w:hAnsi="宋体"/>
                              <w:sz w:val="26"/>
                              <w:szCs w:val="26"/>
                            </w:rPr>
                            <w:fldChar w:fldCharType="end"/>
                          </w:r>
                          <w:r>
                            <w:rPr>
                              <w:rStyle w:val="33"/>
                              <w:rFonts w:hint="eastAsia" w:ascii="宋体" w:hAnsi="宋体"/>
                              <w:sz w:val="20"/>
                            </w:rPr>
                            <w:t xml:space="preserve">  </w:t>
                          </w:r>
                          <w:r>
                            <w:rPr>
                              <w:rStyle w:val="33"/>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4016107A">
                    <w:pPr>
                      <w:pStyle w:val="21"/>
                      <w:rPr>
                        <w:rStyle w:val="33"/>
                        <w:rFonts w:ascii="宋体" w:hAnsi="宋体"/>
                        <w:sz w:val="28"/>
                        <w:szCs w:val="28"/>
                      </w:rPr>
                    </w:pPr>
                    <w:r>
                      <w:rPr>
                        <w:rStyle w:val="33"/>
                        <w:rFonts w:hint="eastAsia" w:ascii="宋体" w:hAnsi="宋体"/>
                        <w:sz w:val="28"/>
                        <w:szCs w:val="28"/>
                      </w:rPr>
                      <w:t>—</w:t>
                    </w:r>
                    <w:r>
                      <w:rPr>
                        <w:rStyle w:val="33"/>
                        <w:rFonts w:hint="eastAsia" w:ascii="宋体" w:hAnsi="宋体"/>
                        <w:sz w:val="20"/>
                      </w:rPr>
                      <w:t xml:space="preserve">  </w:t>
                    </w:r>
                    <w:r>
                      <w:rPr>
                        <w:rFonts w:ascii="宋体" w:hAnsi="宋体"/>
                        <w:sz w:val="26"/>
                        <w:szCs w:val="26"/>
                      </w:rPr>
                      <w:fldChar w:fldCharType="begin"/>
                    </w:r>
                    <w:r>
                      <w:rPr>
                        <w:rStyle w:val="33"/>
                        <w:rFonts w:ascii="宋体" w:hAnsi="宋体"/>
                        <w:sz w:val="26"/>
                        <w:szCs w:val="26"/>
                      </w:rPr>
                      <w:instrText xml:space="preserve">PAGE  </w:instrText>
                    </w:r>
                    <w:r>
                      <w:rPr>
                        <w:rFonts w:ascii="宋体" w:hAnsi="宋体"/>
                        <w:sz w:val="26"/>
                        <w:szCs w:val="26"/>
                      </w:rPr>
                      <w:fldChar w:fldCharType="separate"/>
                    </w:r>
                    <w:r>
                      <w:rPr>
                        <w:rStyle w:val="33"/>
                        <w:rFonts w:ascii="宋体" w:hAnsi="宋体"/>
                        <w:sz w:val="26"/>
                        <w:szCs w:val="26"/>
                      </w:rPr>
                      <w:t>11</w:t>
                    </w:r>
                    <w:r>
                      <w:rPr>
                        <w:rFonts w:ascii="宋体" w:hAnsi="宋体"/>
                        <w:sz w:val="26"/>
                        <w:szCs w:val="26"/>
                      </w:rPr>
                      <w:fldChar w:fldCharType="end"/>
                    </w:r>
                    <w:r>
                      <w:rPr>
                        <w:rStyle w:val="33"/>
                        <w:rFonts w:hint="eastAsia" w:ascii="宋体" w:hAnsi="宋体"/>
                        <w:sz w:val="20"/>
                      </w:rPr>
                      <w:t xml:space="preserve">  </w:t>
                    </w:r>
                    <w:r>
                      <w:rPr>
                        <w:rStyle w:val="33"/>
                        <w:rFonts w:hint="eastAsia" w:ascii="宋体" w:hAnsi="宋体"/>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C5931DC"/>
    <w:multiLevelType w:val="multilevel"/>
    <w:tmpl w:val="1C5931DC"/>
    <w:lvl w:ilvl="0" w:tentative="0">
      <w:start w:val="1"/>
      <w:numFmt w:val="decimal"/>
      <w:pStyle w:val="67"/>
      <w:lvlText w:val="表2-%1  "/>
      <w:lvlJc w:val="left"/>
      <w:pPr>
        <w:ind w:left="3114" w:hanging="420"/>
      </w:pPr>
      <w:rPr>
        <w:rFonts w:hint="eastAsia"/>
        <w:color w:val="auto"/>
      </w:rPr>
    </w:lvl>
    <w:lvl w:ilvl="1" w:tentative="0">
      <w:start w:val="1"/>
      <w:numFmt w:val="lowerLetter"/>
      <w:lvlText w:val="%2)"/>
      <w:lvlJc w:val="left"/>
      <w:pPr>
        <w:ind w:left="3534" w:hanging="420"/>
      </w:pPr>
    </w:lvl>
    <w:lvl w:ilvl="2" w:tentative="0">
      <w:start w:val="1"/>
      <w:numFmt w:val="lowerRoman"/>
      <w:lvlText w:val="%3."/>
      <w:lvlJc w:val="right"/>
      <w:pPr>
        <w:ind w:left="3954" w:hanging="420"/>
      </w:pPr>
    </w:lvl>
    <w:lvl w:ilvl="3" w:tentative="0">
      <w:start w:val="1"/>
      <w:numFmt w:val="decimal"/>
      <w:lvlText w:val="%4."/>
      <w:lvlJc w:val="left"/>
      <w:pPr>
        <w:ind w:left="4374" w:hanging="420"/>
      </w:pPr>
    </w:lvl>
    <w:lvl w:ilvl="4" w:tentative="0">
      <w:start w:val="1"/>
      <w:numFmt w:val="lowerLetter"/>
      <w:lvlText w:val="%5)"/>
      <w:lvlJc w:val="left"/>
      <w:pPr>
        <w:ind w:left="4794" w:hanging="420"/>
      </w:pPr>
    </w:lvl>
    <w:lvl w:ilvl="5" w:tentative="0">
      <w:start w:val="1"/>
      <w:numFmt w:val="lowerRoman"/>
      <w:lvlText w:val="%6."/>
      <w:lvlJc w:val="right"/>
      <w:pPr>
        <w:ind w:left="5214" w:hanging="420"/>
      </w:pPr>
    </w:lvl>
    <w:lvl w:ilvl="6" w:tentative="0">
      <w:start w:val="1"/>
      <w:numFmt w:val="decimal"/>
      <w:lvlText w:val="%7."/>
      <w:lvlJc w:val="left"/>
      <w:pPr>
        <w:ind w:left="5634" w:hanging="420"/>
      </w:pPr>
    </w:lvl>
    <w:lvl w:ilvl="7" w:tentative="0">
      <w:start w:val="1"/>
      <w:numFmt w:val="lowerLetter"/>
      <w:lvlText w:val="%8)"/>
      <w:lvlJc w:val="left"/>
      <w:pPr>
        <w:ind w:left="6054" w:hanging="420"/>
      </w:pPr>
    </w:lvl>
    <w:lvl w:ilvl="8" w:tentative="0">
      <w:start w:val="1"/>
      <w:numFmt w:val="lowerRoman"/>
      <w:lvlText w:val="%9."/>
      <w:lvlJc w:val="right"/>
      <w:pPr>
        <w:ind w:left="6474" w:hanging="420"/>
      </w:pPr>
    </w:lvl>
  </w:abstractNum>
  <w:abstractNum w:abstractNumId="1">
    <w:nsid w:val="51E74208"/>
    <w:multiLevelType w:val="singleLevel"/>
    <w:tmpl w:val="51E74208"/>
    <w:lvl w:ilvl="0" w:tentative="0">
      <w:start w:val="3"/>
      <w:numFmt w:val="decimal"/>
      <w:suff w:val="nothing"/>
      <w:lvlText w:val="%1、"/>
      <w:lvlJc w:val="left"/>
    </w:lvl>
  </w:abstractNum>
  <w:abstractNum w:abstractNumId="2">
    <w:nsid w:val="56627525"/>
    <w:multiLevelType w:val="singleLevel"/>
    <w:tmpl w:val="56627525"/>
    <w:lvl w:ilvl="0" w:tentative="0">
      <w:start w:val="2"/>
      <w:numFmt w:val="decimal"/>
      <w:suff w:val="nothing"/>
      <w:lvlText w:val="%1）"/>
      <w:lvlJc w:val="left"/>
    </w:lvl>
  </w:abstractNum>
  <w:abstractNum w:abstractNumId="3">
    <w:nsid w:val="571D867D"/>
    <w:multiLevelType w:val="multilevel"/>
    <w:tmpl w:val="571D867D"/>
    <w:lvl w:ilvl="0" w:tentative="0">
      <w:start w:val="1"/>
      <w:numFmt w:val="decimal"/>
      <w:lvlText w:val="%1"/>
      <w:lvlJc w:val="left"/>
      <w:pPr>
        <w:tabs>
          <w:tab w:val="left" w:pos="432"/>
        </w:tabs>
        <w:ind w:left="432" w:hanging="432"/>
      </w:pPr>
    </w:lvl>
    <w:lvl w:ilvl="1" w:tentative="0">
      <w:start w:val="1"/>
      <w:numFmt w:val="decimal"/>
      <w:lvlText w:val="%1.%2"/>
      <w:lvlJc w:val="left"/>
      <w:pPr>
        <w:tabs>
          <w:tab w:val="left" w:pos="576"/>
        </w:tabs>
        <w:ind w:left="576" w:hanging="576"/>
      </w:pPr>
      <w:rPr>
        <w:rFonts w:hint="default" w:ascii="Times New Roman" w:hAnsi="Times New Roman" w:cs="Times New Roman"/>
        <w:sz w:val="28"/>
        <w:szCs w:val="28"/>
      </w:rPr>
    </w:lvl>
    <w:lvl w:ilvl="2" w:tentative="0">
      <w:start w:val="1"/>
      <w:numFmt w:val="decimal"/>
      <w:pStyle w:val="4"/>
      <w:lvlText w:val="%1.%2.%3"/>
      <w:lvlJc w:val="left"/>
      <w:pPr>
        <w:tabs>
          <w:tab w:val="left" w:pos="720"/>
        </w:tabs>
        <w:ind w:left="720" w:hanging="720"/>
      </w:pPr>
      <w:rPr>
        <w:color w:val="auto"/>
        <w:sz w:val="24"/>
        <w:szCs w:val="24"/>
        <w:lang w:val="en-US"/>
      </w:r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IyOWY3M2UwYzgwOGYxYjljNWJhYTU0NDAwNDBmOTYifQ=="/>
  </w:docVars>
  <w:rsids>
    <w:rsidRoot w:val="00A14947"/>
    <w:rsid w:val="000050C9"/>
    <w:rsid w:val="000060B3"/>
    <w:rsid w:val="00031E95"/>
    <w:rsid w:val="00035D60"/>
    <w:rsid w:val="0004364B"/>
    <w:rsid w:val="00054816"/>
    <w:rsid w:val="00061B1F"/>
    <w:rsid w:val="00065DBA"/>
    <w:rsid w:val="000733C4"/>
    <w:rsid w:val="00074783"/>
    <w:rsid w:val="00074A7A"/>
    <w:rsid w:val="0008070B"/>
    <w:rsid w:val="000810AC"/>
    <w:rsid w:val="00081A02"/>
    <w:rsid w:val="00082231"/>
    <w:rsid w:val="0009081A"/>
    <w:rsid w:val="00090DE9"/>
    <w:rsid w:val="00092D38"/>
    <w:rsid w:val="0009377B"/>
    <w:rsid w:val="000A20C9"/>
    <w:rsid w:val="000B058F"/>
    <w:rsid w:val="000B4467"/>
    <w:rsid w:val="000B4DB9"/>
    <w:rsid w:val="000C09AC"/>
    <w:rsid w:val="000C6A6B"/>
    <w:rsid w:val="000C767F"/>
    <w:rsid w:val="000D5A44"/>
    <w:rsid w:val="000E3ED2"/>
    <w:rsid w:val="001126BE"/>
    <w:rsid w:val="0011312F"/>
    <w:rsid w:val="001234A5"/>
    <w:rsid w:val="00131F42"/>
    <w:rsid w:val="001330F8"/>
    <w:rsid w:val="001357F1"/>
    <w:rsid w:val="00135A64"/>
    <w:rsid w:val="00140FA8"/>
    <w:rsid w:val="00142FEB"/>
    <w:rsid w:val="00143A2D"/>
    <w:rsid w:val="00145A41"/>
    <w:rsid w:val="00151675"/>
    <w:rsid w:val="00157435"/>
    <w:rsid w:val="0017504D"/>
    <w:rsid w:val="0017671A"/>
    <w:rsid w:val="00177403"/>
    <w:rsid w:val="00177422"/>
    <w:rsid w:val="00184590"/>
    <w:rsid w:val="001870D1"/>
    <w:rsid w:val="0018781E"/>
    <w:rsid w:val="0019262D"/>
    <w:rsid w:val="001A1B35"/>
    <w:rsid w:val="001A48A2"/>
    <w:rsid w:val="001A6210"/>
    <w:rsid w:val="001A6F61"/>
    <w:rsid w:val="001B72B8"/>
    <w:rsid w:val="001C69B3"/>
    <w:rsid w:val="001D5595"/>
    <w:rsid w:val="001D7874"/>
    <w:rsid w:val="001D7F22"/>
    <w:rsid w:val="001F0F17"/>
    <w:rsid w:val="001F3347"/>
    <w:rsid w:val="001F69E4"/>
    <w:rsid w:val="002125B4"/>
    <w:rsid w:val="002155B8"/>
    <w:rsid w:val="00224839"/>
    <w:rsid w:val="002249B2"/>
    <w:rsid w:val="00225597"/>
    <w:rsid w:val="00226574"/>
    <w:rsid w:val="002278EC"/>
    <w:rsid w:val="0023280E"/>
    <w:rsid w:val="002377D1"/>
    <w:rsid w:val="002506BC"/>
    <w:rsid w:val="00254345"/>
    <w:rsid w:val="00264557"/>
    <w:rsid w:val="002805AB"/>
    <w:rsid w:val="00284204"/>
    <w:rsid w:val="00287FC0"/>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3A2A"/>
    <w:rsid w:val="00333B26"/>
    <w:rsid w:val="0033684D"/>
    <w:rsid w:val="00337B42"/>
    <w:rsid w:val="00341B42"/>
    <w:rsid w:val="0034348F"/>
    <w:rsid w:val="00356653"/>
    <w:rsid w:val="0035743F"/>
    <w:rsid w:val="00357BE2"/>
    <w:rsid w:val="0036170C"/>
    <w:rsid w:val="00366E0F"/>
    <w:rsid w:val="00381A72"/>
    <w:rsid w:val="003824EF"/>
    <w:rsid w:val="00384676"/>
    <w:rsid w:val="00390857"/>
    <w:rsid w:val="00390947"/>
    <w:rsid w:val="003912BF"/>
    <w:rsid w:val="003A4BF3"/>
    <w:rsid w:val="003A72AC"/>
    <w:rsid w:val="003B420D"/>
    <w:rsid w:val="003C6C16"/>
    <w:rsid w:val="003D5570"/>
    <w:rsid w:val="003D794D"/>
    <w:rsid w:val="003E3058"/>
    <w:rsid w:val="003E76A9"/>
    <w:rsid w:val="003F0809"/>
    <w:rsid w:val="003F6A8C"/>
    <w:rsid w:val="003F755C"/>
    <w:rsid w:val="00400685"/>
    <w:rsid w:val="00406F01"/>
    <w:rsid w:val="004139C2"/>
    <w:rsid w:val="00415129"/>
    <w:rsid w:val="00416D50"/>
    <w:rsid w:val="00416FD5"/>
    <w:rsid w:val="00417772"/>
    <w:rsid w:val="00420E6A"/>
    <w:rsid w:val="00425A9E"/>
    <w:rsid w:val="00426D6B"/>
    <w:rsid w:val="00431E6C"/>
    <w:rsid w:val="00433CE7"/>
    <w:rsid w:val="00452738"/>
    <w:rsid w:val="00456091"/>
    <w:rsid w:val="00466321"/>
    <w:rsid w:val="00473A2B"/>
    <w:rsid w:val="00484B9B"/>
    <w:rsid w:val="004855F6"/>
    <w:rsid w:val="0048661E"/>
    <w:rsid w:val="00494670"/>
    <w:rsid w:val="004A3823"/>
    <w:rsid w:val="004E6946"/>
    <w:rsid w:val="004F011D"/>
    <w:rsid w:val="004F1AD8"/>
    <w:rsid w:val="004F5CC0"/>
    <w:rsid w:val="005039CB"/>
    <w:rsid w:val="0050558F"/>
    <w:rsid w:val="00506286"/>
    <w:rsid w:val="00510813"/>
    <w:rsid w:val="00511990"/>
    <w:rsid w:val="00511DE0"/>
    <w:rsid w:val="00514870"/>
    <w:rsid w:val="00514B9B"/>
    <w:rsid w:val="00517F02"/>
    <w:rsid w:val="00524303"/>
    <w:rsid w:val="005258A2"/>
    <w:rsid w:val="00537463"/>
    <w:rsid w:val="005401AE"/>
    <w:rsid w:val="00542E07"/>
    <w:rsid w:val="00545424"/>
    <w:rsid w:val="00554A7B"/>
    <w:rsid w:val="0055572C"/>
    <w:rsid w:val="0056106A"/>
    <w:rsid w:val="005720AE"/>
    <w:rsid w:val="00594D77"/>
    <w:rsid w:val="005969E4"/>
    <w:rsid w:val="005A06B7"/>
    <w:rsid w:val="005A1759"/>
    <w:rsid w:val="005A68A7"/>
    <w:rsid w:val="005B4C67"/>
    <w:rsid w:val="005D36AB"/>
    <w:rsid w:val="00617CC3"/>
    <w:rsid w:val="00623359"/>
    <w:rsid w:val="00636DA2"/>
    <w:rsid w:val="006377A6"/>
    <w:rsid w:val="00637A3D"/>
    <w:rsid w:val="006411EF"/>
    <w:rsid w:val="006748B8"/>
    <w:rsid w:val="006775C3"/>
    <w:rsid w:val="00686A39"/>
    <w:rsid w:val="0069290A"/>
    <w:rsid w:val="0069775A"/>
    <w:rsid w:val="00697813"/>
    <w:rsid w:val="006A0288"/>
    <w:rsid w:val="006A3EE8"/>
    <w:rsid w:val="006A72BF"/>
    <w:rsid w:val="006B03F2"/>
    <w:rsid w:val="006B37DC"/>
    <w:rsid w:val="006B4F68"/>
    <w:rsid w:val="006C0592"/>
    <w:rsid w:val="006C272E"/>
    <w:rsid w:val="006C3179"/>
    <w:rsid w:val="006C5479"/>
    <w:rsid w:val="006D13B5"/>
    <w:rsid w:val="006D2375"/>
    <w:rsid w:val="006E1008"/>
    <w:rsid w:val="006E12FF"/>
    <w:rsid w:val="006E34A2"/>
    <w:rsid w:val="006E607E"/>
    <w:rsid w:val="007048F5"/>
    <w:rsid w:val="00706C5D"/>
    <w:rsid w:val="00732922"/>
    <w:rsid w:val="00747F2A"/>
    <w:rsid w:val="0075162E"/>
    <w:rsid w:val="00754034"/>
    <w:rsid w:val="00756556"/>
    <w:rsid w:val="007618C4"/>
    <w:rsid w:val="0076795D"/>
    <w:rsid w:val="00767980"/>
    <w:rsid w:val="00770B19"/>
    <w:rsid w:val="0077387B"/>
    <w:rsid w:val="0077463F"/>
    <w:rsid w:val="00782174"/>
    <w:rsid w:val="007836EA"/>
    <w:rsid w:val="00784CDA"/>
    <w:rsid w:val="007855AB"/>
    <w:rsid w:val="007906C4"/>
    <w:rsid w:val="007940EA"/>
    <w:rsid w:val="007967E8"/>
    <w:rsid w:val="007A2170"/>
    <w:rsid w:val="007A22BF"/>
    <w:rsid w:val="007A267A"/>
    <w:rsid w:val="007A3323"/>
    <w:rsid w:val="007B5B87"/>
    <w:rsid w:val="007B72B8"/>
    <w:rsid w:val="007B7A58"/>
    <w:rsid w:val="007C21B5"/>
    <w:rsid w:val="007E4BD2"/>
    <w:rsid w:val="00801393"/>
    <w:rsid w:val="00801946"/>
    <w:rsid w:val="00802BEA"/>
    <w:rsid w:val="00802F88"/>
    <w:rsid w:val="0081293E"/>
    <w:rsid w:val="00815465"/>
    <w:rsid w:val="00817E9A"/>
    <w:rsid w:val="00823F80"/>
    <w:rsid w:val="008271FA"/>
    <w:rsid w:val="008306BD"/>
    <w:rsid w:val="00831A80"/>
    <w:rsid w:val="00833743"/>
    <w:rsid w:val="008340A4"/>
    <w:rsid w:val="00871172"/>
    <w:rsid w:val="0087135F"/>
    <w:rsid w:val="00872D94"/>
    <w:rsid w:val="00874D16"/>
    <w:rsid w:val="00880364"/>
    <w:rsid w:val="00880AD7"/>
    <w:rsid w:val="00891592"/>
    <w:rsid w:val="00891E9E"/>
    <w:rsid w:val="008A2F68"/>
    <w:rsid w:val="008A7F5E"/>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16BF"/>
    <w:rsid w:val="00902727"/>
    <w:rsid w:val="0090312B"/>
    <w:rsid w:val="0091736D"/>
    <w:rsid w:val="0093037A"/>
    <w:rsid w:val="0094154D"/>
    <w:rsid w:val="00950A87"/>
    <w:rsid w:val="0095155F"/>
    <w:rsid w:val="00953016"/>
    <w:rsid w:val="00954429"/>
    <w:rsid w:val="00955A50"/>
    <w:rsid w:val="009563CE"/>
    <w:rsid w:val="00976328"/>
    <w:rsid w:val="0097680D"/>
    <w:rsid w:val="00982438"/>
    <w:rsid w:val="0098404C"/>
    <w:rsid w:val="00985283"/>
    <w:rsid w:val="009956EF"/>
    <w:rsid w:val="00995992"/>
    <w:rsid w:val="009A03E5"/>
    <w:rsid w:val="009A0F3B"/>
    <w:rsid w:val="009A1BB4"/>
    <w:rsid w:val="009A2628"/>
    <w:rsid w:val="009A3200"/>
    <w:rsid w:val="009A3EB3"/>
    <w:rsid w:val="009B0897"/>
    <w:rsid w:val="009B7BD9"/>
    <w:rsid w:val="009C7DD5"/>
    <w:rsid w:val="009D5D93"/>
    <w:rsid w:val="009E227D"/>
    <w:rsid w:val="009E5019"/>
    <w:rsid w:val="00A04F1B"/>
    <w:rsid w:val="00A0501B"/>
    <w:rsid w:val="00A14947"/>
    <w:rsid w:val="00A32A83"/>
    <w:rsid w:val="00A352B5"/>
    <w:rsid w:val="00A35E9D"/>
    <w:rsid w:val="00A36582"/>
    <w:rsid w:val="00A368DB"/>
    <w:rsid w:val="00A423AA"/>
    <w:rsid w:val="00A53EC6"/>
    <w:rsid w:val="00A55C0F"/>
    <w:rsid w:val="00A8713F"/>
    <w:rsid w:val="00A90BA1"/>
    <w:rsid w:val="00A91018"/>
    <w:rsid w:val="00A97A9A"/>
    <w:rsid w:val="00AA0671"/>
    <w:rsid w:val="00AA2531"/>
    <w:rsid w:val="00AB0E7B"/>
    <w:rsid w:val="00AB1E09"/>
    <w:rsid w:val="00AB5330"/>
    <w:rsid w:val="00AB7747"/>
    <w:rsid w:val="00AC14CE"/>
    <w:rsid w:val="00AC2A56"/>
    <w:rsid w:val="00AD055E"/>
    <w:rsid w:val="00AD47A7"/>
    <w:rsid w:val="00AF0CBF"/>
    <w:rsid w:val="00AF257F"/>
    <w:rsid w:val="00AF33CF"/>
    <w:rsid w:val="00AF4D50"/>
    <w:rsid w:val="00AF6179"/>
    <w:rsid w:val="00AF6505"/>
    <w:rsid w:val="00B00604"/>
    <w:rsid w:val="00B10A5C"/>
    <w:rsid w:val="00B1295A"/>
    <w:rsid w:val="00B13F86"/>
    <w:rsid w:val="00B20A45"/>
    <w:rsid w:val="00B22C5C"/>
    <w:rsid w:val="00B24F30"/>
    <w:rsid w:val="00B31ABF"/>
    <w:rsid w:val="00B33BE3"/>
    <w:rsid w:val="00B53B5D"/>
    <w:rsid w:val="00B6055E"/>
    <w:rsid w:val="00B6317D"/>
    <w:rsid w:val="00B7723F"/>
    <w:rsid w:val="00B80534"/>
    <w:rsid w:val="00B8433C"/>
    <w:rsid w:val="00B87491"/>
    <w:rsid w:val="00B901D7"/>
    <w:rsid w:val="00B956E9"/>
    <w:rsid w:val="00BA29E9"/>
    <w:rsid w:val="00BA7142"/>
    <w:rsid w:val="00BB237C"/>
    <w:rsid w:val="00BB41A3"/>
    <w:rsid w:val="00BB7859"/>
    <w:rsid w:val="00BC32DC"/>
    <w:rsid w:val="00BC35B6"/>
    <w:rsid w:val="00BD1B51"/>
    <w:rsid w:val="00BD4596"/>
    <w:rsid w:val="00BE1405"/>
    <w:rsid w:val="00BE312D"/>
    <w:rsid w:val="00BE3719"/>
    <w:rsid w:val="00BF1C20"/>
    <w:rsid w:val="00BF7D03"/>
    <w:rsid w:val="00C10578"/>
    <w:rsid w:val="00C135BC"/>
    <w:rsid w:val="00C15C95"/>
    <w:rsid w:val="00C224B4"/>
    <w:rsid w:val="00C2596A"/>
    <w:rsid w:val="00C27537"/>
    <w:rsid w:val="00C328FE"/>
    <w:rsid w:val="00C33507"/>
    <w:rsid w:val="00C4409D"/>
    <w:rsid w:val="00C44E72"/>
    <w:rsid w:val="00C45A06"/>
    <w:rsid w:val="00C47E5B"/>
    <w:rsid w:val="00C61E4B"/>
    <w:rsid w:val="00C64BFF"/>
    <w:rsid w:val="00C669B3"/>
    <w:rsid w:val="00C704E9"/>
    <w:rsid w:val="00C763C9"/>
    <w:rsid w:val="00C80057"/>
    <w:rsid w:val="00C82232"/>
    <w:rsid w:val="00C82913"/>
    <w:rsid w:val="00C938A0"/>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265AC"/>
    <w:rsid w:val="00D308ED"/>
    <w:rsid w:val="00D36D86"/>
    <w:rsid w:val="00D428AA"/>
    <w:rsid w:val="00D50A34"/>
    <w:rsid w:val="00D53EFA"/>
    <w:rsid w:val="00D823A7"/>
    <w:rsid w:val="00D825E1"/>
    <w:rsid w:val="00D839F6"/>
    <w:rsid w:val="00D94A7C"/>
    <w:rsid w:val="00D95896"/>
    <w:rsid w:val="00DA3C79"/>
    <w:rsid w:val="00DB2983"/>
    <w:rsid w:val="00DC1257"/>
    <w:rsid w:val="00DC3DC0"/>
    <w:rsid w:val="00DC4DC0"/>
    <w:rsid w:val="00DC5B2B"/>
    <w:rsid w:val="00DD318D"/>
    <w:rsid w:val="00DF2E12"/>
    <w:rsid w:val="00DF514A"/>
    <w:rsid w:val="00DF6690"/>
    <w:rsid w:val="00DF6804"/>
    <w:rsid w:val="00E0358D"/>
    <w:rsid w:val="00E04323"/>
    <w:rsid w:val="00E070A2"/>
    <w:rsid w:val="00E2656A"/>
    <w:rsid w:val="00E37363"/>
    <w:rsid w:val="00E412D0"/>
    <w:rsid w:val="00E56322"/>
    <w:rsid w:val="00E60982"/>
    <w:rsid w:val="00E62C62"/>
    <w:rsid w:val="00E64E38"/>
    <w:rsid w:val="00E654C1"/>
    <w:rsid w:val="00E65D97"/>
    <w:rsid w:val="00E72A5A"/>
    <w:rsid w:val="00E73354"/>
    <w:rsid w:val="00E74CC6"/>
    <w:rsid w:val="00E9242D"/>
    <w:rsid w:val="00EB2094"/>
    <w:rsid w:val="00EB5255"/>
    <w:rsid w:val="00EB5C47"/>
    <w:rsid w:val="00ED0639"/>
    <w:rsid w:val="00EF4755"/>
    <w:rsid w:val="00EF7135"/>
    <w:rsid w:val="00F027DB"/>
    <w:rsid w:val="00F0618B"/>
    <w:rsid w:val="00F14A7A"/>
    <w:rsid w:val="00F22524"/>
    <w:rsid w:val="00F22985"/>
    <w:rsid w:val="00F27968"/>
    <w:rsid w:val="00F3383E"/>
    <w:rsid w:val="00F465A7"/>
    <w:rsid w:val="00F474E6"/>
    <w:rsid w:val="00F50B7C"/>
    <w:rsid w:val="00F550E6"/>
    <w:rsid w:val="00F74345"/>
    <w:rsid w:val="00F80A0A"/>
    <w:rsid w:val="00F82B19"/>
    <w:rsid w:val="00F9212D"/>
    <w:rsid w:val="00F965DA"/>
    <w:rsid w:val="00FA406A"/>
    <w:rsid w:val="00FB0494"/>
    <w:rsid w:val="00FB503A"/>
    <w:rsid w:val="00FB516C"/>
    <w:rsid w:val="00FD0236"/>
    <w:rsid w:val="00FD18F4"/>
    <w:rsid w:val="00FD54DB"/>
    <w:rsid w:val="00FD619F"/>
    <w:rsid w:val="00FE4A83"/>
    <w:rsid w:val="01020594"/>
    <w:rsid w:val="01023DF2"/>
    <w:rsid w:val="01036D60"/>
    <w:rsid w:val="01037801"/>
    <w:rsid w:val="01046F8F"/>
    <w:rsid w:val="01071A26"/>
    <w:rsid w:val="01083576"/>
    <w:rsid w:val="010A5378"/>
    <w:rsid w:val="010C474A"/>
    <w:rsid w:val="010F0756"/>
    <w:rsid w:val="01124974"/>
    <w:rsid w:val="011D041A"/>
    <w:rsid w:val="011E3C58"/>
    <w:rsid w:val="012008BF"/>
    <w:rsid w:val="01200D14"/>
    <w:rsid w:val="012451B3"/>
    <w:rsid w:val="0128785C"/>
    <w:rsid w:val="01290F7E"/>
    <w:rsid w:val="012A6084"/>
    <w:rsid w:val="012B70B3"/>
    <w:rsid w:val="013625A4"/>
    <w:rsid w:val="01393B15"/>
    <w:rsid w:val="013A5DCF"/>
    <w:rsid w:val="013B76F7"/>
    <w:rsid w:val="013C6D52"/>
    <w:rsid w:val="014079E0"/>
    <w:rsid w:val="01422397"/>
    <w:rsid w:val="01434376"/>
    <w:rsid w:val="01447584"/>
    <w:rsid w:val="014835E4"/>
    <w:rsid w:val="014B7445"/>
    <w:rsid w:val="014B7C25"/>
    <w:rsid w:val="014C281A"/>
    <w:rsid w:val="014C5907"/>
    <w:rsid w:val="014E4E1E"/>
    <w:rsid w:val="0155281D"/>
    <w:rsid w:val="01574F11"/>
    <w:rsid w:val="015D1E09"/>
    <w:rsid w:val="015D7763"/>
    <w:rsid w:val="016020ED"/>
    <w:rsid w:val="01616EBF"/>
    <w:rsid w:val="01651020"/>
    <w:rsid w:val="016554AF"/>
    <w:rsid w:val="01663687"/>
    <w:rsid w:val="01667ED0"/>
    <w:rsid w:val="016A39D2"/>
    <w:rsid w:val="01783787"/>
    <w:rsid w:val="01855B6A"/>
    <w:rsid w:val="01872F31"/>
    <w:rsid w:val="018959E5"/>
    <w:rsid w:val="018B565E"/>
    <w:rsid w:val="018C5115"/>
    <w:rsid w:val="018C5BFC"/>
    <w:rsid w:val="018D20D9"/>
    <w:rsid w:val="01961C10"/>
    <w:rsid w:val="01983FBB"/>
    <w:rsid w:val="019A6D35"/>
    <w:rsid w:val="019F572A"/>
    <w:rsid w:val="019F6B46"/>
    <w:rsid w:val="01A12B10"/>
    <w:rsid w:val="01A63E12"/>
    <w:rsid w:val="01AD5845"/>
    <w:rsid w:val="01AF08CE"/>
    <w:rsid w:val="01B16677"/>
    <w:rsid w:val="01BC58E5"/>
    <w:rsid w:val="01C229B3"/>
    <w:rsid w:val="01C308A2"/>
    <w:rsid w:val="01C859BA"/>
    <w:rsid w:val="01C860A8"/>
    <w:rsid w:val="01CD7CDD"/>
    <w:rsid w:val="01CE7B73"/>
    <w:rsid w:val="01D02615"/>
    <w:rsid w:val="01D30C66"/>
    <w:rsid w:val="01D444F0"/>
    <w:rsid w:val="01D81BB3"/>
    <w:rsid w:val="01D93B14"/>
    <w:rsid w:val="01D979ED"/>
    <w:rsid w:val="01DA243B"/>
    <w:rsid w:val="01DC078E"/>
    <w:rsid w:val="01DD4186"/>
    <w:rsid w:val="01DD64B2"/>
    <w:rsid w:val="01E0342B"/>
    <w:rsid w:val="01E11F8F"/>
    <w:rsid w:val="01E16912"/>
    <w:rsid w:val="01E76601"/>
    <w:rsid w:val="01E837CC"/>
    <w:rsid w:val="01E87978"/>
    <w:rsid w:val="01EA03F8"/>
    <w:rsid w:val="01EB1C57"/>
    <w:rsid w:val="01ED1ABE"/>
    <w:rsid w:val="01ED1C4C"/>
    <w:rsid w:val="01F00033"/>
    <w:rsid w:val="01F579EA"/>
    <w:rsid w:val="01F7468B"/>
    <w:rsid w:val="01F765FD"/>
    <w:rsid w:val="01FB6DD8"/>
    <w:rsid w:val="02014C30"/>
    <w:rsid w:val="02034614"/>
    <w:rsid w:val="02064152"/>
    <w:rsid w:val="020C43E9"/>
    <w:rsid w:val="020D1EE8"/>
    <w:rsid w:val="020E4DDB"/>
    <w:rsid w:val="020F6E02"/>
    <w:rsid w:val="0210244D"/>
    <w:rsid w:val="021762B0"/>
    <w:rsid w:val="021839F5"/>
    <w:rsid w:val="0219651A"/>
    <w:rsid w:val="02235C92"/>
    <w:rsid w:val="022444B3"/>
    <w:rsid w:val="022531C5"/>
    <w:rsid w:val="022667FD"/>
    <w:rsid w:val="022A0F8A"/>
    <w:rsid w:val="022A39D6"/>
    <w:rsid w:val="022D50CA"/>
    <w:rsid w:val="0235074D"/>
    <w:rsid w:val="023B4BB9"/>
    <w:rsid w:val="023B6FA6"/>
    <w:rsid w:val="023F3150"/>
    <w:rsid w:val="02401C2F"/>
    <w:rsid w:val="02415C8A"/>
    <w:rsid w:val="0243039A"/>
    <w:rsid w:val="024354CB"/>
    <w:rsid w:val="024830CA"/>
    <w:rsid w:val="02493477"/>
    <w:rsid w:val="024A0DCF"/>
    <w:rsid w:val="024A7587"/>
    <w:rsid w:val="024F0FEA"/>
    <w:rsid w:val="025010F3"/>
    <w:rsid w:val="02547CF0"/>
    <w:rsid w:val="02594D75"/>
    <w:rsid w:val="025D5D49"/>
    <w:rsid w:val="025F74E8"/>
    <w:rsid w:val="026046AC"/>
    <w:rsid w:val="026064F1"/>
    <w:rsid w:val="02647722"/>
    <w:rsid w:val="026816A3"/>
    <w:rsid w:val="02683A3B"/>
    <w:rsid w:val="02697903"/>
    <w:rsid w:val="02772622"/>
    <w:rsid w:val="027C17E2"/>
    <w:rsid w:val="027C5E56"/>
    <w:rsid w:val="027F3F2B"/>
    <w:rsid w:val="02813D14"/>
    <w:rsid w:val="02821796"/>
    <w:rsid w:val="028A3F67"/>
    <w:rsid w:val="028D4868"/>
    <w:rsid w:val="02B0110B"/>
    <w:rsid w:val="02B54F00"/>
    <w:rsid w:val="02B8198A"/>
    <w:rsid w:val="02BF5D3C"/>
    <w:rsid w:val="02C15BC3"/>
    <w:rsid w:val="02C3577E"/>
    <w:rsid w:val="02C37B9D"/>
    <w:rsid w:val="02C4730F"/>
    <w:rsid w:val="02C52986"/>
    <w:rsid w:val="02C67B27"/>
    <w:rsid w:val="02C74E68"/>
    <w:rsid w:val="02C817B4"/>
    <w:rsid w:val="02D47196"/>
    <w:rsid w:val="02E61B4F"/>
    <w:rsid w:val="02EB1E3C"/>
    <w:rsid w:val="02ED0513"/>
    <w:rsid w:val="02ED5B71"/>
    <w:rsid w:val="02EF52CB"/>
    <w:rsid w:val="02F0249C"/>
    <w:rsid w:val="02F36700"/>
    <w:rsid w:val="02F443A7"/>
    <w:rsid w:val="02F62787"/>
    <w:rsid w:val="02F96569"/>
    <w:rsid w:val="02FC6CBD"/>
    <w:rsid w:val="02FD1404"/>
    <w:rsid w:val="02FD6887"/>
    <w:rsid w:val="02FF17CC"/>
    <w:rsid w:val="03013585"/>
    <w:rsid w:val="03022714"/>
    <w:rsid w:val="03064959"/>
    <w:rsid w:val="03097BD7"/>
    <w:rsid w:val="031948C8"/>
    <w:rsid w:val="031C14AD"/>
    <w:rsid w:val="031F7F60"/>
    <w:rsid w:val="03205005"/>
    <w:rsid w:val="032369C8"/>
    <w:rsid w:val="03255945"/>
    <w:rsid w:val="032925DC"/>
    <w:rsid w:val="032B1299"/>
    <w:rsid w:val="032F0F1E"/>
    <w:rsid w:val="03361DCF"/>
    <w:rsid w:val="03363B29"/>
    <w:rsid w:val="033D6BBD"/>
    <w:rsid w:val="03403FAB"/>
    <w:rsid w:val="034B2A9A"/>
    <w:rsid w:val="034C5181"/>
    <w:rsid w:val="034D2620"/>
    <w:rsid w:val="0355585C"/>
    <w:rsid w:val="03555D89"/>
    <w:rsid w:val="035574ED"/>
    <w:rsid w:val="03607090"/>
    <w:rsid w:val="036718C1"/>
    <w:rsid w:val="036947D8"/>
    <w:rsid w:val="036A2272"/>
    <w:rsid w:val="036A25FB"/>
    <w:rsid w:val="036C558A"/>
    <w:rsid w:val="03703CF0"/>
    <w:rsid w:val="03725479"/>
    <w:rsid w:val="037257FC"/>
    <w:rsid w:val="03757CEF"/>
    <w:rsid w:val="03800302"/>
    <w:rsid w:val="0382292F"/>
    <w:rsid w:val="03847EAF"/>
    <w:rsid w:val="03857E01"/>
    <w:rsid w:val="03881BC2"/>
    <w:rsid w:val="038D224C"/>
    <w:rsid w:val="03930070"/>
    <w:rsid w:val="03987257"/>
    <w:rsid w:val="039C4414"/>
    <w:rsid w:val="039D362A"/>
    <w:rsid w:val="039F6192"/>
    <w:rsid w:val="03A007FC"/>
    <w:rsid w:val="03A24E7E"/>
    <w:rsid w:val="03A70F4C"/>
    <w:rsid w:val="03AA233B"/>
    <w:rsid w:val="03AB3904"/>
    <w:rsid w:val="03AB752B"/>
    <w:rsid w:val="03AC3343"/>
    <w:rsid w:val="03AF639B"/>
    <w:rsid w:val="03B019B2"/>
    <w:rsid w:val="03B6161F"/>
    <w:rsid w:val="03B67BB3"/>
    <w:rsid w:val="03B71704"/>
    <w:rsid w:val="03BB4D9E"/>
    <w:rsid w:val="03BC5F15"/>
    <w:rsid w:val="03C24967"/>
    <w:rsid w:val="03C30AB7"/>
    <w:rsid w:val="03C771C3"/>
    <w:rsid w:val="03C83DB7"/>
    <w:rsid w:val="03C97139"/>
    <w:rsid w:val="03CB3D5F"/>
    <w:rsid w:val="03CE5E72"/>
    <w:rsid w:val="03CE6484"/>
    <w:rsid w:val="03CF5A24"/>
    <w:rsid w:val="03D746CC"/>
    <w:rsid w:val="03D74BC9"/>
    <w:rsid w:val="03DC7C88"/>
    <w:rsid w:val="03E14A8A"/>
    <w:rsid w:val="03E42983"/>
    <w:rsid w:val="03E525C9"/>
    <w:rsid w:val="03E631DE"/>
    <w:rsid w:val="03E80C68"/>
    <w:rsid w:val="03E94413"/>
    <w:rsid w:val="03EA7B21"/>
    <w:rsid w:val="03EB23B9"/>
    <w:rsid w:val="03EB49CE"/>
    <w:rsid w:val="03EB4BD4"/>
    <w:rsid w:val="03F262FB"/>
    <w:rsid w:val="03F3169F"/>
    <w:rsid w:val="03F80061"/>
    <w:rsid w:val="04001209"/>
    <w:rsid w:val="0401648B"/>
    <w:rsid w:val="0403469D"/>
    <w:rsid w:val="04052FB3"/>
    <w:rsid w:val="040B7573"/>
    <w:rsid w:val="040D0B82"/>
    <w:rsid w:val="040D2CCA"/>
    <w:rsid w:val="0411443B"/>
    <w:rsid w:val="041158FD"/>
    <w:rsid w:val="04115D17"/>
    <w:rsid w:val="04154BC9"/>
    <w:rsid w:val="04161506"/>
    <w:rsid w:val="041725C4"/>
    <w:rsid w:val="04207352"/>
    <w:rsid w:val="04232F2A"/>
    <w:rsid w:val="042B0AE9"/>
    <w:rsid w:val="042B455C"/>
    <w:rsid w:val="042F0CB1"/>
    <w:rsid w:val="04301AFD"/>
    <w:rsid w:val="043432A4"/>
    <w:rsid w:val="04355918"/>
    <w:rsid w:val="04377367"/>
    <w:rsid w:val="0438479C"/>
    <w:rsid w:val="043A04A9"/>
    <w:rsid w:val="043A773E"/>
    <w:rsid w:val="043B6532"/>
    <w:rsid w:val="043D3687"/>
    <w:rsid w:val="04404F54"/>
    <w:rsid w:val="044054AE"/>
    <w:rsid w:val="044230DC"/>
    <w:rsid w:val="04433C9A"/>
    <w:rsid w:val="04437A43"/>
    <w:rsid w:val="0448052C"/>
    <w:rsid w:val="044E7BA1"/>
    <w:rsid w:val="04556BA3"/>
    <w:rsid w:val="045712AF"/>
    <w:rsid w:val="0457504A"/>
    <w:rsid w:val="045B4E4E"/>
    <w:rsid w:val="04601A5E"/>
    <w:rsid w:val="04627131"/>
    <w:rsid w:val="04693201"/>
    <w:rsid w:val="046A72C4"/>
    <w:rsid w:val="046B2F3A"/>
    <w:rsid w:val="046D59BA"/>
    <w:rsid w:val="04735825"/>
    <w:rsid w:val="047E3177"/>
    <w:rsid w:val="047F7A9A"/>
    <w:rsid w:val="04822AE6"/>
    <w:rsid w:val="04892CC7"/>
    <w:rsid w:val="048B13A4"/>
    <w:rsid w:val="04904752"/>
    <w:rsid w:val="04A03333"/>
    <w:rsid w:val="04A1074F"/>
    <w:rsid w:val="04A2457B"/>
    <w:rsid w:val="04A66F72"/>
    <w:rsid w:val="04A828B6"/>
    <w:rsid w:val="04AC4375"/>
    <w:rsid w:val="04AE0533"/>
    <w:rsid w:val="04AE0DFD"/>
    <w:rsid w:val="04AE56A7"/>
    <w:rsid w:val="04B23B04"/>
    <w:rsid w:val="04B61F5A"/>
    <w:rsid w:val="04B8009F"/>
    <w:rsid w:val="04BF4966"/>
    <w:rsid w:val="04C55D7C"/>
    <w:rsid w:val="04C57055"/>
    <w:rsid w:val="04CC66DC"/>
    <w:rsid w:val="04CD6E49"/>
    <w:rsid w:val="04D2617B"/>
    <w:rsid w:val="04D3231D"/>
    <w:rsid w:val="04D91B65"/>
    <w:rsid w:val="04E14468"/>
    <w:rsid w:val="04E14DB2"/>
    <w:rsid w:val="04E75B4A"/>
    <w:rsid w:val="04E9540B"/>
    <w:rsid w:val="04E97C05"/>
    <w:rsid w:val="04EC0311"/>
    <w:rsid w:val="04ED4D0C"/>
    <w:rsid w:val="04EF30B9"/>
    <w:rsid w:val="04FA5E94"/>
    <w:rsid w:val="04FC0E39"/>
    <w:rsid w:val="04FC7EE0"/>
    <w:rsid w:val="04FE4E19"/>
    <w:rsid w:val="04FF25E5"/>
    <w:rsid w:val="05045D40"/>
    <w:rsid w:val="05074ED7"/>
    <w:rsid w:val="050C13CA"/>
    <w:rsid w:val="05104014"/>
    <w:rsid w:val="05110C25"/>
    <w:rsid w:val="05117B3F"/>
    <w:rsid w:val="051B2E75"/>
    <w:rsid w:val="051D5708"/>
    <w:rsid w:val="052014FC"/>
    <w:rsid w:val="05252E8A"/>
    <w:rsid w:val="052C4383"/>
    <w:rsid w:val="05334B61"/>
    <w:rsid w:val="0538063B"/>
    <w:rsid w:val="05391D02"/>
    <w:rsid w:val="05392BEC"/>
    <w:rsid w:val="05396202"/>
    <w:rsid w:val="053A6FB5"/>
    <w:rsid w:val="054978EB"/>
    <w:rsid w:val="054A03ED"/>
    <w:rsid w:val="054C47D7"/>
    <w:rsid w:val="0551701D"/>
    <w:rsid w:val="05530E48"/>
    <w:rsid w:val="055641E5"/>
    <w:rsid w:val="055C76F7"/>
    <w:rsid w:val="055F66A9"/>
    <w:rsid w:val="056243AB"/>
    <w:rsid w:val="05635A5F"/>
    <w:rsid w:val="05653F54"/>
    <w:rsid w:val="05670BC5"/>
    <w:rsid w:val="05683C1E"/>
    <w:rsid w:val="05687963"/>
    <w:rsid w:val="056A3490"/>
    <w:rsid w:val="056C2A80"/>
    <w:rsid w:val="056D1BB1"/>
    <w:rsid w:val="05700FB2"/>
    <w:rsid w:val="05702DE8"/>
    <w:rsid w:val="05705046"/>
    <w:rsid w:val="05707CEE"/>
    <w:rsid w:val="05712E63"/>
    <w:rsid w:val="05760300"/>
    <w:rsid w:val="057612EF"/>
    <w:rsid w:val="05764D43"/>
    <w:rsid w:val="05795427"/>
    <w:rsid w:val="057B5BCD"/>
    <w:rsid w:val="057C60AC"/>
    <w:rsid w:val="057D6455"/>
    <w:rsid w:val="058142A7"/>
    <w:rsid w:val="05861FE8"/>
    <w:rsid w:val="0586546E"/>
    <w:rsid w:val="0586560E"/>
    <w:rsid w:val="05894E8E"/>
    <w:rsid w:val="058A1A5B"/>
    <w:rsid w:val="058E6B21"/>
    <w:rsid w:val="058E7314"/>
    <w:rsid w:val="059015F8"/>
    <w:rsid w:val="05996779"/>
    <w:rsid w:val="059B72EF"/>
    <w:rsid w:val="059C1590"/>
    <w:rsid w:val="059F5359"/>
    <w:rsid w:val="05A10EDB"/>
    <w:rsid w:val="05A60F8A"/>
    <w:rsid w:val="05A828AF"/>
    <w:rsid w:val="05B1032F"/>
    <w:rsid w:val="05B15A53"/>
    <w:rsid w:val="05B223F6"/>
    <w:rsid w:val="05B250EC"/>
    <w:rsid w:val="05B37329"/>
    <w:rsid w:val="05C0117B"/>
    <w:rsid w:val="05C22107"/>
    <w:rsid w:val="05C44F47"/>
    <w:rsid w:val="05C73508"/>
    <w:rsid w:val="05C7600F"/>
    <w:rsid w:val="05CB4DF3"/>
    <w:rsid w:val="05CD3273"/>
    <w:rsid w:val="05D61531"/>
    <w:rsid w:val="05D76D77"/>
    <w:rsid w:val="05D911D0"/>
    <w:rsid w:val="05DA4DC3"/>
    <w:rsid w:val="05DD009D"/>
    <w:rsid w:val="05DE59AF"/>
    <w:rsid w:val="05E050E5"/>
    <w:rsid w:val="05E1190B"/>
    <w:rsid w:val="05E12456"/>
    <w:rsid w:val="05E22A36"/>
    <w:rsid w:val="05EA08A9"/>
    <w:rsid w:val="05EA2600"/>
    <w:rsid w:val="05EA2EB6"/>
    <w:rsid w:val="05EF72F3"/>
    <w:rsid w:val="05F020A7"/>
    <w:rsid w:val="05F159C1"/>
    <w:rsid w:val="05F33690"/>
    <w:rsid w:val="05F40338"/>
    <w:rsid w:val="05F62832"/>
    <w:rsid w:val="05F835C3"/>
    <w:rsid w:val="05F83EAE"/>
    <w:rsid w:val="05F8510B"/>
    <w:rsid w:val="05FB2C3E"/>
    <w:rsid w:val="05FE0808"/>
    <w:rsid w:val="06022974"/>
    <w:rsid w:val="060666E0"/>
    <w:rsid w:val="06067823"/>
    <w:rsid w:val="06093784"/>
    <w:rsid w:val="06095E1D"/>
    <w:rsid w:val="06096D2A"/>
    <w:rsid w:val="060A6597"/>
    <w:rsid w:val="060A7E44"/>
    <w:rsid w:val="060E122A"/>
    <w:rsid w:val="06102AE7"/>
    <w:rsid w:val="06105B3D"/>
    <w:rsid w:val="06124001"/>
    <w:rsid w:val="06133A73"/>
    <w:rsid w:val="061B6A94"/>
    <w:rsid w:val="061C5E89"/>
    <w:rsid w:val="061E455B"/>
    <w:rsid w:val="062168DB"/>
    <w:rsid w:val="06222BE9"/>
    <w:rsid w:val="06235AB5"/>
    <w:rsid w:val="06241793"/>
    <w:rsid w:val="06276544"/>
    <w:rsid w:val="062949A0"/>
    <w:rsid w:val="062D75F1"/>
    <w:rsid w:val="062E4259"/>
    <w:rsid w:val="062E65F6"/>
    <w:rsid w:val="06325786"/>
    <w:rsid w:val="063C406D"/>
    <w:rsid w:val="063D39E5"/>
    <w:rsid w:val="063E7D85"/>
    <w:rsid w:val="06443BFA"/>
    <w:rsid w:val="064730CE"/>
    <w:rsid w:val="064D6173"/>
    <w:rsid w:val="064E2003"/>
    <w:rsid w:val="064E2481"/>
    <w:rsid w:val="0651432D"/>
    <w:rsid w:val="065828AC"/>
    <w:rsid w:val="06595F57"/>
    <w:rsid w:val="065A1CE0"/>
    <w:rsid w:val="065E7D21"/>
    <w:rsid w:val="066B6926"/>
    <w:rsid w:val="066C0BD2"/>
    <w:rsid w:val="066D7A19"/>
    <w:rsid w:val="066E673C"/>
    <w:rsid w:val="066E6862"/>
    <w:rsid w:val="0671692A"/>
    <w:rsid w:val="06717D1A"/>
    <w:rsid w:val="06737928"/>
    <w:rsid w:val="06743F28"/>
    <w:rsid w:val="06744B7C"/>
    <w:rsid w:val="06763414"/>
    <w:rsid w:val="06763BED"/>
    <w:rsid w:val="06782E7D"/>
    <w:rsid w:val="06790186"/>
    <w:rsid w:val="0679376D"/>
    <w:rsid w:val="067A70F9"/>
    <w:rsid w:val="067C35A9"/>
    <w:rsid w:val="067F7F1B"/>
    <w:rsid w:val="06823957"/>
    <w:rsid w:val="068601FE"/>
    <w:rsid w:val="06860BC3"/>
    <w:rsid w:val="068D5883"/>
    <w:rsid w:val="069030B2"/>
    <w:rsid w:val="069357C9"/>
    <w:rsid w:val="06970CB9"/>
    <w:rsid w:val="069A4BD9"/>
    <w:rsid w:val="069C111C"/>
    <w:rsid w:val="069D0C52"/>
    <w:rsid w:val="06A4066D"/>
    <w:rsid w:val="06A41D36"/>
    <w:rsid w:val="06A50647"/>
    <w:rsid w:val="06AD48E9"/>
    <w:rsid w:val="06B23D59"/>
    <w:rsid w:val="06B34F7C"/>
    <w:rsid w:val="06B53EAB"/>
    <w:rsid w:val="06B56DD1"/>
    <w:rsid w:val="06B809D6"/>
    <w:rsid w:val="06B91E0B"/>
    <w:rsid w:val="06B94D8B"/>
    <w:rsid w:val="06B97ECB"/>
    <w:rsid w:val="06BA3660"/>
    <w:rsid w:val="06BA6412"/>
    <w:rsid w:val="06BE23B0"/>
    <w:rsid w:val="06BF264B"/>
    <w:rsid w:val="06BF331D"/>
    <w:rsid w:val="06C9679C"/>
    <w:rsid w:val="06CA0B42"/>
    <w:rsid w:val="06CA38F7"/>
    <w:rsid w:val="06CC30FA"/>
    <w:rsid w:val="06CF70F2"/>
    <w:rsid w:val="06D3790D"/>
    <w:rsid w:val="06D56FD7"/>
    <w:rsid w:val="06D833BB"/>
    <w:rsid w:val="06DE34AE"/>
    <w:rsid w:val="06E45CC0"/>
    <w:rsid w:val="06E7394F"/>
    <w:rsid w:val="06E96521"/>
    <w:rsid w:val="06EF31E4"/>
    <w:rsid w:val="06F63DB5"/>
    <w:rsid w:val="06F85A92"/>
    <w:rsid w:val="06FA6F16"/>
    <w:rsid w:val="06FC60EC"/>
    <w:rsid w:val="06FE09A5"/>
    <w:rsid w:val="06FE3630"/>
    <w:rsid w:val="07016B1A"/>
    <w:rsid w:val="07022527"/>
    <w:rsid w:val="070320C1"/>
    <w:rsid w:val="07060984"/>
    <w:rsid w:val="07071A9D"/>
    <w:rsid w:val="07084757"/>
    <w:rsid w:val="0709450B"/>
    <w:rsid w:val="070B3841"/>
    <w:rsid w:val="070C7A8D"/>
    <w:rsid w:val="070D08D2"/>
    <w:rsid w:val="071568EF"/>
    <w:rsid w:val="071A3C70"/>
    <w:rsid w:val="071C01A4"/>
    <w:rsid w:val="071C69D1"/>
    <w:rsid w:val="071E3392"/>
    <w:rsid w:val="072075DB"/>
    <w:rsid w:val="0722665F"/>
    <w:rsid w:val="07266319"/>
    <w:rsid w:val="07293586"/>
    <w:rsid w:val="07295285"/>
    <w:rsid w:val="072A3A1A"/>
    <w:rsid w:val="072C367E"/>
    <w:rsid w:val="072C7585"/>
    <w:rsid w:val="072E22FD"/>
    <w:rsid w:val="072E351A"/>
    <w:rsid w:val="072F2CFA"/>
    <w:rsid w:val="07315BC7"/>
    <w:rsid w:val="073837EA"/>
    <w:rsid w:val="073936A0"/>
    <w:rsid w:val="073D39F2"/>
    <w:rsid w:val="073E7288"/>
    <w:rsid w:val="07413C5D"/>
    <w:rsid w:val="0743009B"/>
    <w:rsid w:val="0744672B"/>
    <w:rsid w:val="074520C8"/>
    <w:rsid w:val="0747309E"/>
    <w:rsid w:val="074F2753"/>
    <w:rsid w:val="074F68EE"/>
    <w:rsid w:val="074F7230"/>
    <w:rsid w:val="07530CC0"/>
    <w:rsid w:val="075600FC"/>
    <w:rsid w:val="07580265"/>
    <w:rsid w:val="075847BA"/>
    <w:rsid w:val="075A03F3"/>
    <w:rsid w:val="075A304D"/>
    <w:rsid w:val="07604B1F"/>
    <w:rsid w:val="07636392"/>
    <w:rsid w:val="07642D1B"/>
    <w:rsid w:val="076449E7"/>
    <w:rsid w:val="07665F7C"/>
    <w:rsid w:val="076708F7"/>
    <w:rsid w:val="07673B5F"/>
    <w:rsid w:val="07691412"/>
    <w:rsid w:val="07713319"/>
    <w:rsid w:val="077409E5"/>
    <w:rsid w:val="07770C56"/>
    <w:rsid w:val="07796401"/>
    <w:rsid w:val="077D40E4"/>
    <w:rsid w:val="077D44D3"/>
    <w:rsid w:val="078210D9"/>
    <w:rsid w:val="07831836"/>
    <w:rsid w:val="0783392A"/>
    <w:rsid w:val="0784689D"/>
    <w:rsid w:val="07864907"/>
    <w:rsid w:val="07896071"/>
    <w:rsid w:val="078B5103"/>
    <w:rsid w:val="078F19B9"/>
    <w:rsid w:val="0794580F"/>
    <w:rsid w:val="079B61AD"/>
    <w:rsid w:val="079C1066"/>
    <w:rsid w:val="079C473E"/>
    <w:rsid w:val="079D66DA"/>
    <w:rsid w:val="07A02A3A"/>
    <w:rsid w:val="07AC150D"/>
    <w:rsid w:val="07AD7A01"/>
    <w:rsid w:val="07AF2A7E"/>
    <w:rsid w:val="07B71C47"/>
    <w:rsid w:val="07BF3111"/>
    <w:rsid w:val="07C77695"/>
    <w:rsid w:val="07CA5A50"/>
    <w:rsid w:val="07CD426D"/>
    <w:rsid w:val="07CF0C5E"/>
    <w:rsid w:val="07D76B03"/>
    <w:rsid w:val="07DA3781"/>
    <w:rsid w:val="07DB7D05"/>
    <w:rsid w:val="07DC5ECE"/>
    <w:rsid w:val="07DD33F9"/>
    <w:rsid w:val="07E218DB"/>
    <w:rsid w:val="07E53338"/>
    <w:rsid w:val="07EA6370"/>
    <w:rsid w:val="07F03FF5"/>
    <w:rsid w:val="07F301FA"/>
    <w:rsid w:val="07F614A3"/>
    <w:rsid w:val="07F654F9"/>
    <w:rsid w:val="07FB6C63"/>
    <w:rsid w:val="08010B90"/>
    <w:rsid w:val="0802578C"/>
    <w:rsid w:val="08044921"/>
    <w:rsid w:val="08054686"/>
    <w:rsid w:val="08060C99"/>
    <w:rsid w:val="08061F9E"/>
    <w:rsid w:val="08091CAF"/>
    <w:rsid w:val="080B2E85"/>
    <w:rsid w:val="080B45F8"/>
    <w:rsid w:val="081134DE"/>
    <w:rsid w:val="08123AC3"/>
    <w:rsid w:val="08146DC0"/>
    <w:rsid w:val="081A36F7"/>
    <w:rsid w:val="08213B78"/>
    <w:rsid w:val="08256947"/>
    <w:rsid w:val="082A5DCC"/>
    <w:rsid w:val="082B05AE"/>
    <w:rsid w:val="082B12EA"/>
    <w:rsid w:val="082E226E"/>
    <w:rsid w:val="082F1C0C"/>
    <w:rsid w:val="083060A8"/>
    <w:rsid w:val="08306EB4"/>
    <w:rsid w:val="08337140"/>
    <w:rsid w:val="0839545B"/>
    <w:rsid w:val="083959E5"/>
    <w:rsid w:val="083C5D4E"/>
    <w:rsid w:val="0840343A"/>
    <w:rsid w:val="08457BAA"/>
    <w:rsid w:val="084607C6"/>
    <w:rsid w:val="08474DBE"/>
    <w:rsid w:val="08481B56"/>
    <w:rsid w:val="08497149"/>
    <w:rsid w:val="084A690A"/>
    <w:rsid w:val="084A72B4"/>
    <w:rsid w:val="08540735"/>
    <w:rsid w:val="08574726"/>
    <w:rsid w:val="08616AFE"/>
    <w:rsid w:val="0867204C"/>
    <w:rsid w:val="08677EEF"/>
    <w:rsid w:val="087476E5"/>
    <w:rsid w:val="08776AA6"/>
    <w:rsid w:val="087C4E07"/>
    <w:rsid w:val="0882686F"/>
    <w:rsid w:val="088521C4"/>
    <w:rsid w:val="08866822"/>
    <w:rsid w:val="088717F1"/>
    <w:rsid w:val="088E75FB"/>
    <w:rsid w:val="0897318C"/>
    <w:rsid w:val="089770F1"/>
    <w:rsid w:val="089D1169"/>
    <w:rsid w:val="08A15D22"/>
    <w:rsid w:val="08A33D0E"/>
    <w:rsid w:val="08A76F06"/>
    <w:rsid w:val="08A7701B"/>
    <w:rsid w:val="08A87730"/>
    <w:rsid w:val="08A94599"/>
    <w:rsid w:val="08AC74F7"/>
    <w:rsid w:val="08AD6AB4"/>
    <w:rsid w:val="08AE71E7"/>
    <w:rsid w:val="08B13E5B"/>
    <w:rsid w:val="08B309B1"/>
    <w:rsid w:val="08B32C04"/>
    <w:rsid w:val="08B45377"/>
    <w:rsid w:val="08B545C2"/>
    <w:rsid w:val="08B71EB3"/>
    <w:rsid w:val="08B875C5"/>
    <w:rsid w:val="08BA742A"/>
    <w:rsid w:val="08BB105E"/>
    <w:rsid w:val="08BF482F"/>
    <w:rsid w:val="08C012F9"/>
    <w:rsid w:val="08C30957"/>
    <w:rsid w:val="08C344BE"/>
    <w:rsid w:val="08C45C77"/>
    <w:rsid w:val="08C60A40"/>
    <w:rsid w:val="08C61576"/>
    <w:rsid w:val="08CF0AF5"/>
    <w:rsid w:val="08D03C4E"/>
    <w:rsid w:val="08D32DFB"/>
    <w:rsid w:val="08D40F81"/>
    <w:rsid w:val="08DB34C2"/>
    <w:rsid w:val="08E0434F"/>
    <w:rsid w:val="08E919B8"/>
    <w:rsid w:val="08EA7681"/>
    <w:rsid w:val="08EC67A1"/>
    <w:rsid w:val="08F57B1A"/>
    <w:rsid w:val="08F95D4B"/>
    <w:rsid w:val="08FD1CCE"/>
    <w:rsid w:val="08FE456D"/>
    <w:rsid w:val="08FF17B7"/>
    <w:rsid w:val="09011DE4"/>
    <w:rsid w:val="0902788E"/>
    <w:rsid w:val="09036B9D"/>
    <w:rsid w:val="09044DBF"/>
    <w:rsid w:val="09061B94"/>
    <w:rsid w:val="090966DF"/>
    <w:rsid w:val="09103C78"/>
    <w:rsid w:val="09183FB0"/>
    <w:rsid w:val="091B7241"/>
    <w:rsid w:val="09220C9B"/>
    <w:rsid w:val="092217DD"/>
    <w:rsid w:val="092337DB"/>
    <w:rsid w:val="092949CB"/>
    <w:rsid w:val="09362E08"/>
    <w:rsid w:val="093A7294"/>
    <w:rsid w:val="093B2C0E"/>
    <w:rsid w:val="093B6C0C"/>
    <w:rsid w:val="093C56FD"/>
    <w:rsid w:val="093E6933"/>
    <w:rsid w:val="093F6B8D"/>
    <w:rsid w:val="09421B29"/>
    <w:rsid w:val="09476291"/>
    <w:rsid w:val="094D515C"/>
    <w:rsid w:val="094F392E"/>
    <w:rsid w:val="094F546C"/>
    <w:rsid w:val="09500829"/>
    <w:rsid w:val="095401BE"/>
    <w:rsid w:val="095A2B19"/>
    <w:rsid w:val="095C5321"/>
    <w:rsid w:val="095C6C0B"/>
    <w:rsid w:val="095E4DE9"/>
    <w:rsid w:val="09656922"/>
    <w:rsid w:val="096A7DDC"/>
    <w:rsid w:val="096E0792"/>
    <w:rsid w:val="097062AF"/>
    <w:rsid w:val="09714FF4"/>
    <w:rsid w:val="097631F1"/>
    <w:rsid w:val="097A4070"/>
    <w:rsid w:val="097B261C"/>
    <w:rsid w:val="097C4B0F"/>
    <w:rsid w:val="097D553A"/>
    <w:rsid w:val="098018C8"/>
    <w:rsid w:val="0984747F"/>
    <w:rsid w:val="098A11D3"/>
    <w:rsid w:val="098B7105"/>
    <w:rsid w:val="098D2BA7"/>
    <w:rsid w:val="098D3225"/>
    <w:rsid w:val="098D5465"/>
    <w:rsid w:val="098E4FAB"/>
    <w:rsid w:val="09911195"/>
    <w:rsid w:val="09930E5E"/>
    <w:rsid w:val="09956B3B"/>
    <w:rsid w:val="099A6F98"/>
    <w:rsid w:val="099D6FA0"/>
    <w:rsid w:val="09B220A4"/>
    <w:rsid w:val="09B45360"/>
    <w:rsid w:val="09B858D3"/>
    <w:rsid w:val="09BC2825"/>
    <w:rsid w:val="09BD3D7E"/>
    <w:rsid w:val="09BF3D9F"/>
    <w:rsid w:val="09C34C45"/>
    <w:rsid w:val="09C80CE4"/>
    <w:rsid w:val="09CC1C5A"/>
    <w:rsid w:val="09CF3993"/>
    <w:rsid w:val="09D6243C"/>
    <w:rsid w:val="09D931A6"/>
    <w:rsid w:val="09DA6B00"/>
    <w:rsid w:val="09DC376F"/>
    <w:rsid w:val="09DD0AF1"/>
    <w:rsid w:val="09DD1ECA"/>
    <w:rsid w:val="09E74119"/>
    <w:rsid w:val="09EF35F4"/>
    <w:rsid w:val="09EF6407"/>
    <w:rsid w:val="09F42C04"/>
    <w:rsid w:val="09F438F6"/>
    <w:rsid w:val="09F466FF"/>
    <w:rsid w:val="09F512DF"/>
    <w:rsid w:val="09F82FEE"/>
    <w:rsid w:val="0A014194"/>
    <w:rsid w:val="0A060C17"/>
    <w:rsid w:val="0A067560"/>
    <w:rsid w:val="0A0873E7"/>
    <w:rsid w:val="0A0B5489"/>
    <w:rsid w:val="0A0E50E5"/>
    <w:rsid w:val="0A0F65C5"/>
    <w:rsid w:val="0A131E95"/>
    <w:rsid w:val="0A1636C4"/>
    <w:rsid w:val="0A1A0D90"/>
    <w:rsid w:val="0A215779"/>
    <w:rsid w:val="0A263993"/>
    <w:rsid w:val="0A2A473C"/>
    <w:rsid w:val="0A2D3AC2"/>
    <w:rsid w:val="0A2D5C52"/>
    <w:rsid w:val="0A335F64"/>
    <w:rsid w:val="0A383C67"/>
    <w:rsid w:val="0A3A55A1"/>
    <w:rsid w:val="0A3A781C"/>
    <w:rsid w:val="0A3B30EE"/>
    <w:rsid w:val="0A3C334A"/>
    <w:rsid w:val="0A3F1BE6"/>
    <w:rsid w:val="0A415F12"/>
    <w:rsid w:val="0A4665B1"/>
    <w:rsid w:val="0A4729B1"/>
    <w:rsid w:val="0A4C319F"/>
    <w:rsid w:val="0A4F262F"/>
    <w:rsid w:val="0A504D43"/>
    <w:rsid w:val="0A51409B"/>
    <w:rsid w:val="0A566E34"/>
    <w:rsid w:val="0A5903AD"/>
    <w:rsid w:val="0A5E78EE"/>
    <w:rsid w:val="0A6203A9"/>
    <w:rsid w:val="0A6972F6"/>
    <w:rsid w:val="0A7124E9"/>
    <w:rsid w:val="0A736B1B"/>
    <w:rsid w:val="0A7559F7"/>
    <w:rsid w:val="0A774CF8"/>
    <w:rsid w:val="0A7902DD"/>
    <w:rsid w:val="0A8213B1"/>
    <w:rsid w:val="0A822CDA"/>
    <w:rsid w:val="0A845876"/>
    <w:rsid w:val="0A8734D3"/>
    <w:rsid w:val="0A8D21D4"/>
    <w:rsid w:val="0A8D6CE7"/>
    <w:rsid w:val="0A922D1F"/>
    <w:rsid w:val="0A9257B1"/>
    <w:rsid w:val="0A926BE8"/>
    <w:rsid w:val="0A994AB6"/>
    <w:rsid w:val="0A9F3F27"/>
    <w:rsid w:val="0AA5160C"/>
    <w:rsid w:val="0AA755DF"/>
    <w:rsid w:val="0AAD304D"/>
    <w:rsid w:val="0AAF48D5"/>
    <w:rsid w:val="0AB45FD3"/>
    <w:rsid w:val="0AB52432"/>
    <w:rsid w:val="0AB576F4"/>
    <w:rsid w:val="0AB7537C"/>
    <w:rsid w:val="0AB914DF"/>
    <w:rsid w:val="0AB9625B"/>
    <w:rsid w:val="0AB96C3F"/>
    <w:rsid w:val="0ABA4329"/>
    <w:rsid w:val="0ABD6D15"/>
    <w:rsid w:val="0ABE4E5D"/>
    <w:rsid w:val="0AC267E3"/>
    <w:rsid w:val="0AC81D07"/>
    <w:rsid w:val="0AC9459E"/>
    <w:rsid w:val="0ACA50D8"/>
    <w:rsid w:val="0AD2463A"/>
    <w:rsid w:val="0AD366B3"/>
    <w:rsid w:val="0AD451F6"/>
    <w:rsid w:val="0AD910F5"/>
    <w:rsid w:val="0ADE43B4"/>
    <w:rsid w:val="0AE05B49"/>
    <w:rsid w:val="0AE13DA4"/>
    <w:rsid w:val="0AE4604C"/>
    <w:rsid w:val="0AEA3240"/>
    <w:rsid w:val="0AEB1C73"/>
    <w:rsid w:val="0AED674E"/>
    <w:rsid w:val="0AEF5B84"/>
    <w:rsid w:val="0AF000F3"/>
    <w:rsid w:val="0AF46012"/>
    <w:rsid w:val="0AF66BCA"/>
    <w:rsid w:val="0B012051"/>
    <w:rsid w:val="0B03780D"/>
    <w:rsid w:val="0B057797"/>
    <w:rsid w:val="0B097DBF"/>
    <w:rsid w:val="0B0D38C9"/>
    <w:rsid w:val="0B0E266C"/>
    <w:rsid w:val="0B113E26"/>
    <w:rsid w:val="0B120D44"/>
    <w:rsid w:val="0B1450BB"/>
    <w:rsid w:val="0B1755A0"/>
    <w:rsid w:val="0B1E78CF"/>
    <w:rsid w:val="0B230C40"/>
    <w:rsid w:val="0B321F01"/>
    <w:rsid w:val="0B3247D2"/>
    <w:rsid w:val="0B38139F"/>
    <w:rsid w:val="0B396B80"/>
    <w:rsid w:val="0B3B1B73"/>
    <w:rsid w:val="0B3B7F5E"/>
    <w:rsid w:val="0B3F5F41"/>
    <w:rsid w:val="0B40157D"/>
    <w:rsid w:val="0B4025C0"/>
    <w:rsid w:val="0B465B17"/>
    <w:rsid w:val="0B466418"/>
    <w:rsid w:val="0B46783D"/>
    <w:rsid w:val="0B4A0219"/>
    <w:rsid w:val="0B4B301F"/>
    <w:rsid w:val="0B4D2F15"/>
    <w:rsid w:val="0B4F20B3"/>
    <w:rsid w:val="0B5477B0"/>
    <w:rsid w:val="0B571743"/>
    <w:rsid w:val="0B577CD6"/>
    <w:rsid w:val="0B5B1D7D"/>
    <w:rsid w:val="0B5B6B46"/>
    <w:rsid w:val="0B5D75AD"/>
    <w:rsid w:val="0B634050"/>
    <w:rsid w:val="0B682B42"/>
    <w:rsid w:val="0B6C71A2"/>
    <w:rsid w:val="0B6E0AEF"/>
    <w:rsid w:val="0B6F4D0F"/>
    <w:rsid w:val="0B723081"/>
    <w:rsid w:val="0B723896"/>
    <w:rsid w:val="0B730B3E"/>
    <w:rsid w:val="0B7A6CE8"/>
    <w:rsid w:val="0B7B2826"/>
    <w:rsid w:val="0B83571D"/>
    <w:rsid w:val="0B862DB5"/>
    <w:rsid w:val="0B8852C7"/>
    <w:rsid w:val="0B8C0CC2"/>
    <w:rsid w:val="0B8D0D08"/>
    <w:rsid w:val="0B914AD0"/>
    <w:rsid w:val="0B9451EF"/>
    <w:rsid w:val="0B967C4C"/>
    <w:rsid w:val="0B9B4936"/>
    <w:rsid w:val="0BA64624"/>
    <w:rsid w:val="0BA7008A"/>
    <w:rsid w:val="0BA73626"/>
    <w:rsid w:val="0BAA27C0"/>
    <w:rsid w:val="0BAD6F91"/>
    <w:rsid w:val="0BAD78CC"/>
    <w:rsid w:val="0BB55351"/>
    <w:rsid w:val="0BBB341C"/>
    <w:rsid w:val="0BBC6898"/>
    <w:rsid w:val="0BBF4F24"/>
    <w:rsid w:val="0BC060F0"/>
    <w:rsid w:val="0BC11C60"/>
    <w:rsid w:val="0BC341B5"/>
    <w:rsid w:val="0BCA21C2"/>
    <w:rsid w:val="0BCC25D5"/>
    <w:rsid w:val="0BCC3908"/>
    <w:rsid w:val="0BCE677A"/>
    <w:rsid w:val="0BD01F7A"/>
    <w:rsid w:val="0BD177FC"/>
    <w:rsid w:val="0BD27BF6"/>
    <w:rsid w:val="0BD4580F"/>
    <w:rsid w:val="0BDD4712"/>
    <w:rsid w:val="0BDD7ECA"/>
    <w:rsid w:val="0BDF15C2"/>
    <w:rsid w:val="0BE24FA8"/>
    <w:rsid w:val="0BE25C8B"/>
    <w:rsid w:val="0BE66889"/>
    <w:rsid w:val="0BEA6CCC"/>
    <w:rsid w:val="0BEB0669"/>
    <w:rsid w:val="0BEB1C85"/>
    <w:rsid w:val="0BEE642B"/>
    <w:rsid w:val="0BEF38E2"/>
    <w:rsid w:val="0BF23DE3"/>
    <w:rsid w:val="0BF24F07"/>
    <w:rsid w:val="0BF31EFB"/>
    <w:rsid w:val="0BF41254"/>
    <w:rsid w:val="0BF540F5"/>
    <w:rsid w:val="0BFC4CBA"/>
    <w:rsid w:val="0BFF49AB"/>
    <w:rsid w:val="0C0447B8"/>
    <w:rsid w:val="0C07603B"/>
    <w:rsid w:val="0C0D1355"/>
    <w:rsid w:val="0C0F6474"/>
    <w:rsid w:val="0C1729E4"/>
    <w:rsid w:val="0C180377"/>
    <w:rsid w:val="0C1812A2"/>
    <w:rsid w:val="0C181E4B"/>
    <w:rsid w:val="0C181EB5"/>
    <w:rsid w:val="0C1A371E"/>
    <w:rsid w:val="0C1F71DA"/>
    <w:rsid w:val="0C201D28"/>
    <w:rsid w:val="0C2226B6"/>
    <w:rsid w:val="0C22654C"/>
    <w:rsid w:val="0C273BF9"/>
    <w:rsid w:val="0C2F5A8D"/>
    <w:rsid w:val="0C336A59"/>
    <w:rsid w:val="0C3B3C7D"/>
    <w:rsid w:val="0C3B75FF"/>
    <w:rsid w:val="0C441407"/>
    <w:rsid w:val="0C463AB2"/>
    <w:rsid w:val="0C46445F"/>
    <w:rsid w:val="0C491202"/>
    <w:rsid w:val="0C4B71F9"/>
    <w:rsid w:val="0C4D2BD7"/>
    <w:rsid w:val="0C576BBD"/>
    <w:rsid w:val="0C580E92"/>
    <w:rsid w:val="0C58143A"/>
    <w:rsid w:val="0C5E4F88"/>
    <w:rsid w:val="0C61529D"/>
    <w:rsid w:val="0C65165A"/>
    <w:rsid w:val="0C680956"/>
    <w:rsid w:val="0C6D49D0"/>
    <w:rsid w:val="0C73100F"/>
    <w:rsid w:val="0C732BC7"/>
    <w:rsid w:val="0C7B6E51"/>
    <w:rsid w:val="0C7C435D"/>
    <w:rsid w:val="0C7E1C1C"/>
    <w:rsid w:val="0C852EC2"/>
    <w:rsid w:val="0C860B7E"/>
    <w:rsid w:val="0C8A6F39"/>
    <w:rsid w:val="0C8B0440"/>
    <w:rsid w:val="0C8C3828"/>
    <w:rsid w:val="0C903974"/>
    <w:rsid w:val="0C930FF5"/>
    <w:rsid w:val="0C991D7B"/>
    <w:rsid w:val="0C9E5C16"/>
    <w:rsid w:val="0CA477EB"/>
    <w:rsid w:val="0CA515A8"/>
    <w:rsid w:val="0CAB2EAE"/>
    <w:rsid w:val="0CAB5947"/>
    <w:rsid w:val="0CAB5AE9"/>
    <w:rsid w:val="0CAD5C70"/>
    <w:rsid w:val="0CAE50AC"/>
    <w:rsid w:val="0CB35010"/>
    <w:rsid w:val="0CB876CA"/>
    <w:rsid w:val="0CBA3F66"/>
    <w:rsid w:val="0CBE0A76"/>
    <w:rsid w:val="0CBE3B78"/>
    <w:rsid w:val="0CC20C42"/>
    <w:rsid w:val="0CC35E09"/>
    <w:rsid w:val="0CC4286B"/>
    <w:rsid w:val="0CC779F2"/>
    <w:rsid w:val="0CD10148"/>
    <w:rsid w:val="0CE263E0"/>
    <w:rsid w:val="0CE47163"/>
    <w:rsid w:val="0CE6211D"/>
    <w:rsid w:val="0CEA0A33"/>
    <w:rsid w:val="0CEB6971"/>
    <w:rsid w:val="0CF0693D"/>
    <w:rsid w:val="0CF247F7"/>
    <w:rsid w:val="0CF26D65"/>
    <w:rsid w:val="0CF90E59"/>
    <w:rsid w:val="0CFB0202"/>
    <w:rsid w:val="0CFC4291"/>
    <w:rsid w:val="0CFD7C97"/>
    <w:rsid w:val="0D0002F1"/>
    <w:rsid w:val="0D011623"/>
    <w:rsid w:val="0D027800"/>
    <w:rsid w:val="0D0814F3"/>
    <w:rsid w:val="0D0B6387"/>
    <w:rsid w:val="0D0D525C"/>
    <w:rsid w:val="0D156883"/>
    <w:rsid w:val="0D182147"/>
    <w:rsid w:val="0D1A0E0C"/>
    <w:rsid w:val="0D1D3364"/>
    <w:rsid w:val="0D1F4EDF"/>
    <w:rsid w:val="0D24687B"/>
    <w:rsid w:val="0D283DA5"/>
    <w:rsid w:val="0D2F23C6"/>
    <w:rsid w:val="0D2F3CE1"/>
    <w:rsid w:val="0D320E7D"/>
    <w:rsid w:val="0D321200"/>
    <w:rsid w:val="0D325A6B"/>
    <w:rsid w:val="0D325A8A"/>
    <w:rsid w:val="0D383E31"/>
    <w:rsid w:val="0D3B17A0"/>
    <w:rsid w:val="0D435FDC"/>
    <w:rsid w:val="0D48037B"/>
    <w:rsid w:val="0D4A12A6"/>
    <w:rsid w:val="0D4A7EEC"/>
    <w:rsid w:val="0D4C3CA0"/>
    <w:rsid w:val="0D4D1F73"/>
    <w:rsid w:val="0D5224BF"/>
    <w:rsid w:val="0D5F41D5"/>
    <w:rsid w:val="0D621C7D"/>
    <w:rsid w:val="0D6354C2"/>
    <w:rsid w:val="0D6A293A"/>
    <w:rsid w:val="0D6B35AE"/>
    <w:rsid w:val="0D6B615D"/>
    <w:rsid w:val="0D6C4A37"/>
    <w:rsid w:val="0D6D01EB"/>
    <w:rsid w:val="0D6F4661"/>
    <w:rsid w:val="0D7005A1"/>
    <w:rsid w:val="0D772BDC"/>
    <w:rsid w:val="0D7E220C"/>
    <w:rsid w:val="0D80455F"/>
    <w:rsid w:val="0D806ED0"/>
    <w:rsid w:val="0D81376F"/>
    <w:rsid w:val="0D815861"/>
    <w:rsid w:val="0D851202"/>
    <w:rsid w:val="0D865AD2"/>
    <w:rsid w:val="0D8B28D5"/>
    <w:rsid w:val="0D91326A"/>
    <w:rsid w:val="0D9325A8"/>
    <w:rsid w:val="0D9504A7"/>
    <w:rsid w:val="0D953B20"/>
    <w:rsid w:val="0D964A17"/>
    <w:rsid w:val="0D9A6646"/>
    <w:rsid w:val="0D9C1640"/>
    <w:rsid w:val="0D9F2ACE"/>
    <w:rsid w:val="0DAB2A50"/>
    <w:rsid w:val="0DAF5E87"/>
    <w:rsid w:val="0DB31C1D"/>
    <w:rsid w:val="0DB5329D"/>
    <w:rsid w:val="0DB96CD2"/>
    <w:rsid w:val="0DBE7705"/>
    <w:rsid w:val="0DC40FED"/>
    <w:rsid w:val="0DC77EDB"/>
    <w:rsid w:val="0DC913C9"/>
    <w:rsid w:val="0DC9326F"/>
    <w:rsid w:val="0DCC26C9"/>
    <w:rsid w:val="0DCC6099"/>
    <w:rsid w:val="0DD34CFB"/>
    <w:rsid w:val="0DD65F3E"/>
    <w:rsid w:val="0DD703F2"/>
    <w:rsid w:val="0DDB0384"/>
    <w:rsid w:val="0DE207D1"/>
    <w:rsid w:val="0DEB5AC9"/>
    <w:rsid w:val="0DED6B28"/>
    <w:rsid w:val="0DEE2F14"/>
    <w:rsid w:val="0DF01742"/>
    <w:rsid w:val="0DF112D8"/>
    <w:rsid w:val="0DF17289"/>
    <w:rsid w:val="0DF22DC9"/>
    <w:rsid w:val="0DF50B17"/>
    <w:rsid w:val="0DF851D8"/>
    <w:rsid w:val="0DF86B35"/>
    <w:rsid w:val="0E00525A"/>
    <w:rsid w:val="0E010E7D"/>
    <w:rsid w:val="0E015076"/>
    <w:rsid w:val="0E055AA2"/>
    <w:rsid w:val="0E071CF8"/>
    <w:rsid w:val="0E0B4A28"/>
    <w:rsid w:val="0E0F3503"/>
    <w:rsid w:val="0E102FF4"/>
    <w:rsid w:val="0E110875"/>
    <w:rsid w:val="0E120828"/>
    <w:rsid w:val="0E14798B"/>
    <w:rsid w:val="0E150E30"/>
    <w:rsid w:val="0E1B145B"/>
    <w:rsid w:val="0E1B2BD1"/>
    <w:rsid w:val="0E251615"/>
    <w:rsid w:val="0E2534E5"/>
    <w:rsid w:val="0E317643"/>
    <w:rsid w:val="0E376AD9"/>
    <w:rsid w:val="0E3C742C"/>
    <w:rsid w:val="0E3E100B"/>
    <w:rsid w:val="0E451284"/>
    <w:rsid w:val="0E4A362B"/>
    <w:rsid w:val="0E4D6681"/>
    <w:rsid w:val="0E4F1D20"/>
    <w:rsid w:val="0E514717"/>
    <w:rsid w:val="0E523F08"/>
    <w:rsid w:val="0E553042"/>
    <w:rsid w:val="0E562560"/>
    <w:rsid w:val="0E585F93"/>
    <w:rsid w:val="0E5C3FDA"/>
    <w:rsid w:val="0E60276E"/>
    <w:rsid w:val="0E612196"/>
    <w:rsid w:val="0E631CC0"/>
    <w:rsid w:val="0E662AAF"/>
    <w:rsid w:val="0E663A6F"/>
    <w:rsid w:val="0E6828CB"/>
    <w:rsid w:val="0E6E1015"/>
    <w:rsid w:val="0E6E1196"/>
    <w:rsid w:val="0E6E59F5"/>
    <w:rsid w:val="0E73034D"/>
    <w:rsid w:val="0E7E4B64"/>
    <w:rsid w:val="0E7F105F"/>
    <w:rsid w:val="0E7F62AA"/>
    <w:rsid w:val="0E833DCE"/>
    <w:rsid w:val="0E840FBD"/>
    <w:rsid w:val="0E884281"/>
    <w:rsid w:val="0E885E8E"/>
    <w:rsid w:val="0E895EC0"/>
    <w:rsid w:val="0E8C06C8"/>
    <w:rsid w:val="0E8D4F0D"/>
    <w:rsid w:val="0E966897"/>
    <w:rsid w:val="0E99535D"/>
    <w:rsid w:val="0E9A65F9"/>
    <w:rsid w:val="0EA006BD"/>
    <w:rsid w:val="0EA86863"/>
    <w:rsid w:val="0EA90D60"/>
    <w:rsid w:val="0EAB2F2E"/>
    <w:rsid w:val="0EAD513F"/>
    <w:rsid w:val="0EAD6766"/>
    <w:rsid w:val="0EAE38F6"/>
    <w:rsid w:val="0EAF172C"/>
    <w:rsid w:val="0EB2068D"/>
    <w:rsid w:val="0EB336FC"/>
    <w:rsid w:val="0EB45980"/>
    <w:rsid w:val="0EB61E43"/>
    <w:rsid w:val="0EB64CE3"/>
    <w:rsid w:val="0EB77BCF"/>
    <w:rsid w:val="0EBB075C"/>
    <w:rsid w:val="0EBB6E86"/>
    <w:rsid w:val="0EBE24E2"/>
    <w:rsid w:val="0EBF6574"/>
    <w:rsid w:val="0EC34A6A"/>
    <w:rsid w:val="0EC779AE"/>
    <w:rsid w:val="0ECA352C"/>
    <w:rsid w:val="0ECB05CF"/>
    <w:rsid w:val="0ECC43A9"/>
    <w:rsid w:val="0ECD5AF4"/>
    <w:rsid w:val="0ECE224E"/>
    <w:rsid w:val="0ED031E8"/>
    <w:rsid w:val="0ED05169"/>
    <w:rsid w:val="0ED0535E"/>
    <w:rsid w:val="0ED21B9B"/>
    <w:rsid w:val="0ED25A46"/>
    <w:rsid w:val="0ED40A40"/>
    <w:rsid w:val="0EDF4030"/>
    <w:rsid w:val="0EE326D7"/>
    <w:rsid w:val="0EE55106"/>
    <w:rsid w:val="0EE86171"/>
    <w:rsid w:val="0EEA4729"/>
    <w:rsid w:val="0EEB7523"/>
    <w:rsid w:val="0EF24417"/>
    <w:rsid w:val="0EF34C2F"/>
    <w:rsid w:val="0EF47B93"/>
    <w:rsid w:val="0EF73108"/>
    <w:rsid w:val="0EF84007"/>
    <w:rsid w:val="0EFA2D64"/>
    <w:rsid w:val="0EFF3363"/>
    <w:rsid w:val="0EFF7267"/>
    <w:rsid w:val="0F005BB4"/>
    <w:rsid w:val="0F017ED7"/>
    <w:rsid w:val="0F025D2D"/>
    <w:rsid w:val="0F03790B"/>
    <w:rsid w:val="0F050977"/>
    <w:rsid w:val="0F073BF9"/>
    <w:rsid w:val="0F086788"/>
    <w:rsid w:val="0F09652E"/>
    <w:rsid w:val="0F0B69B1"/>
    <w:rsid w:val="0F0E7A5C"/>
    <w:rsid w:val="0F0F2890"/>
    <w:rsid w:val="0F130A4C"/>
    <w:rsid w:val="0F13775A"/>
    <w:rsid w:val="0F141520"/>
    <w:rsid w:val="0F181DD0"/>
    <w:rsid w:val="0F184E19"/>
    <w:rsid w:val="0F1F198C"/>
    <w:rsid w:val="0F2430A2"/>
    <w:rsid w:val="0F284383"/>
    <w:rsid w:val="0F285434"/>
    <w:rsid w:val="0F294BD7"/>
    <w:rsid w:val="0F2A0713"/>
    <w:rsid w:val="0F2B1EAC"/>
    <w:rsid w:val="0F2B4B6F"/>
    <w:rsid w:val="0F2D3D33"/>
    <w:rsid w:val="0F2F7F63"/>
    <w:rsid w:val="0F302D5E"/>
    <w:rsid w:val="0F317B42"/>
    <w:rsid w:val="0F37724A"/>
    <w:rsid w:val="0F393EF9"/>
    <w:rsid w:val="0F3B74D0"/>
    <w:rsid w:val="0F3D7E33"/>
    <w:rsid w:val="0F3E7F55"/>
    <w:rsid w:val="0F3F7CF5"/>
    <w:rsid w:val="0F414372"/>
    <w:rsid w:val="0F414AD6"/>
    <w:rsid w:val="0F420F42"/>
    <w:rsid w:val="0F45376F"/>
    <w:rsid w:val="0F47391A"/>
    <w:rsid w:val="0F4D713D"/>
    <w:rsid w:val="0F4F018D"/>
    <w:rsid w:val="0F516037"/>
    <w:rsid w:val="0F55607F"/>
    <w:rsid w:val="0F576922"/>
    <w:rsid w:val="0F591C6F"/>
    <w:rsid w:val="0F5964EA"/>
    <w:rsid w:val="0F5E6179"/>
    <w:rsid w:val="0F5F45FE"/>
    <w:rsid w:val="0F624682"/>
    <w:rsid w:val="0F676553"/>
    <w:rsid w:val="0F681892"/>
    <w:rsid w:val="0F6953EA"/>
    <w:rsid w:val="0F6D4023"/>
    <w:rsid w:val="0F746FCE"/>
    <w:rsid w:val="0F7816EE"/>
    <w:rsid w:val="0F792DB8"/>
    <w:rsid w:val="0F7B0E06"/>
    <w:rsid w:val="0F7E35E5"/>
    <w:rsid w:val="0F8615F2"/>
    <w:rsid w:val="0F871FDA"/>
    <w:rsid w:val="0F8B363B"/>
    <w:rsid w:val="0F8E1E70"/>
    <w:rsid w:val="0F9124E7"/>
    <w:rsid w:val="0F9135AF"/>
    <w:rsid w:val="0F946435"/>
    <w:rsid w:val="0F951914"/>
    <w:rsid w:val="0F972D16"/>
    <w:rsid w:val="0F9864DB"/>
    <w:rsid w:val="0F986823"/>
    <w:rsid w:val="0F99774E"/>
    <w:rsid w:val="0F9A112B"/>
    <w:rsid w:val="0F9B5891"/>
    <w:rsid w:val="0F9F08FE"/>
    <w:rsid w:val="0FA71CA3"/>
    <w:rsid w:val="0FA8135F"/>
    <w:rsid w:val="0FA83346"/>
    <w:rsid w:val="0FA85180"/>
    <w:rsid w:val="0FA978CF"/>
    <w:rsid w:val="0FAB3D6E"/>
    <w:rsid w:val="0FAC22E6"/>
    <w:rsid w:val="0FAD0C0E"/>
    <w:rsid w:val="0FAF5762"/>
    <w:rsid w:val="0FBA1C17"/>
    <w:rsid w:val="0FBB2273"/>
    <w:rsid w:val="0FBF584D"/>
    <w:rsid w:val="0FC22640"/>
    <w:rsid w:val="0FC34754"/>
    <w:rsid w:val="0FC91363"/>
    <w:rsid w:val="0FC92ADF"/>
    <w:rsid w:val="0FC97115"/>
    <w:rsid w:val="0FCB0764"/>
    <w:rsid w:val="0FCF4170"/>
    <w:rsid w:val="0FCF5A0D"/>
    <w:rsid w:val="0FD05F2B"/>
    <w:rsid w:val="0FD225D2"/>
    <w:rsid w:val="0FD316BB"/>
    <w:rsid w:val="0FD52997"/>
    <w:rsid w:val="0FD65C73"/>
    <w:rsid w:val="0FDB4824"/>
    <w:rsid w:val="0FDE0DF8"/>
    <w:rsid w:val="0FE73A9F"/>
    <w:rsid w:val="0FE8715B"/>
    <w:rsid w:val="0FE96FEA"/>
    <w:rsid w:val="0FEB67BC"/>
    <w:rsid w:val="0FF050F6"/>
    <w:rsid w:val="0FF52DE4"/>
    <w:rsid w:val="0FF747E0"/>
    <w:rsid w:val="0FF842DF"/>
    <w:rsid w:val="0FFD0DCF"/>
    <w:rsid w:val="0FFF0A95"/>
    <w:rsid w:val="0FFF2679"/>
    <w:rsid w:val="100446D7"/>
    <w:rsid w:val="10066AC2"/>
    <w:rsid w:val="10066DB0"/>
    <w:rsid w:val="100B1645"/>
    <w:rsid w:val="100B5BF9"/>
    <w:rsid w:val="10116D63"/>
    <w:rsid w:val="10135B37"/>
    <w:rsid w:val="10142D90"/>
    <w:rsid w:val="10195D48"/>
    <w:rsid w:val="101C4737"/>
    <w:rsid w:val="101D5543"/>
    <w:rsid w:val="101F1D1B"/>
    <w:rsid w:val="102316B9"/>
    <w:rsid w:val="10232840"/>
    <w:rsid w:val="10262333"/>
    <w:rsid w:val="10294854"/>
    <w:rsid w:val="102B2729"/>
    <w:rsid w:val="10304B49"/>
    <w:rsid w:val="103309E3"/>
    <w:rsid w:val="10334A8A"/>
    <w:rsid w:val="103368A1"/>
    <w:rsid w:val="10343FD7"/>
    <w:rsid w:val="10344735"/>
    <w:rsid w:val="103A2966"/>
    <w:rsid w:val="103F35B1"/>
    <w:rsid w:val="103F6315"/>
    <w:rsid w:val="104024B4"/>
    <w:rsid w:val="10413655"/>
    <w:rsid w:val="10441A78"/>
    <w:rsid w:val="10461C16"/>
    <w:rsid w:val="1047698B"/>
    <w:rsid w:val="104C0351"/>
    <w:rsid w:val="104F03E7"/>
    <w:rsid w:val="105065FE"/>
    <w:rsid w:val="10517A12"/>
    <w:rsid w:val="10550924"/>
    <w:rsid w:val="10565275"/>
    <w:rsid w:val="105748D6"/>
    <w:rsid w:val="10593FA5"/>
    <w:rsid w:val="105C07D9"/>
    <w:rsid w:val="105C3F7D"/>
    <w:rsid w:val="105E4634"/>
    <w:rsid w:val="105E4D61"/>
    <w:rsid w:val="105E6348"/>
    <w:rsid w:val="106708BD"/>
    <w:rsid w:val="106A56CA"/>
    <w:rsid w:val="106B21FE"/>
    <w:rsid w:val="106D2F64"/>
    <w:rsid w:val="106D7B8E"/>
    <w:rsid w:val="106E55CA"/>
    <w:rsid w:val="10702D45"/>
    <w:rsid w:val="10765FEB"/>
    <w:rsid w:val="107956B1"/>
    <w:rsid w:val="107C5A98"/>
    <w:rsid w:val="1080556E"/>
    <w:rsid w:val="10930C4A"/>
    <w:rsid w:val="10976FFE"/>
    <w:rsid w:val="109A32A9"/>
    <w:rsid w:val="109B4CBB"/>
    <w:rsid w:val="10A03526"/>
    <w:rsid w:val="10A36259"/>
    <w:rsid w:val="10A53CFE"/>
    <w:rsid w:val="10A57692"/>
    <w:rsid w:val="10AF4271"/>
    <w:rsid w:val="10B63710"/>
    <w:rsid w:val="10B77FBE"/>
    <w:rsid w:val="10C300B0"/>
    <w:rsid w:val="10C51F9D"/>
    <w:rsid w:val="10C662DE"/>
    <w:rsid w:val="10CB3A3A"/>
    <w:rsid w:val="10CE00F7"/>
    <w:rsid w:val="10CE6E95"/>
    <w:rsid w:val="10CF10AE"/>
    <w:rsid w:val="10D10065"/>
    <w:rsid w:val="10D2134C"/>
    <w:rsid w:val="10D24EA1"/>
    <w:rsid w:val="10D40AFA"/>
    <w:rsid w:val="10D637D7"/>
    <w:rsid w:val="10DA0E5F"/>
    <w:rsid w:val="10DD295C"/>
    <w:rsid w:val="10E01838"/>
    <w:rsid w:val="10E147CF"/>
    <w:rsid w:val="10E240EF"/>
    <w:rsid w:val="10E7083B"/>
    <w:rsid w:val="10ED10D9"/>
    <w:rsid w:val="10EE3301"/>
    <w:rsid w:val="10EF59DA"/>
    <w:rsid w:val="10F10820"/>
    <w:rsid w:val="10F24D1C"/>
    <w:rsid w:val="10F613D5"/>
    <w:rsid w:val="10F72B48"/>
    <w:rsid w:val="10F76206"/>
    <w:rsid w:val="10FF09F4"/>
    <w:rsid w:val="11003E52"/>
    <w:rsid w:val="11045C44"/>
    <w:rsid w:val="1108569A"/>
    <w:rsid w:val="110E7E13"/>
    <w:rsid w:val="111013DC"/>
    <w:rsid w:val="111274D6"/>
    <w:rsid w:val="111352C4"/>
    <w:rsid w:val="11137361"/>
    <w:rsid w:val="11141260"/>
    <w:rsid w:val="11166660"/>
    <w:rsid w:val="111742D1"/>
    <w:rsid w:val="11190FC8"/>
    <w:rsid w:val="111B68CA"/>
    <w:rsid w:val="111C2F7A"/>
    <w:rsid w:val="111F649B"/>
    <w:rsid w:val="112030E6"/>
    <w:rsid w:val="11230724"/>
    <w:rsid w:val="11251EB8"/>
    <w:rsid w:val="11291EF2"/>
    <w:rsid w:val="112A12E6"/>
    <w:rsid w:val="112C1413"/>
    <w:rsid w:val="11315F3B"/>
    <w:rsid w:val="11337517"/>
    <w:rsid w:val="1134767B"/>
    <w:rsid w:val="11364EA7"/>
    <w:rsid w:val="11367ED5"/>
    <w:rsid w:val="113A42C6"/>
    <w:rsid w:val="113B2DDD"/>
    <w:rsid w:val="113D6564"/>
    <w:rsid w:val="113E6615"/>
    <w:rsid w:val="113E7A2D"/>
    <w:rsid w:val="114177CF"/>
    <w:rsid w:val="11443CA9"/>
    <w:rsid w:val="114637DE"/>
    <w:rsid w:val="114802B1"/>
    <w:rsid w:val="11484DF6"/>
    <w:rsid w:val="11520820"/>
    <w:rsid w:val="11573602"/>
    <w:rsid w:val="115C7993"/>
    <w:rsid w:val="11615C73"/>
    <w:rsid w:val="11655280"/>
    <w:rsid w:val="11665CA1"/>
    <w:rsid w:val="116F016B"/>
    <w:rsid w:val="11742678"/>
    <w:rsid w:val="117607A1"/>
    <w:rsid w:val="117C31CF"/>
    <w:rsid w:val="118220D4"/>
    <w:rsid w:val="11830969"/>
    <w:rsid w:val="11877685"/>
    <w:rsid w:val="118C087E"/>
    <w:rsid w:val="118C120D"/>
    <w:rsid w:val="118C303D"/>
    <w:rsid w:val="118C76FC"/>
    <w:rsid w:val="119001BF"/>
    <w:rsid w:val="11915C88"/>
    <w:rsid w:val="119512E4"/>
    <w:rsid w:val="11951FE4"/>
    <w:rsid w:val="1195726A"/>
    <w:rsid w:val="1197532B"/>
    <w:rsid w:val="11983A28"/>
    <w:rsid w:val="119A0D04"/>
    <w:rsid w:val="119D08AD"/>
    <w:rsid w:val="119D281E"/>
    <w:rsid w:val="11A44470"/>
    <w:rsid w:val="11A66EB4"/>
    <w:rsid w:val="11A71486"/>
    <w:rsid w:val="11A85265"/>
    <w:rsid w:val="11B169A4"/>
    <w:rsid w:val="11B503A1"/>
    <w:rsid w:val="11B80254"/>
    <w:rsid w:val="11BD2FBE"/>
    <w:rsid w:val="11BF657F"/>
    <w:rsid w:val="11C10B22"/>
    <w:rsid w:val="11C3093D"/>
    <w:rsid w:val="11C32570"/>
    <w:rsid w:val="11C57B98"/>
    <w:rsid w:val="11C62D99"/>
    <w:rsid w:val="11C73737"/>
    <w:rsid w:val="11C826A7"/>
    <w:rsid w:val="11C8570D"/>
    <w:rsid w:val="11CA7B39"/>
    <w:rsid w:val="11CB664D"/>
    <w:rsid w:val="11CC5790"/>
    <w:rsid w:val="11CD79EA"/>
    <w:rsid w:val="11CE5F2F"/>
    <w:rsid w:val="11CF13CF"/>
    <w:rsid w:val="11D24D85"/>
    <w:rsid w:val="11D30D46"/>
    <w:rsid w:val="11D32314"/>
    <w:rsid w:val="11D44E26"/>
    <w:rsid w:val="11D460E9"/>
    <w:rsid w:val="11DB7D4B"/>
    <w:rsid w:val="11DD7E9F"/>
    <w:rsid w:val="11DF5F79"/>
    <w:rsid w:val="11E032A9"/>
    <w:rsid w:val="11E33198"/>
    <w:rsid w:val="11E809A9"/>
    <w:rsid w:val="11E844A9"/>
    <w:rsid w:val="11E8471E"/>
    <w:rsid w:val="11EB2BB1"/>
    <w:rsid w:val="11F05764"/>
    <w:rsid w:val="11F14ACE"/>
    <w:rsid w:val="11F1524C"/>
    <w:rsid w:val="11F23438"/>
    <w:rsid w:val="11F4126E"/>
    <w:rsid w:val="11FE5013"/>
    <w:rsid w:val="12015BF9"/>
    <w:rsid w:val="12032A16"/>
    <w:rsid w:val="12036F52"/>
    <w:rsid w:val="120929B7"/>
    <w:rsid w:val="120A1FE7"/>
    <w:rsid w:val="120A48AB"/>
    <w:rsid w:val="120F4ADD"/>
    <w:rsid w:val="12112BC8"/>
    <w:rsid w:val="1213320C"/>
    <w:rsid w:val="12145FC6"/>
    <w:rsid w:val="121643DB"/>
    <w:rsid w:val="12190E8B"/>
    <w:rsid w:val="121B11D1"/>
    <w:rsid w:val="121B6749"/>
    <w:rsid w:val="121C24B0"/>
    <w:rsid w:val="121D348E"/>
    <w:rsid w:val="121D4F84"/>
    <w:rsid w:val="121D658B"/>
    <w:rsid w:val="121E6E4A"/>
    <w:rsid w:val="121E78DB"/>
    <w:rsid w:val="121F0CBB"/>
    <w:rsid w:val="121F42AE"/>
    <w:rsid w:val="12210B0F"/>
    <w:rsid w:val="122A5DB2"/>
    <w:rsid w:val="12327470"/>
    <w:rsid w:val="123370BC"/>
    <w:rsid w:val="12357EE9"/>
    <w:rsid w:val="1236284D"/>
    <w:rsid w:val="12365CBB"/>
    <w:rsid w:val="123A2025"/>
    <w:rsid w:val="123C1BFB"/>
    <w:rsid w:val="123D6F17"/>
    <w:rsid w:val="123F31D7"/>
    <w:rsid w:val="124440FC"/>
    <w:rsid w:val="12482761"/>
    <w:rsid w:val="12546891"/>
    <w:rsid w:val="12554112"/>
    <w:rsid w:val="125A7951"/>
    <w:rsid w:val="125C00C7"/>
    <w:rsid w:val="125F4287"/>
    <w:rsid w:val="126369F7"/>
    <w:rsid w:val="12680198"/>
    <w:rsid w:val="12692C78"/>
    <w:rsid w:val="126A4621"/>
    <w:rsid w:val="126E34D5"/>
    <w:rsid w:val="126F1BEE"/>
    <w:rsid w:val="127132A5"/>
    <w:rsid w:val="12721EE4"/>
    <w:rsid w:val="127274AD"/>
    <w:rsid w:val="12747CB6"/>
    <w:rsid w:val="127B1435"/>
    <w:rsid w:val="1284465F"/>
    <w:rsid w:val="12855A65"/>
    <w:rsid w:val="1287727F"/>
    <w:rsid w:val="12877480"/>
    <w:rsid w:val="128875B6"/>
    <w:rsid w:val="128C1785"/>
    <w:rsid w:val="12915ECD"/>
    <w:rsid w:val="129255E3"/>
    <w:rsid w:val="12937A79"/>
    <w:rsid w:val="12965803"/>
    <w:rsid w:val="12981A84"/>
    <w:rsid w:val="1298509B"/>
    <w:rsid w:val="12985F9C"/>
    <w:rsid w:val="129E339C"/>
    <w:rsid w:val="12AB01BF"/>
    <w:rsid w:val="12AD2444"/>
    <w:rsid w:val="12AE388B"/>
    <w:rsid w:val="12AE394C"/>
    <w:rsid w:val="12B81819"/>
    <w:rsid w:val="12BC3CC9"/>
    <w:rsid w:val="12BD15F3"/>
    <w:rsid w:val="12BE77A7"/>
    <w:rsid w:val="12C21CC0"/>
    <w:rsid w:val="12C33F24"/>
    <w:rsid w:val="12C354FB"/>
    <w:rsid w:val="12C67715"/>
    <w:rsid w:val="12CA235E"/>
    <w:rsid w:val="12D00484"/>
    <w:rsid w:val="12D223B3"/>
    <w:rsid w:val="12D370F6"/>
    <w:rsid w:val="12D405D2"/>
    <w:rsid w:val="12D5677C"/>
    <w:rsid w:val="12DF29CC"/>
    <w:rsid w:val="12E3261E"/>
    <w:rsid w:val="12E341C9"/>
    <w:rsid w:val="12E3439E"/>
    <w:rsid w:val="12E53EF1"/>
    <w:rsid w:val="12E70055"/>
    <w:rsid w:val="12E94ABF"/>
    <w:rsid w:val="12EE6C30"/>
    <w:rsid w:val="12F23F22"/>
    <w:rsid w:val="12F42A4A"/>
    <w:rsid w:val="12F7417F"/>
    <w:rsid w:val="12F76351"/>
    <w:rsid w:val="12FF4213"/>
    <w:rsid w:val="12FF6E77"/>
    <w:rsid w:val="13025B76"/>
    <w:rsid w:val="130C4AF0"/>
    <w:rsid w:val="130E4625"/>
    <w:rsid w:val="130E5444"/>
    <w:rsid w:val="130F3FD1"/>
    <w:rsid w:val="130F4F1E"/>
    <w:rsid w:val="13164862"/>
    <w:rsid w:val="13171814"/>
    <w:rsid w:val="131833E3"/>
    <w:rsid w:val="13227D51"/>
    <w:rsid w:val="13233020"/>
    <w:rsid w:val="13301ABD"/>
    <w:rsid w:val="1330772D"/>
    <w:rsid w:val="13331B6C"/>
    <w:rsid w:val="13367A35"/>
    <w:rsid w:val="133902ED"/>
    <w:rsid w:val="133B3735"/>
    <w:rsid w:val="133B67D0"/>
    <w:rsid w:val="133D090E"/>
    <w:rsid w:val="133E42D6"/>
    <w:rsid w:val="13436E7A"/>
    <w:rsid w:val="13452E20"/>
    <w:rsid w:val="134A25DB"/>
    <w:rsid w:val="134B506B"/>
    <w:rsid w:val="13547168"/>
    <w:rsid w:val="13571CAE"/>
    <w:rsid w:val="13582DE3"/>
    <w:rsid w:val="135C703A"/>
    <w:rsid w:val="135D065C"/>
    <w:rsid w:val="136021A1"/>
    <w:rsid w:val="136D483A"/>
    <w:rsid w:val="136F7C52"/>
    <w:rsid w:val="13724F29"/>
    <w:rsid w:val="13754196"/>
    <w:rsid w:val="137A229A"/>
    <w:rsid w:val="137A3B93"/>
    <w:rsid w:val="137C6142"/>
    <w:rsid w:val="13836FDA"/>
    <w:rsid w:val="138A0BE7"/>
    <w:rsid w:val="138D0E1D"/>
    <w:rsid w:val="138F486A"/>
    <w:rsid w:val="13904EFC"/>
    <w:rsid w:val="13930E95"/>
    <w:rsid w:val="13941AF7"/>
    <w:rsid w:val="13947806"/>
    <w:rsid w:val="13951726"/>
    <w:rsid w:val="13966DA9"/>
    <w:rsid w:val="139B2708"/>
    <w:rsid w:val="139D0D63"/>
    <w:rsid w:val="13A6109D"/>
    <w:rsid w:val="13A6611D"/>
    <w:rsid w:val="13B12D87"/>
    <w:rsid w:val="13BC1774"/>
    <w:rsid w:val="13BC2C7E"/>
    <w:rsid w:val="13C169A8"/>
    <w:rsid w:val="13C252F7"/>
    <w:rsid w:val="13C346CC"/>
    <w:rsid w:val="13C46230"/>
    <w:rsid w:val="13C85F58"/>
    <w:rsid w:val="13CA372C"/>
    <w:rsid w:val="13CB46B4"/>
    <w:rsid w:val="13CC42E0"/>
    <w:rsid w:val="13CC6CB0"/>
    <w:rsid w:val="13CD6C1B"/>
    <w:rsid w:val="13D577F7"/>
    <w:rsid w:val="13D67935"/>
    <w:rsid w:val="13D7709C"/>
    <w:rsid w:val="13D811BF"/>
    <w:rsid w:val="13DA2B26"/>
    <w:rsid w:val="13DD06C4"/>
    <w:rsid w:val="13DD6D3B"/>
    <w:rsid w:val="13DE30B8"/>
    <w:rsid w:val="13DF61A3"/>
    <w:rsid w:val="13E4647F"/>
    <w:rsid w:val="13E714DB"/>
    <w:rsid w:val="13EC558B"/>
    <w:rsid w:val="13F06836"/>
    <w:rsid w:val="13F755C0"/>
    <w:rsid w:val="13F75813"/>
    <w:rsid w:val="13F91956"/>
    <w:rsid w:val="13FC009C"/>
    <w:rsid w:val="13FD2313"/>
    <w:rsid w:val="14002456"/>
    <w:rsid w:val="140430EF"/>
    <w:rsid w:val="140631AA"/>
    <w:rsid w:val="14096EDB"/>
    <w:rsid w:val="140E5C37"/>
    <w:rsid w:val="14114084"/>
    <w:rsid w:val="141511DE"/>
    <w:rsid w:val="14171278"/>
    <w:rsid w:val="141C294A"/>
    <w:rsid w:val="14281BBE"/>
    <w:rsid w:val="1429093A"/>
    <w:rsid w:val="14347751"/>
    <w:rsid w:val="143679CB"/>
    <w:rsid w:val="14396509"/>
    <w:rsid w:val="143A3BDE"/>
    <w:rsid w:val="1449792C"/>
    <w:rsid w:val="144B189E"/>
    <w:rsid w:val="144C4AE9"/>
    <w:rsid w:val="144E49CC"/>
    <w:rsid w:val="144F42B7"/>
    <w:rsid w:val="14514097"/>
    <w:rsid w:val="145319AC"/>
    <w:rsid w:val="145408CD"/>
    <w:rsid w:val="1455064E"/>
    <w:rsid w:val="14556DDD"/>
    <w:rsid w:val="1458666E"/>
    <w:rsid w:val="14597DB4"/>
    <w:rsid w:val="145C0E98"/>
    <w:rsid w:val="146145EE"/>
    <w:rsid w:val="1462358C"/>
    <w:rsid w:val="1464675B"/>
    <w:rsid w:val="14684632"/>
    <w:rsid w:val="146E070F"/>
    <w:rsid w:val="146F1215"/>
    <w:rsid w:val="14744190"/>
    <w:rsid w:val="14776B61"/>
    <w:rsid w:val="14783E11"/>
    <w:rsid w:val="147C1D6C"/>
    <w:rsid w:val="147C2E7E"/>
    <w:rsid w:val="147F6096"/>
    <w:rsid w:val="14847606"/>
    <w:rsid w:val="14883713"/>
    <w:rsid w:val="14884E36"/>
    <w:rsid w:val="148864A5"/>
    <w:rsid w:val="14892019"/>
    <w:rsid w:val="14892C54"/>
    <w:rsid w:val="148E0930"/>
    <w:rsid w:val="148E55DD"/>
    <w:rsid w:val="148F1174"/>
    <w:rsid w:val="14930042"/>
    <w:rsid w:val="149314AD"/>
    <w:rsid w:val="14934974"/>
    <w:rsid w:val="14990094"/>
    <w:rsid w:val="14A03269"/>
    <w:rsid w:val="14A24DA5"/>
    <w:rsid w:val="14A26AB0"/>
    <w:rsid w:val="14A443D8"/>
    <w:rsid w:val="14AB131F"/>
    <w:rsid w:val="14AC18DA"/>
    <w:rsid w:val="14AF426D"/>
    <w:rsid w:val="14B01023"/>
    <w:rsid w:val="14B362E9"/>
    <w:rsid w:val="14B52E81"/>
    <w:rsid w:val="14B534BA"/>
    <w:rsid w:val="14B93AE6"/>
    <w:rsid w:val="14BD4F7D"/>
    <w:rsid w:val="14BE3141"/>
    <w:rsid w:val="14BE3A58"/>
    <w:rsid w:val="14C1164E"/>
    <w:rsid w:val="14C238EF"/>
    <w:rsid w:val="14C24D6A"/>
    <w:rsid w:val="14C31620"/>
    <w:rsid w:val="14C65A15"/>
    <w:rsid w:val="14CB6D12"/>
    <w:rsid w:val="14D305C2"/>
    <w:rsid w:val="14D65AED"/>
    <w:rsid w:val="14D80766"/>
    <w:rsid w:val="14D930B2"/>
    <w:rsid w:val="14DB2B69"/>
    <w:rsid w:val="14DD2C3C"/>
    <w:rsid w:val="14DE175D"/>
    <w:rsid w:val="14E07FF7"/>
    <w:rsid w:val="14E76B02"/>
    <w:rsid w:val="14E833AC"/>
    <w:rsid w:val="14E87B02"/>
    <w:rsid w:val="14EE2B8A"/>
    <w:rsid w:val="14EF7BD1"/>
    <w:rsid w:val="14F205C2"/>
    <w:rsid w:val="14F25809"/>
    <w:rsid w:val="14F42C19"/>
    <w:rsid w:val="14F614F0"/>
    <w:rsid w:val="14F84FF5"/>
    <w:rsid w:val="14FA72AB"/>
    <w:rsid w:val="14FC4F31"/>
    <w:rsid w:val="150158F1"/>
    <w:rsid w:val="150412BB"/>
    <w:rsid w:val="1504640A"/>
    <w:rsid w:val="1505510B"/>
    <w:rsid w:val="15086C30"/>
    <w:rsid w:val="150A5B83"/>
    <w:rsid w:val="150C31F4"/>
    <w:rsid w:val="150D417D"/>
    <w:rsid w:val="15101E3C"/>
    <w:rsid w:val="15174650"/>
    <w:rsid w:val="15180C35"/>
    <w:rsid w:val="151A4534"/>
    <w:rsid w:val="151C107C"/>
    <w:rsid w:val="151D21F5"/>
    <w:rsid w:val="1520690D"/>
    <w:rsid w:val="15267261"/>
    <w:rsid w:val="15274943"/>
    <w:rsid w:val="152A3B1B"/>
    <w:rsid w:val="152C7975"/>
    <w:rsid w:val="152D4D74"/>
    <w:rsid w:val="152E5D87"/>
    <w:rsid w:val="1530022B"/>
    <w:rsid w:val="1530308F"/>
    <w:rsid w:val="153143BC"/>
    <w:rsid w:val="153765B5"/>
    <w:rsid w:val="153D172E"/>
    <w:rsid w:val="153F1E23"/>
    <w:rsid w:val="15407701"/>
    <w:rsid w:val="15440B81"/>
    <w:rsid w:val="15450CE4"/>
    <w:rsid w:val="154565D3"/>
    <w:rsid w:val="1548051F"/>
    <w:rsid w:val="154A5EB6"/>
    <w:rsid w:val="154F6FF5"/>
    <w:rsid w:val="1550642E"/>
    <w:rsid w:val="155156B8"/>
    <w:rsid w:val="15525F95"/>
    <w:rsid w:val="155352E3"/>
    <w:rsid w:val="155721EC"/>
    <w:rsid w:val="15584CBF"/>
    <w:rsid w:val="15595045"/>
    <w:rsid w:val="155D236B"/>
    <w:rsid w:val="155E32E9"/>
    <w:rsid w:val="15630216"/>
    <w:rsid w:val="1567514D"/>
    <w:rsid w:val="15675640"/>
    <w:rsid w:val="15734652"/>
    <w:rsid w:val="157A5074"/>
    <w:rsid w:val="157D61F9"/>
    <w:rsid w:val="15855C33"/>
    <w:rsid w:val="158631A0"/>
    <w:rsid w:val="158C7437"/>
    <w:rsid w:val="158D0067"/>
    <w:rsid w:val="15905C76"/>
    <w:rsid w:val="15907A0D"/>
    <w:rsid w:val="15917810"/>
    <w:rsid w:val="15953A09"/>
    <w:rsid w:val="159723AF"/>
    <w:rsid w:val="159F27FC"/>
    <w:rsid w:val="15A02DEA"/>
    <w:rsid w:val="15A07352"/>
    <w:rsid w:val="15A718D6"/>
    <w:rsid w:val="15AE3159"/>
    <w:rsid w:val="15AE6E4F"/>
    <w:rsid w:val="15B01D64"/>
    <w:rsid w:val="15B53720"/>
    <w:rsid w:val="15B77490"/>
    <w:rsid w:val="15BA36F5"/>
    <w:rsid w:val="15BB3247"/>
    <w:rsid w:val="15C07FE2"/>
    <w:rsid w:val="15D25674"/>
    <w:rsid w:val="15D3764D"/>
    <w:rsid w:val="15D66C3A"/>
    <w:rsid w:val="15D76833"/>
    <w:rsid w:val="15DD11D9"/>
    <w:rsid w:val="15DF1314"/>
    <w:rsid w:val="15DF4D4D"/>
    <w:rsid w:val="15DF7CE0"/>
    <w:rsid w:val="15E0396E"/>
    <w:rsid w:val="15E12432"/>
    <w:rsid w:val="15E30081"/>
    <w:rsid w:val="15E52374"/>
    <w:rsid w:val="15EA25FE"/>
    <w:rsid w:val="15EC3C8E"/>
    <w:rsid w:val="15F101DD"/>
    <w:rsid w:val="15F13546"/>
    <w:rsid w:val="15F16448"/>
    <w:rsid w:val="15F37FAA"/>
    <w:rsid w:val="15F875AB"/>
    <w:rsid w:val="15FC2B8B"/>
    <w:rsid w:val="15FC533D"/>
    <w:rsid w:val="15FD111F"/>
    <w:rsid w:val="15FD6273"/>
    <w:rsid w:val="16026CC4"/>
    <w:rsid w:val="16045CB3"/>
    <w:rsid w:val="16087E1D"/>
    <w:rsid w:val="160E193A"/>
    <w:rsid w:val="160E4909"/>
    <w:rsid w:val="16153B55"/>
    <w:rsid w:val="16163EA4"/>
    <w:rsid w:val="16183A60"/>
    <w:rsid w:val="161B6F7C"/>
    <w:rsid w:val="16210B46"/>
    <w:rsid w:val="16222978"/>
    <w:rsid w:val="1622549A"/>
    <w:rsid w:val="16231B0C"/>
    <w:rsid w:val="162547A0"/>
    <w:rsid w:val="162769CB"/>
    <w:rsid w:val="16292C5B"/>
    <w:rsid w:val="162A4AE8"/>
    <w:rsid w:val="163107BC"/>
    <w:rsid w:val="163475CF"/>
    <w:rsid w:val="16432BA5"/>
    <w:rsid w:val="164B05E9"/>
    <w:rsid w:val="164C7DEC"/>
    <w:rsid w:val="16542DBC"/>
    <w:rsid w:val="165650BC"/>
    <w:rsid w:val="165C470F"/>
    <w:rsid w:val="165E1B56"/>
    <w:rsid w:val="166432B8"/>
    <w:rsid w:val="166947AC"/>
    <w:rsid w:val="166D08D0"/>
    <w:rsid w:val="167033AF"/>
    <w:rsid w:val="16715EDB"/>
    <w:rsid w:val="16715FF2"/>
    <w:rsid w:val="16741537"/>
    <w:rsid w:val="16751A83"/>
    <w:rsid w:val="16772C97"/>
    <w:rsid w:val="167B3334"/>
    <w:rsid w:val="167E7B67"/>
    <w:rsid w:val="16802313"/>
    <w:rsid w:val="16826C37"/>
    <w:rsid w:val="16836B63"/>
    <w:rsid w:val="168A0A7F"/>
    <w:rsid w:val="168B36EB"/>
    <w:rsid w:val="168F61AC"/>
    <w:rsid w:val="1693147F"/>
    <w:rsid w:val="169660CE"/>
    <w:rsid w:val="16A04832"/>
    <w:rsid w:val="16A433A0"/>
    <w:rsid w:val="16A56000"/>
    <w:rsid w:val="16AA28A9"/>
    <w:rsid w:val="16AE20B4"/>
    <w:rsid w:val="16AE4EBD"/>
    <w:rsid w:val="16B242E5"/>
    <w:rsid w:val="16BB1AC8"/>
    <w:rsid w:val="16BB6D27"/>
    <w:rsid w:val="16BD5205"/>
    <w:rsid w:val="16BE55A5"/>
    <w:rsid w:val="16BE73A6"/>
    <w:rsid w:val="16BF703B"/>
    <w:rsid w:val="16C11EE8"/>
    <w:rsid w:val="16C32F44"/>
    <w:rsid w:val="16C47C1F"/>
    <w:rsid w:val="16C534C1"/>
    <w:rsid w:val="16C90C8B"/>
    <w:rsid w:val="16CA123B"/>
    <w:rsid w:val="16CA2C42"/>
    <w:rsid w:val="16CC2C17"/>
    <w:rsid w:val="16CF2FED"/>
    <w:rsid w:val="16D07E68"/>
    <w:rsid w:val="16D1493F"/>
    <w:rsid w:val="16D54C1B"/>
    <w:rsid w:val="16D8428D"/>
    <w:rsid w:val="16DA4966"/>
    <w:rsid w:val="16DF0467"/>
    <w:rsid w:val="16DF6BA5"/>
    <w:rsid w:val="16E03E0C"/>
    <w:rsid w:val="16E1286D"/>
    <w:rsid w:val="16E14573"/>
    <w:rsid w:val="16E25C0A"/>
    <w:rsid w:val="16E31677"/>
    <w:rsid w:val="16E44836"/>
    <w:rsid w:val="16E66B82"/>
    <w:rsid w:val="16E82D66"/>
    <w:rsid w:val="16E907D1"/>
    <w:rsid w:val="16EE6DC7"/>
    <w:rsid w:val="16F10635"/>
    <w:rsid w:val="16F21D3E"/>
    <w:rsid w:val="16F24CFC"/>
    <w:rsid w:val="16F553EC"/>
    <w:rsid w:val="16F56A7C"/>
    <w:rsid w:val="16F57BF4"/>
    <w:rsid w:val="16FE1952"/>
    <w:rsid w:val="16FE35C7"/>
    <w:rsid w:val="17045E6B"/>
    <w:rsid w:val="17086BB2"/>
    <w:rsid w:val="17094837"/>
    <w:rsid w:val="170B36ED"/>
    <w:rsid w:val="170B46C8"/>
    <w:rsid w:val="170C09F8"/>
    <w:rsid w:val="171A1167"/>
    <w:rsid w:val="171A69E9"/>
    <w:rsid w:val="171C2DD0"/>
    <w:rsid w:val="171C7BC2"/>
    <w:rsid w:val="171E0FD2"/>
    <w:rsid w:val="171F3159"/>
    <w:rsid w:val="1721202E"/>
    <w:rsid w:val="17245DA3"/>
    <w:rsid w:val="172A4ACF"/>
    <w:rsid w:val="172C35DF"/>
    <w:rsid w:val="172D2014"/>
    <w:rsid w:val="172E103B"/>
    <w:rsid w:val="17365432"/>
    <w:rsid w:val="17394325"/>
    <w:rsid w:val="173B623D"/>
    <w:rsid w:val="173B7854"/>
    <w:rsid w:val="173C6A4E"/>
    <w:rsid w:val="17435B92"/>
    <w:rsid w:val="17446B15"/>
    <w:rsid w:val="174D223D"/>
    <w:rsid w:val="174F24C2"/>
    <w:rsid w:val="174F74CA"/>
    <w:rsid w:val="175551E9"/>
    <w:rsid w:val="17555420"/>
    <w:rsid w:val="175C2F79"/>
    <w:rsid w:val="175F529C"/>
    <w:rsid w:val="176378B6"/>
    <w:rsid w:val="17641089"/>
    <w:rsid w:val="176619C0"/>
    <w:rsid w:val="17672F1C"/>
    <w:rsid w:val="17682C55"/>
    <w:rsid w:val="176B7FC8"/>
    <w:rsid w:val="176C2331"/>
    <w:rsid w:val="17701D14"/>
    <w:rsid w:val="17716F0E"/>
    <w:rsid w:val="17731CDB"/>
    <w:rsid w:val="17735226"/>
    <w:rsid w:val="17753504"/>
    <w:rsid w:val="177B2D6B"/>
    <w:rsid w:val="17801E93"/>
    <w:rsid w:val="1780441F"/>
    <w:rsid w:val="17825450"/>
    <w:rsid w:val="17866F02"/>
    <w:rsid w:val="17871D70"/>
    <w:rsid w:val="178B4259"/>
    <w:rsid w:val="17942609"/>
    <w:rsid w:val="17945BD5"/>
    <w:rsid w:val="17990326"/>
    <w:rsid w:val="17A148BC"/>
    <w:rsid w:val="17A25D69"/>
    <w:rsid w:val="17A45906"/>
    <w:rsid w:val="17A46182"/>
    <w:rsid w:val="17A548D9"/>
    <w:rsid w:val="17A77349"/>
    <w:rsid w:val="17A91FE5"/>
    <w:rsid w:val="17AA026C"/>
    <w:rsid w:val="17B6743E"/>
    <w:rsid w:val="17B8411B"/>
    <w:rsid w:val="17BA7CB6"/>
    <w:rsid w:val="17BD391B"/>
    <w:rsid w:val="17C25848"/>
    <w:rsid w:val="17C40B62"/>
    <w:rsid w:val="17C50CDB"/>
    <w:rsid w:val="17CA7E90"/>
    <w:rsid w:val="17CE43D4"/>
    <w:rsid w:val="17D26062"/>
    <w:rsid w:val="17D31ED4"/>
    <w:rsid w:val="17D607DC"/>
    <w:rsid w:val="17D86CF8"/>
    <w:rsid w:val="17D957AF"/>
    <w:rsid w:val="17D959EA"/>
    <w:rsid w:val="17DB2893"/>
    <w:rsid w:val="17DB3D64"/>
    <w:rsid w:val="17DC22FD"/>
    <w:rsid w:val="17E14733"/>
    <w:rsid w:val="17E36AB8"/>
    <w:rsid w:val="17E4313A"/>
    <w:rsid w:val="17E54B2C"/>
    <w:rsid w:val="17E61AEF"/>
    <w:rsid w:val="17E942CD"/>
    <w:rsid w:val="17EA51FE"/>
    <w:rsid w:val="17EE4930"/>
    <w:rsid w:val="17F03687"/>
    <w:rsid w:val="17F31E40"/>
    <w:rsid w:val="17F55C83"/>
    <w:rsid w:val="17FA0ABA"/>
    <w:rsid w:val="17FD1FF0"/>
    <w:rsid w:val="180118B8"/>
    <w:rsid w:val="1803115C"/>
    <w:rsid w:val="18082A49"/>
    <w:rsid w:val="1809509B"/>
    <w:rsid w:val="180A15A9"/>
    <w:rsid w:val="180C0181"/>
    <w:rsid w:val="180E2E22"/>
    <w:rsid w:val="181549B8"/>
    <w:rsid w:val="181F73BC"/>
    <w:rsid w:val="18221E86"/>
    <w:rsid w:val="18241738"/>
    <w:rsid w:val="18263C35"/>
    <w:rsid w:val="18287D9E"/>
    <w:rsid w:val="182A1774"/>
    <w:rsid w:val="182A7742"/>
    <w:rsid w:val="182F06C7"/>
    <w:rsid w:val="182F4B54"/>
    <w:rsid w:val="18301EF2"/>
    <w:rsid w:val="18333D9D"/>
    <w:rsid w:val="1835097F"/>
    <w:rsid w:val="183A529B"/>
    <w:rsid w:val="183A58F1"/>
    <w:rsid w:val="183B03D0"/>
    <w:rsid w:val="183C6378"/>
    <w:rsid w:val="183C73A1"/>
    <w:rsid w:val="184451B5"/>
    <w:rsid w:val="18467050"/>
    <w:rsid w:val="184A1E73"/>
    <w:rsid w:val="184E05C0"/>
    <w:rsid w:val="184E10DD"/>
    <w:rsid w:val="184F0BEC"/>
    <w:rsid w:val="1856034D"/>
    <w:rsid w:val="185C1FF6"/>
    <w:rsid w:val="185C6991"/>
    <w:rsid w:val="18687F72"/>
    <w:rsid w:val="186A0900"/>
    <w:rsid w:val="186A536D"/>
    <w:rsid w:val="186B6F11"/>
    <w:rsid w:val="187B02B9"/>
    <w:rsid w:val="187D193B"/>
    <w:rsid w:val="187E3285"/>
    <w:rsid w:val="18854D34"/>
    <w:rsid w:val="18856FDE"/>
    <w:rsid w:val="188A1CDB"/>
    <w:rsid w:val="188A2BD0"/>
    <w:rsid w:val="18935CEB"/>
    <w:rsid w:val="18960DC1"/>
    <w:rsid w:val="189A4276"/>
    <w:rsid w:val="189F624C"/>
    <w:rsid w:val="189F6568"/>
    <w:rsid w:val="18A014B5"/>
    <w:rsid w:val="18A17303"/>
    <w:rsid w:val="18A17919"/>
    <w:rsid w:val="18A42E50"/>
    <w:rsid w:val="18A775B8"/>
    <w:rsid w:val="18AA7822"/>
    <w:rsid w:val="18AE1325"/>
    <w:rsid w:val="18AE3ED1"/>
    <w:rsid w:val="18AF3073"/>
    <w:rsid w:val="18B81433"/>
    <w:rsid w:val="18B86EE5"/>
    <w:rsid w:val="18B9249C"/>
    <w:rsid w:val="18C01EDC"/>
    <w:rsid w:val="18C43B46"/>
    <w:rsid w:val="18C55B76"/>
    <w:rsid w:val="18C56CA3"/>
    <w:rsid w:val="18C64218"/>
    <w:rsid w:val="18C9247A"/>
    <w:rsid w:val="18C931BC"/>
    <w:rsid w:val="18CD0DD5"/>
    <w:rsid w:val="18CD39BD"/>
    <w:rsid w:val="18CD538D"/>
    <w:rsid w:val="18CF0263"/>
    <w:rsid w:val="18D16B5E"/>
    <w:rsid w:val="18D25704"/>
    <w:rsid w:val="18D31AA9"/>
    <w:rsid w:val="18D47DCC"/>
    <w:rsid w:val="18D577D8"/>
    <w:rsid w:val="18D64137"/>
    <w:rsid w:val="18D83C76"/>
    <w:rsid w:val="18DE41BF"/>
    <w:rsid w:val="18E05777"/>
    <w:rsid w:val="18E44B9F"/>
    <w:rsid w:val="18ED39D8"/>
    <w:rsid w:val="18ED3D16"/>
    <w:rsid w:val="18F03F82"/>
    <w:rsid w:val="18F11C70"/>
    <w:rsid w:val="18F163E9"/>
    <w:rsid w:val="18F47936"/>
    <w:rsid w:val="18F76EA0"/>
    <w:rsid w:val="18F94189"/>
    <w:rsid w:val="18FB1A4C"/>
    <w:rsid w:val="18FB294F"/>
    <w:rsid w:val="18FC4495"/>
    <w:rsid w:val="1901342E"/>
    <w:rsid w:val="19022963"/>
    <w:rsid w:val="190311EF"/>
    <w:rsid w:val="19077963"/>
    <w:rsid w:val="19082E67"/>
    <w:rsid w:val="190C6965"/>
    <w:rsid w:val="19112AA9"/>
    <w:rsid w:val="191330B3"/>
    <w:rsid w:val="191B1A0B"/>
    <w:rsid w:val="191C0DB8"/>
    <w:rsid w:val="191D57DF"/>
    <w:rsid w:val="19240797"/>
    <w:rsid w:val="1924595E"/>
    <w:rsid w:val="19256A69"/>
    <w:rsid w:val="19274450"/>
    <w:rsid w:val="19332E87"/>
    <w:rsid w:val="19344B3F"/>
    <w:rsid w:val="1938414B"/>
    <w:rsid w:val="193C47C1"/>
    <w:rsid w:val="193F2E4C"/>
    <w:rsid w:val="194165C7"/>
    <w:rsid w:val="194229EB"/>
    <w:rsid w:val="19435A4B"/>
    <w:rsid w:val="194412CA"/>
    <w:rsid w:val="19462988"/>
    <w:rsid w:val="194B2441"/>
    <w:rsid w:val="194D7504"/>
    <w:rsid w:val="194F7E8F"/>
    <w:rsid w:val="1953377F"/>
    <w:rsid w:val="195433B8"/>
    <w:rsid w:val="19550AD4"/>
    <w:rsid w:val="195861EC"/>
    <w:rsid w:val="19597265"/>
    <w:rsid w:val="195E74FE"/>
    <w:rsid w:val="1964798D"/>
    <w:rsid w:val="1965419B"/>
    <w:rsid w:val="196579EC"/>
    <w:rsid w:val="196660D8"/>
    <w:rsid w:val="1966645F"/>
    <w:rsid w:val="1967392B"/>
    <w:rsid w:val="19682D58"/>
    <w:rsid w:val="19694C98"/>
    <w:rsid w:val="196B594E"/>
    <w:rsid w:val="196C323A"/>
    <w:rsid w:val="196D5F36"/>
    <w:rsid w:val="1970022E"/>
    <w:rsid w:val="19704D3C"/>
    <w:rsid w:val="1974225E"/>
    <w:rsid w:val="19765C7D"/>
    <w:rsid w:val="197A158D"/>
    <w:rsid w:val="197D73E8"/>
    <w:rsid w:val="197E0D60"/>
    <w:rsid w:val="197F6C35"/>
    <w:rsid w:val="198123F9"/>
    <w:rsid w:val="19827D2D"/>
    <w:rsid w:val="198333B5"/>
    <w:rsid w:val="198A1641"/>
    <w:rsid w:val="198C5680"/>
    <w:rsid w:val="198D322A"/>
    <w:rsid w:val="198F1368"/>
    <w:rsid w:val="198F4615"/>
    <w:rsid w:val="199130D0"/>
    <w:rsid w:val="199377FB"/>
    <w:rsid w:val="1994272F"/>
    <w:rsid w:val="19965CC8"/>
    <w:rsid w:val="19A070AB"/>
    <w:rsid w:val="19A1297C"/>
    <w:rsid w:val="19A34880"/>
    <w:rsid w:val="19A64C6B"/>
    <w:rsid w:val="19AE11EF"/>
    <w:rsid w:val="19AE13A9"/>
    <w:rsid w:val="19B059A7"/>
    <w:rsid w:val="19B261FC"/>
    <w:rsid w:val="19B338D1"/>
    <w:rsid w:val="19BD7AE9"/>
    <w:rsid w:val="19BE1591"/>
    <w:rsid w:val="19BE682E"/>
    <w:rsid w:val="19C017C2"/>
    <w:rsid w:val="19C204C6"/>
    <w:rsid w:val="19C95528"/>
    <w:rsid w:val="19CC6C48"/>
    <w:rsid w:val="19D651F9"/>
    <w:rsid w:val="19D72E75"/>
    <w:rsid w:val="19DB0D44"/>
    <w:rsid w:val="19DB564B"/>
    <w:rsid w:val="19DC76C3"/>
    <w:rsid w:val="19E33308"/>
    <w:rsid w:val="19E3478B"/>
    <w:rsid w:val="19E5721D"/>
    <w:rsid w:val="19EC7736"/>
    <w:rsid w:val="19EE5D7B"/>
    <w:rsid w:val="19EE77C2"/>
    <w:rsid w:val="19EF5842"/>
    <w:rsid w:val="19F00437"/>
    <w:rsid w:val="19F0366B"/>
    <w:rsid w:val="19F24D1E"/>
    <w:rsid w:val="19FA3C2C"/>
    <w:rsid w:val="19FD7AEE"/>
    <w:rsid w:val="1A022B87"/>
    <w:rsid w:val="1A041574"/>
    <w:rsid w:val="1A0503EF"/>
    <w:rsid w:val="1A071EBC"/>
    <w:rsid w:val="1A0B2446"/>
    <w:rsid w:val="1A0C0662"/>
    <w:rsid w:val="1A0C5AFC"/>
    <w:rsid w:val="1A0D6F4B"/>
    <w:rsid w:val="1A0E1636"/>
    <w:rsid w:val="1A100F68"/>
    <w:rsid w:val="1A144F4B"/>
    <w:rsid w:val="1A147303"/>
    <w:rsid w:val="1A160811"/>
    <w:rsid w:val="1A1A046C"/>
    <w:rsid w:val="1A1B66AF"/>
    <w:rsid w:val="1A1C66C0"/>
    <w:rsid w:val="1A1C6C5D"/>
    <w:rsid w:val="1A1F1AB8"/>
    <w:rsid w:val="1A220AC2"/>
    <w:rsid w:val="1A26732C"/>
    <w:rsid w:val="1A2C5269"/>
    <w:rsid w:val="1A2F6924"/>
    <w:rsid w:val="1A3154CC"/>
    <w:rsid w:val="1A331A81"/>
    <w:rsid w:val="1A340642"/>
    <w:rsid w:val="1A3552AC"/>
    <w:rsid w:val="1A35794D"/>
    <w:rsid w:val="1A36225D"/>
    <w:rsid w:val="1A3B3C1C"/>
    <w:rsid w:val="1A3D6D19"/>
    <w:rsid w:val="1A407F51"/>
    <w:rsid w:val="1A4215D7"/>
    <w:rsid w:val="1A42393B"/>
    <w:rsid w:val="1A431569"/>
    <w:rsid w:val="1A4430DE"/>
    <w:rsid w:val="1A4436BF"/>
    <w:rsid w:val="1A460C3C"/>
    <w:rsid w:val="1A46574C"/>
    <w:rsid w:val="1A4840B9"/>
    <w:rsid w:val="1A4B3E99"/>
    <w:rsid w:val="1A4B6A64"/>
    <w:rsid w:val="1A4C0825"/>
    <w:rsid w:val="1A4D302A"/>
    <w:rsid w:val="1A501D7F"/>
    <w:rsid w:val="1A5504BC"/>
    <w:rsid w:val="1A550EFE"/>
    <w:rsid w:val="1A5F23BB"/>
    <w:rsid w:val="1A671D56"/>
    <w:rsid w:val="1A691782"/>
    <w:rsid w:val="1A6928CE"/>
    <w:rsid w:val="1A6A7DAA"/>
    <w:rsid w:val="1A6D7195"/>
    <w:rsid w:val="1A6E4FF1"/>
    <w:rsid w:val="1A73117B"/>
    <w:rsid w:val="1A750506"/>
    <w:rsid w:val="1A764016"/>
    <w:rsid w:val="1A7648B1"/>
    <w:rsid w:val="1A776519"/>
    <w:rsid w:val="1A7943F1"/>
    <w:rsid w:val="1A7A15BA"/>
    <w:rsid w:val="1A7C736E"/>
    <w:rsid w:val="1A7F5EA3"/>
    <w:rsid w:val="1A80170F"/>
    <w:rsid w:val="1A847456"/>
    <w:rsid w:val="1A854ED0"/>
    <w:rsid w:val="1A902565"/>
    <w:rsid w:val="1A907F1B"/>
    <w:rsid w:val="1A912CB4"/>
    <w:rsid w:val="1A912DF9"/>
    <w:rsid w:val="1A9377CF"/>
    <w:rsid w:val="1A9531C4"/>
    <w:rsid w:val="1A997229"/>
    <w:rsid w:val="1A9D0B00"/>
    <w:rsid w:val="1AA044FC"/>
    <w:rsid w:val="1AA2170B"/>
    <w:rsid w:val="1AA24FD8"/>
    <w:rsid w:val="1AA46E06"/>
    <w:rsid w:val="1AA95897"/>
    <w:rsid w:val="1AAD45DE"/>
    <w:rsid w:val="1AAD5B3D"/>
    <w:rsid w:val="1AB21AC9"/>
    <w:rsid w:val="1AB522E7"/>
    <w:rsid w:val="1AB85BEB"/>
    <w:rsid w:val="1ABE022B"/>
    <w:rsid w:val="1AC81D2F"/>
    <w:rsid w:val="1AC94AB2"/>
    <w:rsid w:val="1ACB7C4E"/>
    <w:rsid w:val="1ACE7219"/>
    <w:rsid w:val="1AD14289"/>
    <w:rsid w:val="1AD523EE"/>
    <w:rsid w:val="1AD73B57"/>
    <w:rsid w:val="1AD82F47"/>
    <w:rsid w:val="1ADE26A8"/>
    <w:rsid w:val="1ADF03F5"/>
    <w:rsid w:val="1AE168A1"/>
    <w:rsid w:val="1AE3450B"/>
    <w:rsid w:val="1AE413A0"/>
    <w:rsid w:val="1AE43160"/>
    <w:rsid w:val="1AE52B4B"/>
    <w:rsid w:val="1AE54B0B"/>
    <w:rsid w:val="1AF1595D"/>
    <w:rsid w:val="1AF1656A"/>
    <w:rsid w:val="1AF376BE"/>
    <w:rsid w:val="1AFB4C2F"/>
    <w:rsid w:val="1AFB7003"/>
    <w:rsid w:val="1AFF4693"/>
    <w:rsid w:val="1B020BB1"/>
    <w:rsid w:val="1B0210B0"/>
    <w:rsid w:val="1B037387"/>
    <w:rsid w:val="1B045760"/>
    <w:rsid w:val="1B046F80"/>
    <w:rsid w:val="1B060F23"/>
    <w:rsid w:val="1B084469"/>
    <w:rsid w:val="1B097896"/>
    <w:rsid w:val="1B0F07DB"/>
    <w:rsid w:val="1B110BC6"/>
    <w:rsid w:val="1B1A295D"/>
    <w:rsid w:val="1B1B4A27"/>
    <w:rsid w:val="1B1D4A98"/>
    <w:rsid w:val="1B1F3868"/>
    <w:rsid w:val="1B2164DA"/>
    <w:rsid w:val="1B2641BF"/>
    <w:rsid w:val="1B265669"/>
    <w:rsid w:val="1B266994"/>
    <w:rsid w:val="1B27726C"/>
    <w:rsid w:val="1B2B32A6"/>
    <w:rsid w:val="1B2C797E"/>
    <w:rsid w:val="1B2D4114"/>
    <w:rsid w:val="1B3267B5"/>
    <w:rsid w:val="1B331BEE"/>
    <w:rsid w:val="1B34461D"/>
    <w:rsid w:val="1B356E92"/>
    <w:rsid w:val="1B39542D"/>
    <w:rsid w:val="1B3B0DA9"/>
    <w:rsid w:val="1B3F2C5D"/>
    <w:rsid w:val="1B40161D"/>
    <w:rsid w:val="1B441859"/>
    <w:rsid w:val="1B451B1F"/>
    <w:rsid w:val="1B460F49"/>
    <w:rsid w:val="1B470AFA"/>
    <w:rsid w:val="1B475364"/>
    <w:rsid w:val="1B5425EE"/>
    <w:rsid w:val="1B5538EB"/>
    <w:rsid w:val="1B557B19"/>
    <w:rsid w:val="1B5628E8"/>
    <w:rsid w:val="1B56718C"/>
    <w:rsid w:val="1B590F9E"/>
    <w:rsid w:val="1B614958"/>
    <w:rsid w:val="1B622730"/>
    <w:rsid w:val="1B646FA3"/>
    <w:rsid w:val="1B6606B1"/>
    <w:rsid w:val="1B673D23"/>
    <w:rsid w:val="1B6A1632"/>
    <w:rsid w:val="1B741153"/>
    <w:rsid w:val="1B7E03CA"/>
    <w:rsid w:val="1B811CCB"/>
    <w:rsid w:val="1B813327"/>
    <w:rsid w:val="1B82686A"/>
    <w:rsid w:val="1B840765"/>
    <w:rsid w:val="1B8761D8"/>
    <w:rsid w:val="1B894ACD"/>
    <w:rsid w:val="1B8A6D25"/>
    <w:rsid w:val="1B8E6273"/>
    <w:rsid w:val="1B8F2D50"/>
    <w:rsid w:val="1B910CC0"/>
    <w:rsid w:val="1B94129E"/>
    <w:rsid w:val="1B9861EB"/>
    <w:rsid w:val="1B9863F0"/>
    <w:rsid w:val="1B9A493F"/>
    <w:rsid w:val="1B9C0B81"/>
    <w:rsid w:val="1BA05081"/>
    <w:rsid w:val="1BA10E15"/>
    <w:rsid w:val="1BA3750B"/>
    <w:rsid w:val="1BA410B0"/>
    <w:rsid w:val="1BA414D4"/>
    <w:rsid w:val="1BA77446"/>
    <w:rsid w:val="1BAD7612"/>
    <w:rsid w:val="1BB01BF2"/>
    <w:rsid w:val="1BB52913"/>
    <w:rsid w:val="1BB845B9"/>
    <w:rsid w:val="1BBA578A"/>
    <w:rsid w:val="1BBE3584"/>
    <w:rsid w:val="1BC10682"/>
    <w:rsid w:val="1BC16DB3"/>
    <w:rsid w:val="1BC35A8B"/>
    <w:rsid w:val="1BCF3F12"/>
    <w:rsid w:val="1BD61340"/>
    <w:rsid w:val="1BD75718"/>
    <w:rsid w:val="1BD879C7"/>
    <w:rsid w:val="1BDB219C"/>
    <w:rsid w:val="1BDB4182"/>
    <w:rsid w:val="1BDC4695"/>
    <w:rsid w:val="1BDF6B50"/>
    <w:rsid w:val="1BE04A76"/>
    <w:rsid w:val="1BED2121"/>
    <w:rsid w:val="1BED6B64"/>
    <w:rsid w:val="1BEF3F81"/>
    <w:rsid w:val="1BF04F71"/>
    <w:rsid w:val="1BF11EEE"/>
    <w:rsid w:val="1BF37AE6"/>
    <w:rsid w:val="1BF56F4E"/>
    <w:rsid w:val="1BF81B70"/>
    <w:rsid w:val="1BF87AA9"/>
    <w:rsid w:val="1BF93196"/>
    <w:rsid w:val="1BF97EE9"/>
    <w:rsid w:val="1BFD15DB"/>
    <w:rsid w:val="1C014A7C"/>
    <w:rsid w:val="1C03111F"/>
    <w:rsid w:val="1C176D96"/>
    <w:rsid w:val="1C1A63A2"/>
    <w:rsid w:val="1C1D23C4"/>
    <w:rsid w:val="1C212932"/>
    <w:rsid w:val="1C230FB7"/>
    <w:rsid w:val="1C2626E9"/>
    <w:rsid w:val="1C271A05"/>
    <w:rsid w:val="1C2F3B6F"/>
    <w:rsid w:val="1C332F2C"/>
    <w:rsid w:val="1C333761"/>
    <w:rsid w:val="1C44562C"/>
    <w:rsid w:val="1C4D6A32"/>
    <w:rsid w:val="1C507AE3"/>
    <w:rsid w:val="1C517969"/>
    <w:rsid w:val="1C520692"/>
    <w:rsid w:val="1C5372FF"/>
    <w:rsid w:val="1C561DB1"/>
    <w:rsid w:val="1C565ED4"/>
    <w:rsid w:val="1C566FA9"/>
    <w:rsid w:val="1C5828C7"/>
    <w:rsid w:val="1C5846B0"/>
    <w:rsid w:val="1C5D18AF"/>
    <w:rsid w:val="1C5E234B"/>
    <w:rsid w:val="1C5E3AA0"/>
    <w:rsid w:val="1C5E7925"/>
    <w:rsid w:val="1C665249"/>
    <w:rsid w:val="1C691965"/>
    <w:rsid w:val="1C6D5C66"/>
    <w:rsid w:val="1C6F7EE3"/>
    <w:rsid w:val="1C742A6E"/>
    <w:rsid w:val="1C7A3833"/>
    <w:rsid w:val="1C7D724A"/>
    <w:rsid w:val="1C7E7D7A"/>
    <w:rsid w:val="1C804D36"/>
    <w:rsid w:val="1C860634"/>
    <w:rsid w:val="1C8750B0"/>
    <w:rsid w:val="1C9059DF"/>
    <w:rsid w:val="1C950DBB"/>
    <w:rsid w:val="1C9662E2"/>
    <w:rsid w:val="1C9A795C"/>
    <w:rsid w:val="1CA021D8"/>
    <w:rsid w:val="1CA14868"/>
    <w:rsid w:val="1CA16229"/>
    <w:rsid w:val="1CA33378"/>
    <w:rsid w:val="1CA43C2E"/>
    <w:rsid w:val="1CA57B2F"/>
    <w:rsid w:val="1CA6493F"/>
    <w:rsid w:val="1CA65A60"/>
    <w:rsid w:val="1CAA22AA"/>
    <w:rsid w:val="1CAB7A41"/>
    <w:rsid w:val="1CB41058"/>
    <w:rsid w:val="1CB55AC4"/>
    <w:rsid w:val="1CB64BBE"/>
    <w:rsid w:val="1CB91BF8"/>
    <w:rsid w:val="1CBA1DAC"/>
    <w:rsid w:val="1CBB06FF"/>
    <w:rsid w:val="1CBD65AE"/>
    <w:rsid w:val="1CBE0DA6"/>
    <w:rsid w:val="1CC04BF5"/>
    <w:rsid w:val="1CC44F5F"/>
    <w:rsid w:val="1CC45778"/>
    <w:rsid w:val="1CCD07E0"/>
    <w:rsid w:val="1CCE409A"/>
    <w:rsid w:val="1CD150D9"/>
    <w:rsid w:val="1CD23DBF"/>
    <w:rsid w:val="1CD30506"/>
    <w:rsid w:val="1CD67E87"/>
    <w:rsid w:val="1CDA280D"/>
    <w:rsid w:val="1CDA4BA1"/>
    <w:rsid w:val="1CE10728"/>
    <w:rsid w:val="1CE16387"/>
    <w:rsid w:val="1CE22D9C"/>
    <w:rsid w:val="1CED0CBD"/>
    <w:rsid w:val="1CED312C"/>
    <w:rsid w:val="1CED7D63"/>
    <w:rsid w:val="1CEE05F3"/>
    <w:rsid w:val="1CEE6D76"/>
    <w:rsid w:val="1CEE6DEC"/>
    <w:rsid w:val="1CEF5278"/>
    <w:rsid w:val="1CF34011"/>
    <w:rsid w:val="1CF462A5"/>
    <w:rsid w:val="1CFD070F"/>
    <w:rsid w:val="1D0A3DB3"/>
    <w:rsid w:val="1D0E6185"/>
    <w:rsid w:val="1D0E7BE8"/>
    <w:rsid w:val="1D0F3585"/>
    <w:rsid w:val="1D125FD7"/>
    <w:rsid w:val="1D127AD7"/>
    <w:rsid w:val="1D14682B"/>
    <w:rsid w:val="1D156253"/>
    <w:rsid w:val="1D1607A4"/>
    <w:rsid w:val="1D163F6A"/>
    <w:rsid w:val="1D195F7B"/>
    <w:rsid w:val="1D1C0ACC"/>
    <w:rsid w:val="1D1E4DBE"/>
    <w:rsid w:val="1D200167"/>
    <w:rsid w:val="1D224397"/>
    <w:rsid w:val="1D271D57"/>
    <w:rsid w:val="1D2D2180"/>
    <w:rsid w:val="1D2E0EB4"/>
    <w:rsid w:val="1D2F16AD"/>
    <w:rsid w:val="1D380B6B"/>
    <w:rsid w:val="1D3E2949"/>
    <w:rsid w:val="1D4078A1"/>
    <w:rsid w:val="1D433C93"/>
    <w:rsid w:val="1D46506B"/>
    <w:rsid w:val="1D485FDD"/>
    <w:rsid w:val="1D4B68D4"/>
    <w:rsid w:val="1D501175"/>
    <w:rsid w:val="1D50783F"/>
    <w:rsid w:val="1D540CBB"/>
    <w:rsid w:val="1D564D50"/>
    <w:rsid w:val="1D570E2B"/>
    <w:rsid w:val="1D5E1E73"/>
    <w:rsid w:val="1D5F6196"/>
    <w:rsid w:val="1D606B74"/>
    <w:rsid w:val="1D6132A5"/>
    <w:rsid w:val="1D6407EF"/>
    <w:rsid w:val="1D653EC1"/>
    <w:rsid w:val="1D6D7726"/>
    <w:rsid w:val="1D72188D"/>
    <w:rsid w:val="1D75031B"/>
    <w:rsid w:val="1D7C4CB7"/>
    <w:rsid w:val="1D7C6BE0"/>
    <w:rsid w:val="1D8626F4"/>
    <w:rsid w:val="1D8A41FC"/>
    <w:rsid w:val="1D8E56D5"/>
    <w:rsid w:val="1D9247A6"/>
    <w:rsid w:val="1D92654B"/>
    <w:rsid w:val="1D9313B1"/>
    <w:rsid w:val="1D94689A"/>
    <w:rsid w:val="1D9957CD"/>
    <w:rsid w:val="1DA1280B"/>
    <w:rsid w:val="1DA41D25"/>
    <w:rsid w:val="1DA679D7"/>
    <w:rsid w:val="1DA74489"/>
    <w:rsid w:val="1DAC5654"/>
    <w:rsid w:val="1DAF4F2A"/>
    <w:rsid w:val="1DB606E8"/>
    <w:rsid w:val="1DBB2EB9"/>
    <w:rsid w:val="1DC2443A"/>
    <w:rsid w:val="1DC82EA2"/>
    <w:rsid w:val="1DC9630C"/>
    <w:rsid w:val="1DCB2D39"/>
    <w:rsid w:val="1DCB589C"/>
    <w:rsid w:val="1DCC71AD"/>
    <w:rsid w:val="1DD203F3"/>
    <w:rsid w:val="1DD239A7"/>
    <w:rsid w:val="1DD74DC3"/>
    <w:rsid w:val="1DD75FFA"/>
    <w:rsid w:val="1DE71C83"/>
    <w:rsid w:val="1DED1C96"/>
    <w:rsid w:val="1DF10370"/>
    <w:rsid w:val="1DF5621B"/>
    <w:rsid w:val="1DF579D1"/>
    <w:rsid w:val="1DF6146E"/>
    <w:rsid w:val="1DF72D18"/>
    <w:rsid w:val="1DF842AE"/>
    <w:rsid w:val="1DF96599"/>
    <w:rsid w:val="1DFF6D7E"/>
    <w:rsid w:val="1DFF75CE"/>
    <w:rsid w:val="1E011CAC"/>
    <w:rsid w:val="1E014DB8"/>
    <w:rsid w:val="1E0B409E"/>
    <w:rsid w:val="1E104F02"/>
    <w:rsid w:val="1E1533B2"/>
    <w:rsid w:val="1E153CC2"/>
    <w:rsid w:val="1E1B43BF"/>
    <w:rsid w:val="1E1C0ED1"/>
    <w:rsid w:val="1E1D5362"/>
    <w:rsid w:val="1E1F2CB9"/>
    <w:rsid w:val="1E205D1F"/>
    <w:rsid w:val="1E234700"/>
    <w:rsid w:val="1E236AC6"/>
    <w:rsid w:val="1E253F7B"/>
    <w:rsid w:val="1E297C0F"/>
    <w:rsid w:val="1E2C47AE"/>
    <w:rsid w:val="1E2F11F6"/>
    <w:rsid w:val="1E311F30"/>
    <w:rsid w:val="1E3836E7"/>
    <w:rsid w:val="1E3841C4"/>
    <w:rsid w:val="1E385D1A"/>
    <w:rsid w:val="1E3A4AC8"/>
    <w:rsid w:val="1E3D0EEA"/>
    <w:rsid w:val="1E402CC7"/>
    <w:rsid w:val="1E417685"/>
    <w:rsid w:val="1E421602"/>
    <w:rsid w:val="1E4828EB"/>
    <w:rsid w:val="1E493A71"/>
    <w:rsid w:val="1E4C3686"/>
    <w:rsid w:val="1E5025F5"/>
    <w:rsid w:val="1E506E1F"/>
    <w:rsid w:val="1E513C30"/>
    <w:rsid w:val="1E574EA5"/>
    <w:rsid w:val="1E583480"/>
    <w:rsid w:val="1E5F1763"/>
    <w:rsid w:val="1E627572"/>
    <w:rsid w:val="1E666B51"/>
    <w:rsid w:val="1E691650"/>
    <w:rsid w:val="1E72424F"/>
    <w:rsid w:val="1E74767B"/>
    <w:rsid w:val="1E787993"/>
    <w:rsid w:val="1E7A43DA"/>
    <w:rsid w:val="1E7B575D"/>
    <w:rsid w:val="1E8347ED"/>
    <w:rsid w:val="1E897509"/>
    <w:rsid w:val="1E8C38F4"/>
    <w:rsid w:val="1E8E60F9"/>
    <w:rsid w:val="1E96528E"/>
    <w:rsid w:val="1E992C15"/>
    <w:rsid w:val="1E995E36"/>
    <w:rsid w:val="1EA706E9"/>
    <w:rsid w:val="1EAD17A3"/>
    <w:rsid w:val="1EAF3924"/>
    <w:rsid w:val="1EB231C6"/>
    <w:rsid w:val="1EB339B4"/>
    <w:rsid w:val="1EB629F7"/>
    <w:rsid w:val="1EB95C10"/>
    <w:rsid w:val="1EBC3945"/>
    <w:rsid w:val="1EBF5225"/>
    <w:rsid w:val="1EC00136"/>
    <w:rsid w:val="1EC12042"/>
    <w:rsid w:val="1EC162FA"/>
    <w:rsid w:val="1EC25946"/>
    <w:rsid w:val="1EC45C9D"/>
    <w:rsid w:val="1EC67A6B"/>
    <w:rsid w:val="1EC7033B"/>
    <w:rsid w:val="1EC90D61"/>
    <w:rsid w:val="1ECB7100"/>
    <w:rsid w:val="1ECE1CA8"/>
    <w:rsid w:val="1ED2208A"/>
    <w:rsid w:val="1ED3324D"/>
    <w:rsid w:val="1ED40859"/>
    <w:rsid w:val="1ED7588A"/>
    <w:rsid w:val="1ED90590"/>
    <w:rsid w:val="1EDC1C86"/>
    <w:rsid w:val="1EDF4C77"/>
    <w:rsid w:val="1EE506D5"/>
    <w:rsid w:val="1EEB04FA"/>
    <w:rsid w:val="1EEC343F"/>
    <w:rsid w:val="1EEC353C"/>
    <w:rsid w:val="1EF4568D"/>
    <w:rsid w:val="1EFA56BC"/>
    <w:rsid w:val="1EFC175F"/>
    <w:rsid w:val="1F046C63"/>
    <w:rsid w:val="1F0D438C"/>
    <w:rsid w:val="1F0F0BB4"/>
    <w:rsid w:val="1F1215E1"/>
    <w:rsid w:val="1F12450B"/>
    <w:rsid w:val="1F144857"/>
    <w:rsid w:val="1F19611C"/>
    <w:rsid w:val="1F1A5C31"/>
    <w:rsid w:val="1F1C5A17"/>
    <w:rsid w:val="1F212478"/>
    <w:rsid w:val="1F22520F"/>
    <w:rsid w:val="1F240BAE"/>
    <w:rsid w:val="1F243515"/>
    <w:rsid w:val="1F2A5E88"/>
    <w:rsid w:val="1F2B12F3"/>
    <w:rsid w:val="1F2B1FE7"/>
    <w:rsid w:val="1F3011AC"/>
    <w:rsid w:val="1F332A43"/>
    <w:rsid w:val="1F35738C"/>
    <w:rsid w:val="1F395D92"/>
    <w:rsid w:val="1F3B090A"/>
    <w:rsid w:val="1F433F33"/>
    <w:rsid w:val="1F445B87"/>
    <w:rsid w:val="1F465222"/>
    <w:rsid w:val="1F4A5F47"/>
    <w:rsid w:val="1F4B09AB"/>
    <w:rsid w:val="1F4B355B"/>
    <w:rsid w:val="1F4D078C"/>
    <w:rsid w:val="1F4F11D5"/>
    <w:rsid w:val="1F510861"/>
    <w:rsid w:val="1F531703"/>
    <w:rsid w:val="1F561CB4"/>
    <w:rsid w:val="1F57509E"/>
    <w:rsid w:val="1F5B55D6"/>
    <w:rsid w:val="1F5C5C6C"/>
    <w:rsid w:val="1F5C5DEB"/>
    <w:rsid w:val="1F5F18C5"/>
    <w:rsid w:val="1F600CF7"/>
    <w:rsid w:val="1F606CD4"/>
    <w:rsid w:val="1F6358A4"/>
    <w:rsid w:val="1F7406C7"/>
    <w:rsid w:val="1F7468DA"/>
    <w:rsid w:val="1F756FE6"/>
    <w:rsid w:val="1F772555"/>
    <w:rsid w:val="1F784230"/>
    <w:rsid w:val="1F787036"/>
    <w:rsid w:val="1F7B0E92"/>
    <w:rsid w:val="1F7C1E3A"/>
    <w:rsid w:val="1F7E3E5F"/>
    <w:rsid w:val="1F804916"/>
    <w:rsid w:val="1F810CD3"/>
    <w:rsid w:val="1F984E3B"/>
    <w:rsid w:val="1FA01DB4"/>
    <w:rsid w:val="1FA16E2F"/>
    <w:rsid w:val="1FA5298F"/>
    <w:rsid w:val="1FA832E4"/>
    <w:rsid w:val="1FA93A67"/>
    <w:rsid w:val="1FB06F1F"/>
    <w:rsid w:val="1FB45E6C"/>
    <w:rsid w:val="1FB57C1C"/>
    <w:rsid w:val="1FB80EEF"/>
    <w:rsid w:val="1FBC1356"/>
    <w:rsid w:val="1FBC4A1C"/>
    <w:rsid w:val="1FC54E3A"/>
    <w:rsid w:val="1FC566E0"/>
    <w:rsid w:val="1FC76245"/>
    <w:rsid w:val="1FCC2B93"/>
    <w:rsid w:val="1FCD16F2"/>
    <w:rsid w:val="1FD02F0A"/>
    <w:rsid w:val="1FD179AD"/>
    <w:rsid w:val="1FD709FF"/>
    <w:rsid w:val="1FD877BE"/>
    <w:rsid w:val="1FDA1476"/>
    <w:rsid w:val="1FE057A6"/>
    <w:rsid w:val="1FE7539E"/>
    <w:rsid w:val="1FEB1EA6"/>
    <w:rsid w:val="1FEB2F63"/>
    <w:rsid w:val="1FEC0EEB"/>
    <w:rsid w:val="1FEE0953"/>
    <w:rsid w:val="1FEF518B"/>
    <w:rsid w:val="1FEF6B71"/>
    <w:rsid w:val="1FF95A24"/>
    <w:rsid w:val="1FFE0E51"/>
    <w:rsid w:val="1FFE53A7"/>
    <w:rsid w:val="20002D9D"/>
    <w:rsid w:val="20020AE4"/>
    <w:rsid w:val="20045F13"/>
    <w:rsid w:val="20047C8E"/>
    <w:rsid w:val="200A3A07"/>
    <w:rsid w:val="200A5CAA"/>
    <w:rsid w:val="200B09DF"/>
    <w:rsid w:val="200D16BE"/>
    <w:rsid w:val="200F02FE"/>
    <w:rsid w:val="20156173"/>
    <w:rsid w:val="201C5DDA"/>
    <w:rsid w:val="201E0FD9"/>
    <w:rsid w:val="202226D5"/>
    <w:rsid w:val="202426C6"/>
    <w:rsid w:val="2024722C"/>
    <w:rsid w:val="202820DF"/>
    <w:rsid w:val="202F1CE8"/>
    <w:rsid w:val="2030412A"/>
    <w:rsid w:val="203A4050"/>
    <w:rsid w:val="203B5CA6"/>
    <w:rsid w:val="203F6C8E"/>
    <w:rsid w:val="203F6CC9"/>
    <w:rsid w:val="20406C7B"/>
    <w:rsid w:val="20453AB4"/>
    <w:rsid w:val="205746FC"/>
    <w:rsid w:val="205B7DAD"/>
    <w:rsid w:val="205C2DA2"/>
    <w:rsid w:val="205D1746"/>
    <w:rsid w:val="205D28E3"/>
    <w:rsid w:val="205F2825"/>
    <w:rsid w:val="20601D76"/>
    <w:rsid w:val="206039D0"/>
    <w:rsid w:val="20605F8D"/>
    <w:rsid w:val="20630CD8"/>
    <w:rsid w:val="2065747F"/>
    <w:rsid w:val="206619E2"/>
    <w:rsid w:val="20671BE0"/>
    <w:rsid w:val="206736FD"/>
    <w:rsid w:val="20681A15"/>
    <w:rsid w:val="206B4A0D"/>
    <w:rsid w:val="206D0BE0"/>
    <w:rsid w:val="207162A7"/>
    <w:rsid w:val="20721A8A"/>
    <w:rsid w:val="207941F6"/>
    <w:rsid w:val="207D7200"/>
    <w:rsid w:val="207E3A60"/>
    <w:rsid w:val="208019DE"/>
    <w:rsid w:val="2083169E"/>
    <w:rsid w:val="20842C89"/>
    <w:rsid w:val="20846F18"/>
    <w:rsid w:val="20895BEF"/>
    <w:rsid w:val="208B5982"/>
    <w:rsid w:val="208B66B3"/>
    <w:rsid w:val="208B7E97"/>
    <w:rsid w:val="208E4DD6"/>
    <w:rsid w:val="20927D5F"/>
    <w:rsid w:val="20963CB8"/>
    <w:rsid w:val="20994775"/>
    <w:rsid w:val="209A32D2"/>
    <w:rsid w:val="209C30E9"/>
    <w:rsid w:val="20A03331"/>
    <w:rsid w:val="20A2258E"/>
    <w:rsid w:val="20A56A41"/>
    <w:rsid w:val="20A81A1B"/>
    <w:rsid w:val="20A8226A"/>
    <w:rsid w:val="20A84BBC"/>
    <w:rsid w:val="20AC0520"/>
    <w:rsid w:val="20AC4905"/>
    <w:rsid w:val="20B07FB6"/>
    <w:rsid w:val="20B42437"/>
    <w:rsid w:val="20B51422"/>
    <w:rsid w:val="20B646FB"/>
    <w:rsid w:val="20B71CB7"/>
    <w:rsid w:val="20B84AB1"/>
    <w:rsid w:val="20B932EB"/>
    <w:rsid w:val="20BD34A8"/>
    <w:rsid w:val="20C7557B"/>
    <w:rsid w:val="20C83673"/>
    <w:rsid w:val="20C84B99"/>
    <w:rsid w:val="20CB2E2D"/>
    <w:rsid w:val="20CB42AC"/>
    <w:rsid w:val="20D10D0C"/>
    <w:rsid w:val="20D36BE4"/>
    <w:rsid w:val="20D62F26"/>
    <w:rsid w:val="20DA4851"/>
    <w:rsid w:val="20DD7E0D"/>
    <w:rsid w:val="20EA5B93"/>
    <w:rsid w:val="20EA5E88"/>
    <w:rsid w:val="20EB4E72"/>
    <w:rsid w:val="20EF189D"/>
    <w:rsid w:val="20F00CCF"/>
    <w:rsid w:val="20F06FE1"/>
    <w:rsid w:val="20F32EFE"/>
    <w:rsid w:val="20F35FB5"/>
    <w:rsid w:val="20F43F93"/>
    <w:rsid w:val="20FC33C5"/>
    <w:rsid w:val="20FF3DA4"/>
    <w:rsid w:val="20FF7002"/>
    <w:rsid w:val="21047B55"/>
    <w:rsid w:val="21063D91"/>
    <w:rsid w:val="21071CC0"/>
    <w:rsid w:val="2108093F"/>
    <w:rsid w:val="210F6DC6"/>
    <w:rsid w:val="211026C3"/>
    <w:rsid w:val="2115116F"/>
    <w:rsid w:val="2115289A"/>
    <w:rsid w:val="21171C8F"/>
    <w:rsid w:val="21177671"/>
    <w:rsid w:val="211D7133"/>
    <w:rsid w:val="211D7158"/>
    <w:rsid w:val="212124D4"/>
    <w:rsid w:val="2121391C"/>
    <w:rsid w:val="21243DB3"/>
    <w:rsid w:val="21293278"/>
    <w:rsid w:val="21297C8B"/>
    <w:rsid w:val="212F63E7"/>
    <w:rsid w:val="212F75EA"/>
    <w:rsid w:val="21386D7B"/>
    <w:rsid w:val="213B74B1"/>
    <w:rsid w:val="21450D44"/>
    <w:rsid w:val="21492C7E"/>
    <w:rsid w:val="214B00B5"/>
    <w:rsid w:val="214E5A39"/>
    <w:rsid w:val="21527A74"/>
    <w:rsid w:val="2153763B"/>
    <w:rsid w:val="215A2310"/>
    <w:rsid w:val="215D7CF7"/>
    <w:rsid w:val="215F1852"/>
    <w:rsid w:val="216066A9"/>
    <w:rsid w:val="21614DDE"/>
    <w:rsid w:val="21617036"/>
    <w:rsid w:val="216245E2"/>
    <w:rsid w:val="21636B90"/>
    <w:rsid w:val="21667A3B"/>
    <w:rsid w:val="216939C7"/>
    <w:rsid w:val="216A47B4"/>
    <w:rsid w:val="217232D0"/>
    <w:rsid w:val="21724943"/>
    <w:rsid w:val="21740C80"/>
    <w:rsid w:val="2175647E"/>
    <w:rsid w:val="217669BD"/>
    <w:rsid w:val="2179318D"/>
    <w:rsid w:val="217A4D53"/>
    <w:rsid w:val="21814FFD"/>
    <w:rsid w:val="21824F58"/>
    <w:rsid w:val="21866607"/>
    <w:rsid w:val="218920C1"/>
    <w:rsid w:val="218B4F4D"/>
    <w:rsid w:val="219024F8"/>
    <w:rsid w:val="219327AE"/>
    <w:rsid w:val="21982CD4"/>
    <w:rsid w:val="219B6A2B"/>
    <w:rsid w:val="219E6885"/>
    <w:rsid w:val="21A06834"/>
    <w:rsid w:val="21A11EBE"/>
    <w:rsid w:val="21A12F71"/>
    <w:rsid w:val="21A35666"/>
    <w:rsid w:val="21A63243"/>
    <w:rsid w:val="21A93413"/>
    <w:rsid w:val="21AA0382"/>
    <w:rsid w:val="21AB6765"/>
    <w:rsid w:val="21AF588C"/>
    <w:rsid w:val="21B67ABF"/>
    <w:rsid w:val="21BB3917"/>
    <w:rsid w:val="21BC24F0"/>
    <w:rsid w:val="21C11083"/>
    <w:rsid w:val="21C50F3D"/>
    <w:rsid w:val="21CB4097"/>
    <w:rsid w:val="21D16339"/>
    <w:rsid w:val="21DB3FA0"/>
    <w:rsid w:val="21DE318A"/>
    <w:rsid w:val="21E35245"/>
    <w:rsid w:val="21E379FD"/>
    <w:rsid w:val="21E520AF"/>
    <w:rsid w:val="21E71A7A"/>
    <w:rsid w:val="21E7215C"/>
    <w:rsid w:val="21E82B31"/>
    <w:rsid w:val="21EA4D23"/>
    <w:rsid w:val="21EB36EA"/>
    <w:rsid w:val="21ED115A"/>
    <w:rsid w:val="21ED5058"/>
    <w:rsid w:val="21EF3C32"/>
    <w:rsid w:val="21EF5B80"/>
    <w:rsid w:val="21F20A2C"/>
    <w:rsid w:val="21F85973"/>
    <w:rsid w:val="21FB0E88"/>
    <w:rsid w:val="21FC4A54"/>
    <w:rsid w:val="220034FA"/>
    <w:rsid w:val="2200615A"/>
    <w:rsid w:val="22017995"/>
    <w:rsid w:val="22026928"/>
    <w:rsid w:val="220442EA"/>
    <w:rsid w:val="22052D2C"/>
    <w:rsid w:val="220A035A"/>
    <w:rsid w:val="220A0821"/>
    <w:rsid w:val="220A16CE"/>
    <w:rsid w:val="220A70A2"/>
    <w:rsid w:val="220C618F"/>
    <w:rsid w:val="220C64EA"/>
    <w:rsid w:val="2210244B"/>
    <w:rsid w:val="22124D86"/>
    <w:rsid w:val="22137513"/>
    <w:rsid w:val="22160C0A"/>
    <w:rsid w:val="2217037D"/>
    <w:rsid w:val="22183541"/>
    <w:rsid w:val="22211E40"/>
    <w:rsid w:val="22236D54"/>
    <w:rsid w:val="222466EB"/>
    <w:rsid w:val="222750E8"/>
    <w:rsid w:val="22324799"/>
    <w:rsid w:val="22364ADA"/>
    <w:rsid w:val="22415949"/>
    <w:rsid w:val="22425F4B"/>
    <w:rsid w:val="22462322"/>
    <w:rsid w:val="225346E0"/>
    <w:rsid w:val="22544AFC"/>
    <w:rsid w:val="225752DB"/>
    <w:rsid w:val="22576990"/>
    <w:rsid w:val="225838B7"/>
    <w:rsid w:val="22596A87"/>
    <w:rsid w:val="225A4E82"/>
    <w:rsid w:val="225D6375"/>
    <w:rsid w:val="225F0BD4"/>
    <w:rsid w:val="226172FB"/>
    <w:rsid w:val="226442CF"/>
    <w:rsid w:val="22645841"/>
    <w:rsid w:val="226B1CB8"/>
    <w:rsid w:val="226C4EE6"/>
    <w:rsid w:val="226D04A1"/>
    <w:rsid w:val="227462E1"/>
    <w:rsid w:val="2277591B"/>
    <w:rsid w:val="22775DA3"/>
    <w:rsid w:val="227813F5"/>
    <w:rsid w:val="22787451"/>
    <w:rsid w:val="227C31AB"/>
    <w:rsid w:val="227D0358"/>
    <w:rsid w:val="227F789B"/>
    <w:rsid w:val="22806846"/>
    <w:rsid w:val="22807F81"/>
    <w:rsid w:val="22840AF3"/>
    <w:rsid w:val="2284324F"/>
    <w:rsid w:val="228C79FB"/>
    <w:rsid w:val="22913C6B"/>
    <w:rsid w:val="22915DA2"/>
    <w:rsid w:val="22931CD9"/>
    <w:rsid w:val="22991149"/>
    <w:rsid w:val="229A67CE"/>
    <w:rsid w:val="229D6756"/>
    <w:rsid w:val="22A012DB"/>
    <w:rsid w:val="22A02CF6"/>
    <w:rsid w:val="22A24C0D"/>
    <w:rsid w:val="22AA1311"/>
    <w:rsid w:val="22AA4F9C"/>
    <w:rsid w:val="22AA6DAE"/>
    <w:rsid w:val="22AF5E83"/>
    <w:rsid w:val="22B43D1E"/>
    <w:rsid w:val="22BA07FF"/>
    <w:rsid w:val="22BA7F94"/>
    <w:rsid w:val="22BC3F06"/>
    <w:rsid w:val="22BE50C0"/>
    <w:rsid w:val="22C04F5C"/>
    <w:rsid w:val="22C36DB8"/>
    <w:rsid w:val="22CA0072"/>
    <w:rsid w:val="22CB762D"/>
    <w:rsid w:val="22CD52A1"/>
    <w:rsid w:val="22CF7C6B"/>
    <w:rsid w:val="22D646E3"/>
    <w:rsid w:val="22D957D9"/>
    <w:rsid w:val="22DC74AF"/>
    <w:rsid w:val="22DF4037"/>
    <w:rsid w:val="22E05A2A"/>
    <w:rsid w:val="22E2317C"/>
    <w:rsid w:val="22E60848"/>
    <w:rsid w:val="22EB0355"/>
    <w:rsid w:val="22EB67AA"/>
    <w:rsid w:val="22EC5CBB"/>
    <w:rsid w:val="22F02938"/>
    <w:rsid w:val="22F15C38"/>
    <w:rsid w:val="22F36A43"/>
    <w:rsid w:val="22F47480"/>
    <w:rsid w:val="22F706D4"/>
    <w:rsid w:val="22FA2B14"/>
    <w:rsid w:val="22FE4E4D"/>
    <w:rsid w:val="22FE7A1E"/>
    <w:rsid w:val="23025DEF"/>
    <w:rsid w:val="23085D8F"/>
    <w:rsid w:val="230C3F2B"/>
    <w:rsid w:val="230E20DD"/>
    <w:rsid w:val="230E74A0"/>
    <w:rsid w:val="23104399"/>
    <w:rsid w:val="23132A31"/>
    <w:rsid w:val="231379BE"/>
    <w:rsid w:val="231B7B8C"/>
    <w:rsid w:val="231C082D"/>
    <w:rsid w:val="231C12C8"/>
    <w:rsid w:val="231F7B5D"/>
    <w:rsid w:val="232451D2"/>
    <w:rsid w:val="23285534"/>
    <w:rsid w:val="232E4EAC"/>
    <w:rsid w:val="233226B1"/>
    <w:rsid w:val="23331D5F"/>
    <w:rsid w:val="23384B48"/>
    <w:rsid w:val="233A23C6"/>
    <w:rsid w:val="23427ACF"/>
    <w:rsid w:val="23464E2A"/>
    <w:rsid w:val="234C07DB"/>
    <w:rsid w:val="234D2F49"/>
    <w:rsid w:val="23545343"/>
    <w:rsid w:val="2355414C"/>
    <w:rsid w:val="23560F28"/>
    <w:rsid w:val="23583F4A"/>
    <w:rsid w:val="235D09DE"/>
    <w:rsid w:val="235F20DC"/>
    <w:rsid w:val="236365A2"/>
    <w:rsid w:val="236467FB"/>
    <w:rsid w:val="23670A52"/>
    <w:rsid w:val="2368096C"/>
    <w:rsid w:val="23680A91"/>
    <w:rsid w:val="2368258F"/>
    <w:rsid w:val="236A4C82"/>
    <w:rsid w:val="236A65B6"/>
    <w:rsid w:val="236B0717"/>
    <w:rsid w:val="236B7023"/>
    <w:rsid w:val="236D68EF"/>
    <w:rsid w:val="236E3FC1"/>
    <w:rsid w:val="236E4DE2"/>
    <w:rsid w:val="23755836"/>
    <w:rsid w:val="2377478E"/>
    <w:rsid w:val="23861B9D"/>
    <w:rsid w:val="23894295"/>
    <w:rsid w:val="238C48ED"/>
    <w:rsid w:val="239021F7"/>
    <w:rsid w:val="23920D35"/>
    <w:rsid w:val="23936A4E"/>
    <w:rsid w:val="23944922"/>
    <w:rsid w:val="23954BF8"/>
    <w:rsid w:val="23963A1F"/>
    <w:rsid w:val="23967333"/>
    <w:rsid w:val="23975DA5"/>
    <w:rsid w:val="2398203E"/>
    <w:rsid w:val="23996EFD"/>
    <w:rsid w:val="239B22AE"/>
    <w:rsid w:val="239E13D6"/>
    <w:rsid w:val="239E25D6"/>
    <w:rsid w:val="23A0023C"/>
    <w:rsid w:val="23A2264F"/>
    <w:rsid w:val="23A5474B"/>
    <w:rsid w:val="23A91306"/>
    <w:rsid w:val="23AB42A5"/>
    <w:rsid w:val="23B02D58"/>
    <w:rsid w:val="23B03BB5"/>
    <w:rsid w:val="23B717C7"/>
    <w:rsid w:val="23BB3FB1"/>
    <w:rsid w:val="23C74CB4"/>
    <w:rsid w:val="23C91F01"/>
    <w:rsid w:val="23C96FB3"/>
    <w:rsid w:val="23CB437F"/>
    <w:rsid w:val="23CC5F81"/>
    <w:rsid w:val="23CD6E14"/>
    <w:rsid w:val="23D140C4"/>
    <w:rsid w:val="23D26DBE"/>
    <w:rsid w:val="23D36078"/>
    <w:rsid w:val="23D56252"/>
    <w:rsid w:val="23D572F3"/>
    <w:rsid w:val="23DE0742"/>
    <w:rsid w:val="23DE1C48"/>
    <w:rsid w:val="23DF0DB2"/>
    <w:rsid w:val="23DF52CC"/>
    <w:rsid w:val="23E2589F"/>
    <w:rsid w:val="23E60B5D"/>
    <w:rsid w:val="23E84103"/>
    <w:rsid w:val="23EB292A"/>
    <w:rsid w:val="23ED51CC"/>
    <w:rsid w:val="23FA5C70"/>
    <w:rsid w:val="23FF1DB0"/>
    <w:rsid w:val="24002455"/>
    <w:rsid w:val="240210CD"/>
    <w:rsid w:val="24035295"/>
    <w:rsid w:val="240506BD"/>
    <w:rsid w:val="2405517C"/>
    <w:rsid w:val="2405795A"/>
    <w:rsid w:val="2407648C"/>
    <w:rsid w:val="240D0B14"/>
    <w:rsid w:val="241033A2"/>
    <w:rsid w:val="2412161A"/>
    <w:rsid w:val="241238FD"/>
    <w:rsid w:val="241930E1"/>
    <w:rsid w:val="241A7A29"/>
    <w:rsid w:val="241B28BD"/>
    <w:rsid w:val="241F2692"/>
    <w:rsid w:val="242029B5"/>
    <w:rsid w:val="24231AAF"/>
    <w:rsid w:val="2425531A"/>
    <w:rsid w:val="242E2351"/>
    <w:rsid w:val="242E598E"/>
    <w:rsid w:val="242F1C95"/>
    <w:rsid w:val="2434513D"/>
    <w:rsid w:val="243802EE"/>
    <w:rsid w:val="24385245"/>
    <w:rsid w:val="243B36D9"/>
    <w:rsid w:val="243E383A"/>
    <w:rsid w:val="243E3D0E"/>
    <w:rsid w:val="243F45DF"/>
    <w:rsid w:val="24414DBC"/>
    <w:rsid w:val="244C0368"/>
    <w:rsid w:val="244D46D8"/>
    <w:rsid w:val="245112CD"/>
    <w:rsid w:val="245225CD"/>
    <w:rsid w:val="24535D78"/>
    <w:rsid w:val="24542A77"/>
    <w:rsid w:val="245A3C7F"/>
    <w:rsid w:val="245C346E"/>
    <w:rsid w:val="246827D0"/>
    <w:rsid w:val="246B2B06"/>
    <w:rsid w:val="246E3B7D"/>
    <w:rsid w:val="246F070C"/>
    <w:rsid w:val="24714553"/>
    <w:rsid w:val="247167BE"/>
    <w:rsid w:val="24734364"/>
    <w:rsid w:val="2478008B"/>
    <w:rsid w:val="2479683A"/>
    <w:rsid w:val="247C1862"/>
    <w:rsid w:val="24802478"/>
    <w:rsid w:val="24862000"/>
    <w:rsid w:val="248C350A"/>
    <w:rsid w:val="248E43BB"/>
    <w:rsid w:val="24984E23"/>
    <w:rsid w:val="249851B6"/>
    <w:rsid w:val="24A3360E"/>
    <w:rsid w:val="24A35AD5"/>
    <w:rsid w:val="24A55341"/>
    <w:rsid w:val="24A63813"/>
    <w:rsid w:val="24AD0688"/>
    <w:rsid w:val="24AD2650"/>
    <w:rsid w:val="24B3194A"/>
    <w:rsid w:val="24B572D7"/>
    <w:rsid w:val="24B6300A"/>
    <w:rsid w:val="24BD4A02"/>
    <w:rsid w:val="24BF09F7"/>
    <w:rsid w:val="24C27958"/>
    <w:rsid w:val="24C34B23"/>
    <w:rsid w:val="24C429DA"/>
    <w:rsid w:val="24C47AC5"/>
    <w:rsid w:val="24CB37C2"/>
    <w:rsid w:val="24CF596A"/>
    <w:rsid w:val="24D25575"/>
    <w:rsid w:val="24D50A40"/>
    <w:rsid w:val="24DD5C47"/>
    <w:rsid w:val="24E00317"/>
    <w:rsid w:val="24E33360"/>
    <w:rsid w:val="24E56124"/>
    <w:rsid w:val="24E6176D"/>
    <w:rsid w:val="24E73CA3"/>
    <w:rsid w:val="24E8642F"/>
    <w:rsid w:val="24E867E6"/>
    <w:rsid w:val="24EA3EE4"/>
    <w:rsid w:val="24F03A8C"/>
    <w:rsid w:val="24F07064"/>
    <w:rsid w:val="24F1536D"/>
    <w:rsid w:val="24F16E73"/>
    <w:rsid w:val="24F36B5F"/>
    <w:rsid w:val="24F82593"/>
    <w:rsid w:val="24FF5C33"/>
    <w:rsid w:val="25003479"/>
    <w:rsid w:val="25024450"/>
    <w:rsid w:val="25064AC7"/>
    <w:rsid w:val="25065AD3"/>
    <w:rsid w:val="250B1CF7"/>
    <w:rsid w:val="25175551"/>
    <w:rsid w:val="251B489D"/>
    <w:rsid w:val="25205F20"/>
    <w:rsid w:val="25216F64"/>
    <w:rsid w:val="25282FAC"/>
    <w:rsid w:val="25293002"/>
    <w:rsid w:val="252B2CD0"/>
    <w:rsid w:val="252C340A"/>
    <w:rsid w:val="252D53FE"/>
    <w:rsid w:val="252F6E80"/>
    <w:rsid w:val="25300E51"/>
    <w:rsid w:val="25323617"/>
    <w:rsid w:val="25351E56"/>
    <w:rsid w:val="25366C12"/>
    <w:rsid w:val="25381710"/>
    <w:rsid w:val="253C3F6A"/>
    <w:rsid w:val="253D55D5"/>
    <w:rsid w:val="253F703C"/>
    <w:rsid w:val="254046DB"/>
    <w:rsid w:val="25454509"/>
    <w:rsid w:val="25494C03"/>
    <w:rsid w:val="25494E0C"/>
    <w:rsid w:val="254D2444"/>
    <w:rsid w:val="254F1127"/>
    <w:rsid w:val="254F2B93"/>
    <w:rsid w:val="255326FC"/>
    <w:rsid w:val="255419D8"/>
    <w:rsid w:val="256101A4"/>
    <w:rsid w:val="25624F93"/>
    <w:rsid w:val="2567613F"/>
    <w:rsid w:val="25683A1E"/>
    <w:rsid w:val="256F013D"/>
    <w:rsid w:val="2573155D"/>
    <w:rsid w:val="257502AD"/>
    <w:rsid w:val="257C5A60"/>
    <w:rsid w:val="257E1FC2"/>
    <w:rsid w:val="257F1480"/>
    <w:rsid w:val="25805931"/>
    <w:rsid w:val="25873B92"/>
    <w:rsid w:val="258B7616"/>
    <w:rsid w:val="258D46EE"/>
    <w:rsid w:val="258E0A7A"/>
    <w:rsid w:val="2593621E"/>
    <w:rsid w:val="25996590"/>
    <w:rsid w:val="259C1DB2"/>
    <w:rsid w:val="259D6B60"/>
    <w:rsid w:val="25A435FB"/>
    <w:rsid w:val="25A50BB4"/>
    <w:rsid w:val="25A96EF7"/>
    <w:rsid w:val="25B108EE"/>
    <w:rsid w:val="25B21050"/>
    <w:rsid w:val="25B22955"/>
    <w:rsid w:val="25B405EA"/>
    <w:rsid w:val="25B860E1"/>
    <w:rsid w:val="25BF7E1D"/>
    <w:rsid w:val="25C0627B"/>
    <w:rsid w:val="25C45EA5"/>
    <w:rsid w:val="25C93B45"/>
    <w:rsid w:val="25CF6C06"/>
    <w:rsid w:val="25D06DE3"/>
    <w:rsid w:val="25DD34B5"/>
    <w:rsid w:val="25E30B50"/>
    <w:rsid w:val="25E317CE"/>
    <w:rsid w:val="25E62D81"/>
    <w:rsid w:val="25EB7568"/>
    <w:rsid w:val="25EB7602"/>
    <w:rsid w:val="25EC2D81"/>
    <w:rsid w:val="25EF1FD3"/>
    <w:rsid w:val="25EF3B25"/>
    <w:rsid w:val="25F26E9C"/>
    <w:rsid w:val="25F55DEA"/>
    <w:rsid w:val="25F73151"/>
    <w:rsid w:val="25F76750"/>
    <w:rsid w:val="25FD206E"/>
    <w:rsid w:val="25FD5EE3"/>
    <w:rsid w:val="26013914"/>
    <w:rsid w:val="260142C5"/>
    <w:rsid w:val="26027009"/>
    <w:rsid w:val="26032CB1"/>
    <w:rsid w:val="26037DE2"/>
    <w:rsid w:val="260422AB"/>
    <w:rsid w:val="2604278C"/>
    <w:rsid w:val="260748B8"/>
    <w:rsid w:val="260C09E3"/>
    <w:rsid w:val="260D4484"/>
    <w:rsid w:val="261478E6"/>
    <w:rsid w:val="26150558"/>
    <w:rsid w:val="261606F4"/>
    <w:rsid w:val="261A37BB"/>
    <w:rsid w:val="261B11B7"/>
    <w:rsid w:val="261C185B"/>
    <w:rsid w:val="262174D6"/>
    <w:rsid w:val="26295D88"/>
    <w:rsid w:val="262B2875"/>
    <w:rsid w:val="263A4EEC"/>
    <w:rsid w:val="26411EEE"/>
    <w:rsid w:val="264366C4"/>
    <w:rsid w:val="264B05F7"/>
    <w:rsid w:val="26505CEF"/>
    <w:rsid w:val="265708FD"/>
    <w:rsid w:val="26590668"/>
    <w:rsid w:val="265C48AF"/>
    <w:rsid w:val="265E7E6F"/>
    <w:rsid w:val="265F0150"/>
    <w:rsid w:val="26630504"/>
    <w:rsid w:val="26680E0C"/>
    <w:rsid w:val="266831F4"/>
    <w:rsid w:val="26693F86"/>
    <w:rsid w:val="266A38B4"/>
    <w:rsid w:val="266D52E9"/>
    <w:rsid w:val="266E18D4"/>
    <w:rsid w:val="26705D2E"/>
    <w:rsid w:val="26723610"/>
    <w:rsid w:val="267308D3"/>
    <w:rsid w:val="267360F0"/>
    <w:rsid w:val="26737586"/>
    <w:rsid w:val="267765DD"/>
    <w:rsid w:val="26783179"/>
    <w:rsid w:val="267A4052"/>
    <w:rsid w:val="267D796D"/>
    <w:rsid w:val="267F0554"/>
    <w:rsid w:val="26800B49"/>
    <w:rsid w:val="268052A5"/>
    <w:rsid w:val="268A7E29"/>
    <w:rsid w:val="268C47E3"/>
    <w:rsid w:val="269000F1"/>
    <w:rsid w:val="26947231"/>
    <w:rsid w:val="26993EA8"/>
    <w:rsid w:val="269A4824"/>
    <w:rsid w:val="269B2CA0"/>
    <w:rsid w:val="269B4E12"/>
    <w:rsid w:val="269C3550"/>
    <w:rsid w:val="269C5A5F"/>
    <w:rsid w:val="26A01728"/>
    <w:rsid w:val="26A05EB7"/>
    <w:rsid w:val="26A1748B"/>
    <w:rsid w:val="26A37D8D"/>
    <w:rsid w:val="26A416AC"/>
    <w:rsid w:val="26A54BBE"/>
    <w:rsid w:val="26A821CC"/>
    <w:rsid w:val="26AD2768"/>
    <w:rsid w:val="26B107B5"/>
    <w:rsid w:val="26B202A3"/>
    <w:rsid w:val="26B54BB5"/>
    <w:rsid w:val="26B62077"/>
    <w:rsid w:val="26B779B3"/>
    <w:rsid w:val="26B81D45"/>
    <w:rsid w:val="26B90E9F"/>
    <w:rsid w:val="26B9683A"/>
    <w:rsid w:val="26BF00D4"/>
    <w:rsid w:val="26BF5317"/>
    <w:rsid w:val="26C36F10"/>
    <w:rsid w:val="26C83FF3"/>
    <w:rsid w:val="26CB275F"/>
    <w:rsid w:val="26CF1473"/>
    <w:rsid w:val="26D3616E"/>
    <w:rsid w:val="26D5342F"/>
    <w:rsid w:val="26D57582"/>
    <w:rsid w:val="26DB46DA"/>
    <w:rsid w:val="26DC55CA"/>
    <w:rsid w:val="26E26681"/>
    <w:rsid w:val="26E34C0C"/>
    <w:rsid w:val="26E367EA"/>
    <w:rsid w:val="26E40687"/>
    <w:rsid w:val="26E41FD1"/>
    <w:rsid w:val="26E51837"/>
    <w:rsid w:val="26EA6361"/>
    <w:rsid w:val="26ED186D"/>
    <w:rsid w:val="26F65CB4"/>
    <w:rsid w:val="26F85C34"/>
    <w:rsid w:val="26F91559"/>
    <w:rsid w:val="26FE6269"/>
    <w:rsid w:val="26FE7E03"/>
    <w:rsid w:val="26FF2303"/>
    <w:rsid w:val="27015808"/>
    <w:rsid w:val="27036FCB"/>
    <w:rsid w:val="27072FA9"/>
    <w:rsid w:val="27081B25"/>
    <w:rsid w:val="270952E7"/>
    <w:rsid w:val="270A613F"/>
    <w:rsid w:val="270D4093"/>
    <w:rsid w:val="27137819"/>
    <w:rsid w:val="27201E5F"/>
    <w:rsid w:val="27241480"/>
    <w:rsid w:val="27255D35"/>
    <w:rsid w:val="27256D27"/>
    <w:rsid w:val="272E78E8"/>
    <w:rsid w:val="272F5451"/>
    <w:rsid w:val="27327770"/>
    <w:rsid w:val="273F4A6E"/>
    <w:rsid w:val="273F5719"/>
    <w:rsid w:val="274703DD"/>
    <w:rsid w:val="2748485D"/>
    <w:rsid w:val="274A6CA6"/>
    <w:rsid w:val="27533018"/>
    <w:rsid w:val="275445B9"/>
    <w:rsid w:val="27545746"/>
    <w:rsid w:val="275741F6"/>
    <w:rsid w:val="275822B8"/>
    <w:rsid w:val="275A2FE2"/>
    <w:rsid w:val="275D3693"/>
    <w:rsid w:val="275F03E7"/>
    <w:rsid w:val="275F4D7E"/>
    <w:rsid w:val="2761062F"/>
    <w:rsid w:val="2763260A"/>
    <w:rsid w:val="27642A47"/>
    <w:rsid w:val="27642F6F"/>
    <w:rsid w:val="276A475B"/>
    <w:rsid w:val="276C79AD"/>
    <w:rsid w:val="276E7B23"/>
    <w:rsid w:val="277057A2"/>
    <w:rsid w:val="27717072"/>
    <w:rsid w:val="27726A7D"/>
    <w:rsid w:val="2774329D"/>
    <w:rsid w:val="2777754B"/>
    <w:rsid w:val="277B36CD"/>
    <w:rsid w:val="277D3A67"/>
    <w:rsid w:val="277E737F"/>
    <w:rsid w:val="278126FD"/>
    <w:rsid w:val="278349D3"/>
    <w:rsid w:val="278401E8"/>
    <w:rsid w:val="27866565"/>
    <w:rsid w:val="27910F27"/>
    <w:rsid w:val="27911AC2"/>
    <w:rsid w:val="279132BD"/>
    <w:rsid w:val="279164A5"/>
    <w:rsid w:val="27921B87"/>
    <w:rsid w:val="279376C0"/>
    <w:rsid w:val="27941CAF"/>
    <w:rsid w:val="279F4CCC"/>
    <w:rsid w:val="27A42D17"/>
    <w:rsid w:val="27A4612F"/>
    <w:rsid w:val="27A77B2B"/>
    <w:rsid w:val="27AA3C14"/>
    <w:rsid w:val="27B0075C"/>
    <w:rsid w:val="27B0352F"/>
    <w:rsid w:val="27B472B8"/>
    <w:rsid w:val="27B9300A"/>
    <w:rsid w:val="27BC0E8B"/>
    <w:rsid w:val="27BF5944"/>
    <w:rsid w:val="27C176FB"/>
    <w:rsid w:val="27C87CD8"/>
    <w:rsid w:val="27D0488E"/>
    <w:rsid w:val="27D25230"/>
    <w:rsid w:val="27D77CA8"/>
    <w:rsid w:val="27D81BE8"/>
    <w:rsid w:val="27D85ACA"/>
    <w:rsid w:val="27DC22DA"/>
    <w:rsid w:val="27DD2959"/>
    <w:rsid w:val="27E26A6E"/>
    <w:rsid w:val="27E726FA"/>
    <w:rsid w:val="27E74298"/>
    <w:rsid w:val="27EA2D48"/>
    <w:rsid w:val="27EA7846"/>
    <w:rsid w:val="27EB0F38"/>
    <w:rsid w:val="27F3442E"/>
    <w:rsid w:val="27F45C50"/>
    <w:rsid w:val="27F52A2A"/>
    <w:rsid w:val="27F93A11"/>
    <w:rsid w:val="27FA5147"/>
    <w:rsid w:val="27FB270B"/>
    <w:rsid w:val="280173D2"/>
    <w:rsid w:val="28057905"/>
    <w:rsid w:val="28091E81"/>
    <w:rsid w:val="280B3BC1"/>
    <w:rsid w:val="280E5F95"/>
    <w:rsid w:val="28112193"/>
    <w:rsid w:val="28154E7E"/>
    <w:rsid w:val="28180AD9"/>
    <w:rsid w:val="281A1108"/>
    <w:rsid w:val="281D57C7"/>
    <w:rsid w:val="281D6903"/>
    <w:rsid w:val="281F4E40"/>
    <w:rsid w:val="2822576B"/>
    <w:rsid w:val="28236B05"/>
    <w:rsid w:val="2824116E"/>
    <w:rsid w:val="2824532F"/>
    <w:rsid w:val="28295747"/>
    <w:rsid w:val="282D048C"/>
    <w:rsid w:val="282F658A"/>
    <w:rsid w:val="2832264A"/>
    <w:rsid w:val="283342CF"/>
    <w:rsid w:val="28384E7A"/>
    <w:rsid w:val="283C2EAF"/>
    <w:rsid w:val="283D267E"/>
    <w:rsid w:val="283D2AFA"/>
    <w:rsid w:val="284519E5"/>
    <w:rsid w:val="28470E5D"/>
    <w:rsid w:val="284B52AD"/>
    <w:rsid w:val="284E2386"/>
    <w:rsid w:val="284E453F"/>
    <w:rsid w:val="284E4E1A"/>
    <w:rsid w:val="285042F5"/>
    <w:rsid w:val="28505165"/>
    <w:rsid w:val="2852285E"/>
    <w:rsid w:val="28561C93"/>
    <w:rsid w:val="28583248"/>
    <w:rsid w:val="285D0846"/>
    <w:rsid w:val="285F64B8"/>
    <w:rsid w:val="286234DD"/>
    <w:rsid w:val="286A5631"/>
    <w:rsid w:val="286B535E"/>
    <w:rsid w:val="287D73BA"/>
    <w:rsid w:val="288177AA"/>
    <w:rsid w:val="28825D8A"/>
    <w:rsid w:val="28841786"/>
    <w:rsid w:val="28887D57"/>
    <w:rsid w:val="288F0877"/>
    <w:rsid w:val="28962D74"/>
    <w:rsid w:val="2897744E"/>
    <w:rsid w:val="289A5BD8"/>
    <w:rsid w:val="289B6B5F"/>
    <w:rsid w:val="289D33B9"/>
    <w:rsid w:val="28A10358"/>
    <w:rsid w:val="28A166FD"/>
    <w:rsid w:val="28A46AB7"/>
    <w:rsid w:val="28A4750A"/>
    <w:rsid w:val="28A97814"/>
    <w:rsid w:val="28AA10F7"/>
    <w:rsid w:val="28AA1FBE"/>
    <w:rsid w:val="28AB5905"/>
    <w:rsid w:val="28B01BB4"/>
    <w:rsid w:val="28B07287"/>
    <w:rsid w:val="28B8247B"/>
    <w:rsid w:val="28B86557"/>
    <w:rsid w:val="28B972CE"/>
    <w:rsid w:val="28BC57D1"/>
    <w:rsid w:val="28BE18CA"/>
    <w:rsid w:val="28BF041E"/>
    <w:rsid w:val="28C16BDB"/>
    <w:rsid w:val="28C17536"/>
    <w:rsid w:val="28C655F0"/>
    <w:rsid w:val="28C74DC5"/>
    <w:rsid w:val="28CF1C16"/>
    <w:rsid w:val="28D6606F"/>
    <w:rsid w:val="28DE1464"/>
    <w:rsid w:val="28E10A75"/>
    <w:rsid w:val="28E17E97"/>
    <w:rsid w:val="28E459A2"/>
    <w:rsid w:val="28E579C1"/>
    <w:rsid w:val="28E82AF9"/>
    <w:rsid w:val="28EA685B"/>
    <w:rsid w:val="28EC5A6F"/>
    <w:rsid w:val="28EE15C9"/>
    <w:rsid w:val="28EE1B98"/>
    <w:rsid w:val="28EF0E6D"/>
    <w:rsid w:val="28F1466C"/>
    <w:rsid w:val="28F15552"/>
    <w:rsid w:val="28FA282C"/>
    <w:rsid w:val="290151A9"/>
    <w:rsid w:val="29041B36"/>
    <w:rsid w:val="29071057"/>
    <w:rsid w:val="290738FF"/>
    <w:rsid w:val="29092B0D"/>
    <w:rsid w:val="290B40F5"/>
    <w:rsid w:val="290E0C22"/>
    <w:rsid w:val="290E1ECD"/>
    <w:rsid w:val="290F7ECC"/>
    <w:rsid w:val="29142FDB"/>
    <w:rsid w:val="29160FED"/>
    <w:rsid w:val="291D0D37"/>
    <w:rsid w:val="291D61E7"/>
    <w:rsid w:val="291F22F2"/>
    <w:rsid w:val="29206EB8"/>
    <w:rsid w:val="2923636B"/>
    <w:rsid w:val="292A7C62"/>
    <w:rsid w:val="292B2DB3"/>
    <w:rsid w:val="29326688"/>
    <w:rsid w:val="293275BA"/>
    <w:rsid w:val="29430882"/>
    <w:rsid w:val="29441FDC"/>
    <w:rsid w:val="29485CA4"/>
    <w:rsid w:val="294D1311"/>
    <w:rsid w:val="294D5485"/>
    <w:rsid w:val="29557C3B"/>
    <w:rsid w:val="29561635"/>
    <w:rsid w:val="295866B3"/>
    <w:rsid w:val="29595666"/>
    <w:rsid w:val="29596847"/>
    <w:rsid w:val="295A6886"/>
    <w:rsid w:val="295D7E20"/>
    <w:rsid w:val="29635561"/>
    <w:rsid w:val="29650EF5"/>
    <w:rsid w:val="29671DBD"/>
    <w:rsid w:val="29674308"/>
    <w:rsid w:val="296D6144"/>
    <w:rsid w:val="29763D64"/>
    <w:rsid w:val="29785713"/>
    <w:rsid w:val="297D6722"/>
    <w:rsid w:val="297E57CF"/>
    <w:rsid w:val="29805D41"/>
    <w:rsid w:val="29847EBD"/>
    <w:rsid w:val="2986185D"/>
    <w:rsid w:val="298704DF"/>
    <w:rsid w:val="29871BC0"/>
    <w:rsid w:val="29874881"/>
    <w:rsid w:val="298B4747"/>
    <w:rsid w:val="29903B0D"/>
    <w:rsid w:val="29984E96"/>
    <w:rsid w:val="299D4CFF"/>
    <w:rsid w:val="299E3F55"/>
    <w:rsid w:val="299E71B5"/>
    <w:rsid w:val="299F7198"/>
    <w:rsid w:val="29A33490"/>
    <w:rsid w:val="29A641EB"/>
    <w:rsid w:val="29AB13CE"/>
    <w:rsid w:val="29AC270B"/>
    <w:rsid w:val="29AC4D51"/>
    <w:rsid w:val="29AD1320"/>
    <w:rsid w:val="29AF3CA5"/>
    <w:rsid w:val="29AF6C46"/>
    <w:rsid w:val="29B2339B"/>
    <w:rsid w:val="29B270FF"/>
    <w:rsid w:val="29B41D02"/>
    <w:rsid w:val="29B929D7"/>
    <w:rsid w:val="29C10025"/>
    <w:rsid w:val="29C47D32"/>
    <w:rsid w:val="29C548AE"/>
    <w:rsid w:val="29C74344"/>
    <w:rsid w:val="29C84487"/>
    <w:rsid w:val="29C96EB5"/>
    <w:rsid w:val="29CA588D"/>
    <w:rsid w:val="29CF1463"/>
    <w:rsid w:val="29D65BE9"/>
    <w:rsid w:val="29DE6A68"/>
    <w:rsid w:val="29E245C5"/>
    <w:rsid w:val="29E325E0"/>
    <w:rsid w:val="29EA6800"/>
    <w:rsid w:val="29EB071A"/>
    <w:rsid w:val="29EC0AC8"/>
    <w:rsid w:val="29EC3DF7"/>
    <w:rsid w:val="29EE1F8D"/>
    <w:rsid w:val="29EF1D40"/>
    <w:rsid w:val="29F04198"/>
    <w:rsid w:val="29F6105E"/>
    <w:rsid w:val="29F63E3C"/>
    <w:rsid w:val="29F717CA"/>
    <w:rsid w:val="29F77E04"/>
    <w:rsid w:val="29FA1E20"/>
    <w:rsid w:val="2A023191"/>
    <w:rsid w:val="2A061746"/>
    <w:rsid w:val="2A083EE1"/>
    <w:rsid w:val="2A0868E3"/>
    <w:rsid w:val="2A102661"/>
    <w:rsid w:val="2A116186"/>
    <w:rsid w:val="2A2103AC"/>
    <w:rsid w:val="2A225657"/>
    <w:rsid w:val="2A251CB2"/>
    <w:rsid w:val="2A325279"/>
    <w:rsid w:val="2A3441C6"/>
    <w:rsid w:val="2A363F4A"/>
    <w:rsid w:val="2A3A138D"/>
    <w:rsid w:val="2A3C72AF"/>
    <w:rsid w:val="2A3E70CF"/>
    <w:rsid w:val="2A3F5458"/>
    <w:rsid w:val="2A4469A5"/>
    <w:rsid w:val="2A452503"/>
    <w:rsid w:val="2A4A30F5"/>
    <w:rsid w:val="2A4B683F"/>
    <w:rsid w:val="2A514BFA"/>
    <w:rsid w:val="2A597423"/>
    <w:rsid w:val="2A5C2D44"/>
    <w:rsid w:val="2A622BEA"/>
    <w:rsid w:val="2A666672"/>
    <w:rsid w:val="2A6D12E5"/>
    <w:rsid w:val="2A770702"/>
    <w:rsid w:val="2A7824CA"/>
    <w:rsid w:val="2A782BF1"/>
    <w:rsid w:val="2A796B18"/>
    <w:rsid w:val="2A804F7C"/>
    <w:rsid w:val="2A86365F"/>
    <w:rsid w:val="2A8764E3"/>
    <w:rsid w:val="2A89547D"/>
    <w:rsid w:val="2A8A4A46"/>
    <w:rsid w:val="2A9132AB"/>
    <w:rsid w:val="2A95414B"/>
    <w:rsid w:val="2A965A5A"/>
    <w:rsid w:val="2A967EBA"/>
    <w:rsid w:val="2A9A0B88"/>
    <w:rsid w:val="2A9C1CB7"/>
    <w:rsid w:val="2A9F13C6"/>
    <w:rsid w:val="2A9F15FA"/>
    <w:rsid w:val="2AA02532"/>
    <w:rsid w:val="2AA301D0"/>
    <w:rsid w:val="2AA40257"/>
    <w:rsid w:val="2AA760CE"/>
    <w:rsid w:val="2AA9149E"/>
    <w:rsid w:val="2AAD3184"/>
    <w:rsid w:val="2AAF6D85"/>
    <w:rsid w:val="2AB34693"/>
    <w:rsid w:val="2AB35C0F"/>
    <w:rsid w:val="2AB4684F"/>
    <w:rsid w:val="2AB6735B"/>
    <w:rsid w:val="2AB70275"/>
    <w:rsid w:val="2AB740C8"/>
    <w:rsid w:val="2AB8664D"/>
    <w:rsid w:val="2AB87533"/>
    <w:rsid w:val="2ABB4D8A"/>
    <w:rsid w:val="2AC93DB7"/>
    <w:rsid w:val="2ACA0EB7"/>
    <w:rsid w:val="2ACF29E1"/>
    <w:rsid w:val="2ADA202F"/>
    <w:rsid w:val="2AF2024E"/>
    <w:rsid w:val="2AF46384"/>
    <w:rsid w:val="2AF67F8F"/>
    <w:rsid w:val="2AF83F74"/>
    <w:rsid w:val="2AF86169"/>
    <w:rsid w:val="2AFA100D"/>
    <w:rsid w:val="2AFE5F01"/>
    <w:rsid w:val="2B021C59"/>
    <w:rsid w:val="2B0A6F32"/>
    <w:rsid w:val="2B0C2DE9"/>
    <w:rsid w:val="2B0C3F75"/>
    <w:rsid w:val="2B0F5B2F"/>
    <w:rsid w:val="2B1252DB"/>
    <w:rsid w:val="2B163B0C"/>
    <w:rsid w:val="2B19525A"/>
    <w:rsid w:val="2B203FB1"/>
    <w:rsid w:val="2B226B11"/>
    <w:rsid w:val="2B280556"/>
    <w:rsid w:val="2B2B4244"/>
    <w:rsid w:val="2B3031B0"/>
    <w:rsid w:val="2B35228D"/>
    <w:rsid w:val="2B353B29"/>
    <w:rsid w:val="2B375F8E"/>
    <w:rsid w:val="2B3B53CF"/>
    <w:rsid w:val="2B3C3A1A"/>
    <w:rsid w:val="2B497182"/>
    <w:rsid w:val="2B4F2E8A"/>
    <w:rsid w:val="2B54221F"/>
    <w:rsid w:val="2B6379C7"/>
    <w:rsid w:val="2B671CCD"/>
    <w:rsid w:val="2B6B0096"/>
    <w:rsid w:val="2B6C0A39"/>
    <w:rsid w:val="2B6D2725"/>
    <w:rsid w:val="2B6F3275"/>
    <w:rsid w:val="2B6F56F0"/>
    <w:rsid w:val="2B734C5E"/>
    <w:rsid w:val="2B746E96"/>
    <w:rsid w:val="2B792B86"/>
    <w:rsid w:val="2B7A06A4"/>
    <w:rsid w:val="2B7D006B"/>
    <w:rsid w:val="2B7E4ADC"/>
    <w:rsid w:val="2B814F21"/>
    <w:rsid w:val="2B846EA8"/>
    <w:rsid w:val="2B8D78FA"/>
    <w:rsid w:val="2B8E1FD2"/>
    <w:rsid w:val="2B8F5192"/>
    <w:rsid w:val="2B927010"/>
    <w:rsid w:val="2B9D4860"/>
    <w:rsid w:val="2B9E0273"/>
    <w:rsid w:val="2B9F7442"/>
    <w:rsid w:val="2BA04BAB"/>
    <w:rsid w:val="2BA05124"/>
    <w:rsid w:val="2BA344D3"/>
    <w:rsid w:val="2BA936A8"/>
    <w:rsid w:val="2BAA218C"/>
    <w:rsid w:val="2BB3524B"/>
    <w:rsid w:val="2BB67726"/>
    <w:rsid w:val="2BB8415F"/>
    <w:rsid w:val="2BBC2DD8"/>
    <w:rsid w:val="2BC73D3F"/>
    <w:rsid w:val="2BC81929"/>
    <w:rsid w:val="2BCD4A1F"/>
    <w:rsid w:val="2BCF20E4"/>
    <w:rsid w:val="2BD235B2"/>
    <w:rsid w:val="2BD4525C"/>
    <w:rsid w:val="2BD83657"/>
    <w:rsid w:val="2BDB6F01"/>
    <w:rsid w:val="2BE01085"/>
    <w:rsid w:val="2BE16D03"/>
    <w:rsid w:val="2BE717FD"/>
    <w:rsid w:val="2BED1DB8"/>
    <w:rsid w:val="2BED4545"/>
    <w:rsid w:val="2BEE6123"/>
    <w:rsid w:val="2BEF4BE7"/>
    <w:rsid w:val="2BFB3C73"/>
    <w:rsid w:val="2C095430"/>
    <w:rsid w:val="2C0F6661"/>
    <w:rsid w:val="2C182545"/>
    <w:rsid w:val="2C196D0D"/>
    <w:rsid w:val="2C1B2B97"/>
    <w:rsid w:val="2C1F7CCB"/>
    <w:rsid w:val="2C2078D3"/>
    <w:rsid w:val="2C207D2D"/>
    <w:rsid w:val="2C253C7A"/>
    <w:rsid w:val="2C2F7440"/>
    <w:rsid w:val="2C313549"/>
    <w:rsid w:val="2C315A5A"/>
    <w:rsid w:val="2C320C5F"/>
    <w:rsid w:val="2C32303F"/>
    <w:rsid w:val="2C357471"/>
    <w:rsid w:val="2C361B54"/>
    <w:rsid w:val="2C375958"/>
    <w:rsid w:val="2C3D0E7D"/>
    <w:rsid w:val="2C3D5CF9"/>
    <w:rsid w:val="2C435337"/>
    <w:rsid w:val="2C447E31"/>
    <w:rsid w:val="2C45171C"/>
    <w:rsid w:val="2C4B1C25"/>
    <w:rsid w:val="2C4D2FD1"/>
    <w:rsid w:val="2C511CFC"/>
    <w:rsid w:val="2C526436"/>
    <w:rsid w:val="2C5632C4"/>
    <w:rsid w:val="2C58238A"/>
    <w:rsid w:val="2C621618"/>
    <w:rsid w:val="2C63414B"/>
    <w:rsid w:val="2C641E77"/>
    <w:rsid w:val="2C6C565A"/>
    <w:rsid w:val="2C6C70FA"/>
    <w:rsid w:val="2C6F6529"/>
    <w:rsid w:val="2C717099"/>
    <w:rsid w:val="2C743C9E"/>
    <w:rsid w:val="2C774D94"/>
    <w:rsid w:val="2C7A2EA0"/>
    <w:rsid w:val="2C7E6E7C"/>
    <w:rsid w:val="2C813D0A"/>
    <w:rsid w:val="2C88701A"/>
    <w:rsid w:val="2C892A73"/>
    <w:rsid w:val="2C8A67B0"/>
    <w:rsid w:val="2C8C70C2"/>
    <w:rsid w:val="2C8F6049"/>
    <w:rsid w:val="2C95242D"/>
    <w:rsid w:val="2C983A9D"/>
    <w:rsid w:val="2C990021"/>
    <w:rsid w:val="2C996E49"/>
    <w:rsid w:val="2C9C00DD"/>
    <w:rsid w:val="2CA13D12"/>
    <w:rsid w:val="2CA47DA2"/>
    <w:rsid w:val="2CA602BF"/>
    <w:rsid w:val="2CA67BC6"/>
    <w:rsid w:val="2CB07AE2"/>
    <w:rsid w:val="2CB372F0"/>
    <w:rsid w:val="2CB51778"/>
    <w:rsid w:val="2CB65948"/>
    <w:rsid w:val="2CBE2994"/>
    <w:rsid w:val="2CC14D1F"/>
    <w:rsid w:val="2CC20B9F"/>
    <w:rsid w:val="2CC3391A"/>
    <w:rsid w:val="2CC61FE8"/>
    <w:rsid w:val="2CC9023B"/>
    <w:rsid w:val="2CCA3DEE"/>
    <w:rsid w:val="2CCE6275"/>
    <w:rsid w:val="2CCF3EF4"/>
    <w:rsid w:val="2CD00A23"/>
    <w:rsid w:val="2CD37257"/>
    <w:rsid w:val="2CD578C3"/>
    <w:rsid w:val="2CD733E9"/>
    <w:rsid w:val="2CDB212A"/>
    <w:rsid w:val="2CDF281F"/>
    <w:rsid w:val="2CE7214C"/>
    <w:rsid w:val="2CE85F81"/>
    <w:rsid w:val="2CED0911"/>
    <w:rsid w:val="2CEF3476"/>
    <w:rsid w:val="2CF030A4"/>
    <w:rsid w:val="2CF03EA8"/>
    <w:rsid w:val="2CF33287"/>
    <w:rsid w:val="2CF5424B"/>
    <w:rsid w:val="2CF606EC"/>
    <w:rsid w:val="2CF77DF1"/>
    <w:rsid w:val="2CFA35FE"/>
    <w:rsid w:val="2D0355D2"/>
    <w:rsid w:val="2D0B78B5"/>
    <w:rsid w:val="2D0E1E8B"/>
    <w:rsid w:val="2D0E348A"/>
    <w:rsid w:val="2D182614"/>
    <w:rsid w:val="2D212BDA"/>
    <w:rsid w:val="2D221625"/>
    <w:rsid w:val="2D2C7D04"/>
    <w:rsid w:val="2D2F3D91"/>
    <w:rsid w:val="2D41354B"/>
    <w:rsid w:val="2D413898"/>
    <w:rsid w:val="2D441F89"/>
    <w:rsid w:val="2D481856"/>
    <w:rsid w:val="2D492C23"/>
    <w:rsid w:val="2D4F44B3"/>
    <w:rsid w:val="2D4F6B0F"/>
    <w:rsid w:val="2D503231"/>
    <w:rsid w:val="2D541F0B"/>
    <w:rsid w:val="2D557B46"/>
    <w:rsid w:val="2D560ECA"/>
    <w:rsid w:val="2D576204"/>
    <w:rsid w:val="2D58036C"/>
    <w:rsid w:val="2D5B2A6D"/>
    <w:rsid w:val="2D5D12E2"/>
    <w:rsid w:val="2D690AAD"/>
    <w:rsid w:val="2D6F3080"/>
    <w:rsid w:val="2D71379A"/>
    <w:rsid w:val="2D7330ED"/>
    <w:rsid w:val="2D7A1276"/>
    <w:rsid w:val="2D814CA2"/>
    <w:rsid w:val="2D8B69C0"/>
    <w:rsid w:val="2D8C3ED4"/>
    <w:rsid w:val="2D8D382A"/>
    <w:rsid w:val="2D8F20E8"/>
    <w:rsid w:val="2D9349F6"/>
    <w:rsid w:val="2D9844BF"/>
    <w:rsid w:val="2D9849E5"/>
    <w:rsid w:val="2D986DC7"/>
    <w:rsid w:val="2D9902CB"/>
    <w:rsid w:val="2D997779"/>
    <w:rsid w:val="2D9A3F68"/>
    <w:rsid w:val="2D9D0932"/>
    <w:rsid w:val="2D9E56F5"/>
    <w:rsid w:val="2D9F0919"/>
    <w:rsid w:val="2D9F25BD"/>
    <w:rsid w:val="2D9F6752"/>
    <w:rsid w:val="2DA07BD7"/>
    <w:rsid w:val="2DA41A09"/>
    <w:rsid w:val="2DA52444"/>
    <w:rsid w:val="2DA71C5A"/>
    <w:rsid w:val="2DA77DE0"/>
    <w:rsid w:val="2DAB4769"/>
    <w:rsid w:val="2DAB5DD6"/>
    <w:rsid w:val="2DAD6DD6"/>
    <w:rsid w:val="2DB02195"/>
    <w:rsid w:val="2DB262FB"/>
    <w:rsid w:val="2DB35D8D"/>
    <w:rsid w:val="2DB86E52"/>
    <w:rsid w:val="2DC26C50"/>
    <w:rsid w:val="2DC558A1"/>
    <w:rsid w:val="2DCF057B"/>
    <w:rsid w:val="2DCF155A"/>
    <w:rsid w:val="2DD51BCC"/>
    <w:rsid w:val="2DD639BD"/>
    <w:rsid w:val="2DD867C1"/>
    <w:rsid w:val="2DD86F5A"/>
    <w:rsid w:val="2DDC0828"/>
    <w:rsid w:val="2DE54E5D"/>
    <w:rsid w:val="2DE6104B"/>
    <w:rsid w:val="2DE6229A"/>
    <w:rsid w:val="2DE97F99"/>
    <w:rsid w:val="2DEA13B2"/>
    <w:rsid w:val="2DF03221"/>
    <w:rsid w:val="2DF80065"/>
    <w:rsid w:val="2DF9015F"/>
    <w:rsid w:val="2DFD4356"/>
    <w:rsid w:val="2DFE105D"/>
    <w:rsid w:val="2DFE4B87"/>
    <w:rsid w:val="2DFF3556"/>
    <w:rsid w:val="2E004371"/>
    <w:rsid w:val="2E0436FE"/>
    <w:rsid w:val="2E045974"/>
    <w:rsid w:val="2E0A4771"/>
    <w:rsid w:val="2E0A4FBA"/>
    <w:rsid w:val="2E1227C0"/>
    <w:rsid w:val="2E151007"/>
    <w:rsid w:val="2E1518D7"/>
    <w:rsid w:val="2E1676F8"/>
    <w:rsid w:val="2E1862AB"/>
    <w:rsid w:val="2E186870"/>
    <w:rsid w:val="2E1975F5"/>
    <w:rsid w:val="2E1E59D6"/>
    <w:rsid w:val="2E1F0716"/>
    <w:rsid w:val="2E244156"/>
    <w:rsid w:val="2E24583A"/>
    <w:rsid w:val="2E2477F6"/>
    <w:rsid w:val="2E2B796A"/>
    <w:rsid w:val="2E2E755E"/>
    <w:rsid w:val="2E2F33DF"/>
    <w:rsid w:val="2E3035FA"/>
    <w:rsid w:val="2E383139"/>
    <w:rsid w:val="2E3953F7"/>
    <w:rsid w:val="2E3A092C"/>
    <w:rsid w:val="2E3B1D2C"/>
    <w:rsid w:val="2E3B523F"/>
    <w:rsid w:val="2E401A93"/>
    <w:rsid w:val="2E437130"/>
    <w:rsid w:val="2E460AC6"/>
    <w:rsid w:val="2E471C7F"/>
    <w:rsid w:val="2E4A5133"/>
    <w:rsid w:val="2E4F2DF0"/>
    <w:rsid w:val="2E510CE7"/>
    <w:rsid w:val="2E562049"/>
    <w:rsid w:val="2E594C38"/>
    <w:rsid w:val="2E5B6F7B"/>
    <w:rsid w:val="2E5D5A2E"/>
    <w:rsid w:val="2E5E63B4"/>
    <w:rsid w:val="2E616F8C"/>
    <w:rsid w:val="2E64310F"/>
    <w:rsid w:val="2E667F96"/>
    <w:rsid w:val="2E677860"/>
    <w:rsid w:val="2E6D54EF"/>
    <w:rsid w:val="2E6E002D"/>
    <w:rsid w:val="2E6E4365"/>
    <w:rsid w:val="2E6E5BED"/>
    <w:rsid w:val="2E705E1A"/>
    <w:rsid w:val="2E712B3F"/>
    <w:rsid w:val="2E7530A1"/>
    <w:rsid w:val="2E756F11"/>
    <w:rsid w:val="2E762B2B"/>
    <w:rsid w:val="2E767516"/>
    <w:rsid w:val="2E7B51CF"/>
    <w:rsid w:val="2E801155"/>
    <w:rsid w:val="2E803D01"/>
    <w:rsid w:val="2E806E67"/>
    <w:rsid w:val="2E8226AB"/>
    <w:rsid w:val="2E88787F"/>
    <w:rsid w:val="2E8A2667"/>
    <w:rsid w:val="2E956C51"/>
    <w:rsid w:val="2E972562"/>
    <w:rsid w:val="2E973C90"/>
    <w:rsid w:val="2E995868"/>
    <w:rsid w:val="2E995914"/>
    <w:rsid w:val="2EA70755"/>
    <w:rsid w:val="2EA81C3B"/>
    <w:rsid w:val="2EA910D1"/>
    <w:rsid w:val="2EAA6444"/>
    <w:rsid w:val="2EAF3DA3"/>
    <w:rsid w:val="2EBD4094"/>
    <w:rsid w:val="2EBE1E1B"/>
    <w:rsid w:val="2EC0480B"/>
    <w:rsid w:val="2ED27ABE"/>
    <w:rsid w:val="2ED379F2"/>
    <w:rsid w:val="2ED60CD8"/>
    <w:rsid w:val="2ED84C78"/>
    <w:rsid w:val="2ED94CFD"/>
    <w:rsid w:val="2EDF60A7"/>
    <w:rsid w:val="2EE23A89"/>
    <w:rsid w:val="2EE3513D"/>
    <w:rsid w:val="2EE3765C"/>
    <w:rsid w:val="2EE4657F"/>
    <w:rsid w:val="2EE506E7"/>
    <w:rsid w:val="2EE83114"/>
    <w:rsid w:val="2EEB4052"/>
    <w:rsid w:val="2EED7E23"/>
    <w:rsid w:val="2EEF6F5F"/>
    <w:rsid w:val="2EF137BE"/>
    <w:rsid w:val="2EF24349"/>
    <w:rsid w:val="2EF57793"/>
    <w:rsid w:val="2EFB5906"/>
    <w:rsid w:val="2EFD0C69"/>
    <w:rsid w:val="2F057E0A"/>
    <w:rsid w:val="2F0626D0"/>
    <w:rsid w:val="2F096E98"/>
    <w:rsid w:val="2F0C499B"/>
    <w:rsid w:val="2F0E3663"/>
    <w:rsid w:val="2F155E48"/>
    <w:rsid w:val="2F16257F"/>
    <w:rsid w:val="2F1A2EF7"/>
    <w:rsid w:val="2F1D532A"/>
    <w:rsid w:val="2F1D7EB9"/>
    <w:rsid w:val="2F203E61"/>
    <w:rsid w:val="2F294B50"/>
    <w:rsid w:val="2F2A38EC"/>
    <w:rsid w:val="2F2B5209"/>
    <w:rsid w:val="2F311B49"/>
    <w:rsid w:val="2F344A9E"/>
    <w:rsid w:val="2F3540F0"/>
    <w:rsid w:val="2F354B1E"/>
    <w:rsid w:val="2F37142C"/>
    <w:rsid w:val="2F411103"/>
    <w:rsid w:val="2F417826"/>
    <w:rsid w:val="2F42088E"/>
    <w:rsid w:val="2F4251F5"/>
    <w:rsid w:val="2F4365BE"/>
    <w:rsid w:val="2F460212"/>
    <w:rsid w:val="2F4C4A76"/>
    <w:rsid w:val="2F4E3CE2"/>
    <w:rsid w:val="2F4F080E"/>
    <w:rsid w:val="2F5033D1"/>
    <w:rsid w:val="2F507B88"/>
    <w:rsid w:val="2F5A2FBE"/>
    <w:rsid w:val="2F5F00F8"/>
    <w:rsid w:val="2F5F6AD8"/>
    <w:rsid w:val="2F636EDF"/>
    <w:rsid w:val="2F6A71F6"/>
    <w:rsid w:val="2F711180"/>
    <w:rsid w:val="2F727466"/>
    <w:rsid w:val="2F773609"/>
    <w:rsid w:val="2F7901CF"/>
    <w:rsid w:val="2F790EF5"/>
    <w:rsid w:val="2F7A4329"/>
    <w:rsid w:val="2F7C17D3"/>
    <w:rsid w:val="2F7E2BC9"/>
    <w:rsid w:val="2F7F7599"/>
    <w:rsid w:val="2F8066C8"/>
    <w:rsid w:val="2F845C69"/>
    <w:rsid w:val="2F884DDB"/>
    <w:rsid w:val="2F891009"/>
    <w:rsid w:val="2F89778E"/>
    <w:rsid w:val="2F8B1065"/>
    <w:rsid w:val="2F8C72F2"/>
    <w:rsid w:val="2F8F013C"/>
    <w:rsid w:val="2F8F581F"/>
    <w:rsid w:val="2F9004B8"/>
    <w:rsid w:val="2F9014D5"/>
    <w:rsid w:val="2F905D5C"/>
    <w:rsid w:val="2F9359EA"/>
    <w:rsid w:val="2F941F39"/>
    <w:rsid w:val="2F9536B7"/>
    <w:rsid w:val="2F962965"/>
    <w:rsid w:val="2F9E527A"/>
    <w:rsid w:val="2F9F09C1"/>
    <w:rsid w:val="2FA257E7"/>
    <w:rsid w:val="2FA904A0"/>
    <w:rsid w:val="2FAA1B6D"/>
    <w:rsid w:val="2FBB3C7B"/>
    <w:rsid w:val="2FBC46FB"/>
    <w:rsid w:val="2FC466EA"/>
    <w:rsid w:val="2FC66468"/>
    <w:rsid w:val="2FD065E6"/>
    <w:rsid w:val="2FD51BA6"/>
    <w:rsid w:val="2FD51DF0"/>
    <w:rsid w:val="2FD63E4B"/>
    <w:rsid w:val="2FD736D6"/>
    <w:rsid w:val="2FD8726C"/>
    <w:rsid w:val="2FD96870"/>
    <w:rsid w:val="2FE13B85"/>
    <w:rsid w:val="2FE578A6"/>
    <w:rsid w:val="2FE61A70"/>
    <w:rsid w:val="2FE70C36"/>
    <w:rsid w:val="2FE85756"/>
    <w:rsid w:val="2FED5A84"/>
    <w:rsid w:val="2FEF6FDB"/>
    <w:rsid w:val="2FF30618"/>
    <w:rsid w:val="2FF32C39"/>
    <w:rsid w:val="2FF727BF"/>
    <w:rsid w:val="2FF87E0D"/>
    <w:rsid w:val="2FF97533"/>
    <w:rsid w:val="2FFA14B1"/>
    <w:rsid w:val="2FFF482F"/>
    <w:rsid w:val="30006DE4"/>
    <w:rsid w:val="30011E84"/>
    <w:rsid w:val="30025089"/>
    <w:rsid w:val="300F0AFD"/>
    <w:rsid w:val="300F5C32"/>
    <w:rsid w:val="30111B87"/>
    <w:rsid w:val="301612E2"/>
    <w:rsid w:val="301E50A9"/>
    <w:rsid w:val="301E6B8C"/>
    <w:rsid w:val="301E7AD5"/>
    <w:rsid w:val="3022155B"/>
    <w:rsid w:val="30224065"/>
    <w:rsid w:val="302432C7"/>
    <w:rsid w:val="302713A1"/>
    <w:rsid w:val="30282521"/>
    <w:rsid w:val="302928D1"/>
    <w:rsid w:val="30293F5E"/>
    <w:rsid w:val="302D09F0"/>
    <w:rsid w:val="302E0D3D"/>
    <w:rsid w:val="302E3BC8"/>
    <w:rsid w:val="302F6F3B"/>
    <w:rsid w:val="30316A33"/>
    <w:rsid w:val="30350FB5"/>
    <w:rsid w:val="30397AB1"/>
    <w:rsid w:val="303E33DC"/>
    <w:rsid w:val="303F2AA4"/>
    <w:rsid w:val="304535F3"/>
    <w:rsid w:val="30462443"/>
    <w:rsid w:val="30462B50"/>
    <w:rsid w:val="30480112"/>
    <w:rsid w:val="304E5FE5"/>
    <w:rsid w:val="30512E5F"/>
    <w:rsid w:val="30521A16"/>
    <w:rsid w:val="305324DE"/>
    <w:rsid w:val="30537CB1"/>
    <w:rsid w:val="305571B2"/>
    <w:rsid w:val="30580BC9"/>
    <w:rsid w:val="306148DB"/>
    <w:rsid w:val="306A0FDB"/>
    <w:rsid w:val="306A2403"/>
    <w:rsid w:val="306D3E2A"/>
    <w:rsid w:val="306F05FD"/>
    <w:rsid w:val="30715C69"/>
    <w:rsid w:val="307232B1"/>
    <w:rsid w:val="3074202C"/>
    <w:rsid w:val="30743C4C"/>
    <w:rsid w:val="307C71C2"/>
    <w:rsid w:val="30804EDE"/>
    <w:rsid w:val="308158F4"/>
    <w:rsid w:val="3082594B"/>
    <w:rsid w:val="30826AEF"/>
    <w:rsid w:val="30864705"/>
    <w:rsid w:val="30865728"/>
    <w:rsid w:val="308E0602"/>
    <w:rsid w:val="309602AF"/>
    <w:rsid w:val="30974BC2"/>
    <w:rsid w:val="309C0C2D"/>
    <w:rsid w:val="309E3E34"/>
    <w:rsid w:val="309F63FE"/>
    <w:rsid w:val="309F7C6E"/>
    <w:rsid w:val="30A11BE6"/>
    <w:rsid w:val="30A53E94"/>
    <w:rsid w:val="30A85AEE"/>
    <w:rsid w:val="30A9283C"/>
    <w:rsid w:val="30AE1EE6"/>
    <w:rsid w:val="30B177C1"/>
    <w:rsid w:val="30B65B53"/>
    <w:rsid w:val="30BA73B4"/>
    <w:rsid w:val="30BD35A3"/>
    <w:rsid w:val="30BF7EB5"/>
    <w:rsid w:val="30C17467"/>
    <w:rsid w:val="30C3482B"/>
    <w:rsid w:val="30C50BCB"/>
    <w:rsid w:val="30C539F6"/>
    <w:rsid w:val="30CA67F6"/>
    <w:rsid w:val="30CD114C"/>
    <w:rsid w:val="30DA42DA"/>
    <w:rsid w:val="30DA56C8"/>
    <w:rsid w:val="30DC14B7"/>
    <w:rsid w:val="30DF4FE3"/>
    <w:rsid w:val="30E3508D"/>
    <w:rsid w:val="30E6752B"/>
    <w:rsid w:val="30E829BE"/>
    <w:rsid w:val="30E86D63"/>
    <w:rsid w:val="30E87069"/>
    <w:rsid w:val="30EA6CE6"/>
    <w:rsid w:val="30EC617E"/>
    <w:rsid w:val="30EF6668"/>
    <w:rsid w:val="30FC2EA7"/>
    <w:rsid w:val="310176ED"/>
    <w:rsid w:val="3104044F"/>
    <w:rsid w:val="310439F6"/>
    <w:rsid w:val="310869C3"/>
    <w:rsid w:val="310A2A4D"/>
    <w:rsid w:val="310B3C78"/>
    <w:rsid w:val="310C2E08"/>
    <w:rsid w:val="31134A52"/>
    <w:rsid w:val="3113539F"/>
    <w:rsid w:val="311476F3"/>
    <w:rsid w:val="31160F32"/>
    <w:rsid w:val="311864E0"/>
    <w:rsid w:val="311D5016"/>
    <w:rsid w:val="311E2ED7"/>
    <w:rsid w:val="31242C36"/>
    <w:rsid w:val="312578B1"/>
    <w:rsid w:val="312932FB"/>
    <w:rsid w:val="312A2293"/>
    <w:rsid w:val="312F0BED"/>
    <w:rsid w:val="313A14E3"/>
    <w:rsid w:val="314523C3"/>
    <w:rsid w:val="3146533D"/>
    <w:rsid w:val="314E2F55"/>
    <w:rsid w:val="314E611C"/>
    <w:rsid w:val="314E6436"/>
    <w:rsid w:val="315135DF"/>
    <w:rsid w:val="31536FF1"/>
    <w:rsid w:val="31543E00"/>
    <w:rsid w:val="315619EE"/>
    <w:rsid w:val="31583F91"/>
    <w:rsid w:val="315C449C"/>
    <w:rsid w:val="315E084F"/>
    <w:rsid w:val="315F0A34"/>
    <w:rsid w:val="31685E69"/>
    <w:rsid w:val="316923B3"/>
    <w:rsid w:val="316A42AE"/>
    <w:rsid w:val="31735A8F"/>
    <w:rsid w:val="31740CBB"/>
    <w:rsid w:val="31774175"/>
    <w:rsid w:val="31774E2E"/>
    <w:rsid w:val="318576CB"/>
    <w:rsid w:val="3189492E"/>
    <w:rsid w:val="318C7FD0"/>
    <w:rsid w:val="318D253F"/>
    <w:rsid w:val="318D3F3F"/>
    <w:rsid w:val="318F7E3E"/>
    <w:rsid w:val="319045D8"/>
    <w:rsid w:val="31970685"/>
    <w:rsid w:val="319B7382"/>
    <w:rsid w:val="319C7910"/>
    <w:rsid w:val="31A517DF"/>
    <w:rsid w:val="31AC5B67"/>
    <w:rsid w:val="31B1574F"/>
    <w:rsid w:val="31B3274E"/>
    <w:rsid w:val="31B5109F"/>
    <w:rsid w:val="31B67D24"/>
    <w:rsid w:val="31B739E8"/>
    <w:rsid w:val="31B82709"/>
    <w:rsid w:val="31B90A5F"/>
    <w:rsid w:val="31BA12A3"/>
    <w:rsid w:val="31BB5DF6"/>
    <w:rsid w:val="31BD1B4C"/>
    <w:rsid w:val="31BD593C"/>
    <w:rsid w:val="31BF108C"/>
    <w:rsid w:val="31C01661"/>
    <w:rsid w:val="31C06738"/>
    <w:rsid w:val="31C41DD6"/>
    <w:rsid w:val="31C46AFF"/>
    <w:rsid w:val="31C5457D"/>
    <w:rsid w:val="31C86BE8"/>
    <w:rsid w:val="31CF30C6"/>
    <w:rsid w:val="31D05482"/>
    <w:rsid w:val="31D72645"/>
    <w:rsid w:val="31DF3E2D"/>
    <w:rsid w:val="31E410E5"/>
    <w:rsid w:val="31E424D7"/>
    <w:rsid w:val="31E7179A"/>
    <w:rsid w:val="31E87549"/>
    <w:rsid w:val="31F430BD"/>
    <w:rsid w:val="31F81F4B"/>
    <w:rsid w:val="31FE70C8"/>
    <w:rsid w:val="320664EC"/>
    <w:rsid w:val="32137C58"/>
    <w:rsid w:val="3219053F"/>
    <w:rsid w:val="321A3369"/>
    <w:rsid w:val="321E1A06"/>
    <w:rsid w:val="321F219C"/>
    <w:rsid w:val="321F5DB4"/>
    <w:rsid w:val="322A6386"/>
    <w:rsid w:val="322C1BF4"/>
    <w:rsid w:val="322D5606"/>
    <w:rsid w:val="322F0B04"/>
    <w:rsid w:val="32300D3B"/>
    <w:rsid w:val="32314084"/>
    <w:rsid w:val="323418BF"/>
    <w:rsid w:val="32382329"/>
    <w:rsid w:val="323B2FC6"/>
    <w:rsid w:val="323C7385"/>
    <w:rsid w:val="32400B34"/>
    <w:rsid w:val="3243220C"/>
    <w:rsid w:val="3246264C"/>
    <w:rsid w:val="324633A0"/>
    <w:rsid w:val="324A72DE"/>
    <w:rsid w:val="324B460D"/>
    <w:rsid w:val="324C78B6"/>
    <w:rsid w:val="324D6050"/>
    <w:rsid w:val="324E134C"/>
    <w:rsid w:val="32540314"/>
    <w:rsid w:val="32544415"/>
    <w:rsid w:val="32566E08"/>
    <w:rsid w:val="32593AFC"/>
    <w:rsid w:val="325B1C8F"/>
    <w:rsid w:val="325C1EB3"/>
    <w:rsid w:val="32603183"/>
    <w:rsid w:val="32625BBD"/>
    <w:rsid w:val="32640DFF"/>
    <w:rsid w:val="32676C87"/>
    <w:rsid w:val="32677BA2"/>
    <w:rsid w:val="32691E49"/>
    <w:rsid w:val="3269545B"/>
    <w:rsid w:val="326B4920"/>
    <w:rsid w:val="326F0EFF"/>
    <w:rsid w:val="32725704"/>
    <w:rsid w:val="327D2CF6"/>
    <w:rsid w:val="327F07E8"/>
    <w:rsid w:val="328101CE"/>
    <w:rsid w:val="32831DE8"/>
    <w:rsid w:val="32844B07"/>
    <w:rsid w:val="32853613"/>
    <w:rsid w:val="3286288D"/>
    <w:rsid w:val="328C293E"/>
    <w:rsid w:val="328C2C31"/>
    <w:rsid w:val="329061CA"/>
    <w:rsid w:val="32914A13"/>
    <w:rsid w:val="329325AF"/>
    <w:rsid w:val="32975DDF"/>
    <w:rsid w:val="329A5416"/>
    <w:rsid w:val="329D54E9"/>
    <w:rsid w:val="329E6876"/>
    <w:rsid w:val="329E6B24"/>
    <w:rsid w:val="32A14A94"/>
    <w:rsid w:val="32A84450"/>
    <w:rsid w:val="32AF3825"/>
    <w:rsid w:val="32B97C43"/>
    <w:rsid w:val="32BD3AAF"/>
    <w:rsid w:val="32BE5DD5"/>
    <w:rsid w:val="32BE6F34"/>
    <w:rsid w:val="32C23CEB"/>
    <w:rsid w:val="32C31D5F"/>
    <w:rsid w:val="32CA1D1C"/>
    <w:rsid w:val="32CA1D9D"/>
    <w:rsid w:val="32CD03E4"/>
    <w:rsid w:val="32CE4D68"/>
    <w:rsid w:val="32D3413D"/>
    <w:rsid w:val="32DE661D"/>
    <w:rsid w:val="32E131D6"/>
    <w:rsid w:val="32EB4C48"/>
    <w:rsid w:val="32F21C54"/>
    <w:rsid w:val="32F34B5F"/>
    <w:rsid w:val="32F5039D"/>
    <w:rsid w:val="32F974AB"/>
    <w:rsid w:val="32FB28ED"/>
    <w:rsid w:val="32FD573C"/>
    <w:rsid w:val="32FD5B24"/>
    <w:rsid w:val="33081114"/>
    <w:rsid w:val="330D485E"/>
    <w:rsid w:val="330D663B"/>
    <w:rsid w:val="33113BE5"/>
    <w:rsid w:val="331A3C08"/>
    <w:rsid w:val="33212E35"/>
    <w:rsid w:val="33235C2D"/>
    <w:rsid w:val="33241D71"/>
    <w:rsid w:val="3328653B"/>
    <w:rsid w:val="332A5624"/>
    <w:rsid w:val="332B0A47"/>
    <w:rsid w:val="332B34B5"/>
    <w:rsid w:val="332D1E49"/>
    <w:rsid w:val="332F7489"/>
    <w:rsid w:val="333015F2"/>
    <w:rsid w:val="3337585B"/>
    <w:rsid w:val="333E0FE6"/>
    <w:rsid w:val="33403328"/>
    <w:rsid w:val="334A39FC"/>
    <w:rsid w:val="334B0A73"/>
    <w:rsid w:val="334B6320"/>
    <w:rsid w:val="334C0285"/>
    <w:rsid w:val="334D3D76"/>
    <w:rsid w:val="334F369F"/>
    <w:rsid w:val="33535AF6"/>
    <w:rsid w:val="3356116F"/>
    <w:rsid w:val="33567954"/>
    <w:rsid w:val="335C4648"/>
    <w:rsid w:val="335E3D2B"/>
    <w:rsid w:val="33606463"/>
    <w:rsid w:val="3360769E"/>
    <w:rsid w:val="33632ED2"/>
    <w:rsid w:val="3366330E"/>
    <w:rsid w:val="33666CB6"/>
    <w:rsid w:val="33675CB8"/>
    <w:rsid w:val="336B088C"/>
    <w:rsid w:val="336D487D"/>
    <w:rsid w:val="33706129"/>
    <w:rsid w:val="337313EC"/>
    <w:rsid w:val="33731585"/>
    <w:rsid w:val="337A3942"/>
    <w:rsid w:val="337D18E0"/>
    <w:rsid w:val="33801581"/>
    <w:rsid w:val="338061D7"/>
    <w:rsid w:val="33822D0E"/>
    <w:rsid w:val="33847E0A"/>
    <w:rsid w:val="3385117A"/>
    <w:rsid w:val="33856462"/>
    <w:rsid w:val="338C4FE2"/>
    <w:rsid w:val="338E2537"/>
    <w:rsid w:val="338F6111"/>
    <w:rsid w:val="33954F6A"/>
    <w:rsid w:val="339C645D"/>
    <w:rsid w:val="33A2105B"/>
    <w:rsid w:val="33A40F48"/>
    <w:rsid w:val="33A57BA0"/>
    <w:rsid w:val="33AB0E0F"/>
    <w:rsid w:val="33B22566"/>
    <w:rsid w:val="33B445E5"/>
    <w:rsid w:val="33B51024"/>
    <w:rsid w:val="33B81B66"/>
    <w:rsid w:val="33BC4564"/>
    <w:rsid w:val="33BD3376"/>
    <w:rsid w:val="33C40695"/>
    <w:rsid w:val="33C60934"/>
    <w:rsid w:val="33CC6B49"/>
    <w:rsid w:val="33CD285F"/>
    <w:rsid w:val="33D85D71"/>
    <w:rsid w:val="33D934D4"/>
    <w:rsid w:val="33DB4645"/>
    <w:rsid w:val="33DF4E64"/>
    <w:rsid w:val="33E20B27"/>
    <w:rsid w:val="33E35409"/>
    <w:rsid w:val="33E51F37"/>
    <w:rsid w:val="33E8594B"/>
    <w:rsid w:val="33E8757E"/>
    <w:rsid w:val="33F10CDA"/>
    <w:rsid w:val="33F10E2F"/>
    <w:rsid w:val="33F14E37"/>
    <w:rsid w:val="33FE2F6A"/>
    <w:rsid w:val="34002877"/>
    <w:rsid w:val="34036A7A"/>
    <w:rsid w:val="340515B8"/>
    <w:rsid w:val="34063A11"/>
    <w:rsid w:val="340A2223"/>
    <w:rsid w:val="340E07E5"/>
    <w:rsid w:val="34171E31"/>
    <w:rsid w:val="34235BF7"/>
    <w:rsid w:val="342437A2"/>
    <w:rsid w:val="34263066"/>
    <w:rsid w:val="342A6078"/>
    <w:rsid w:val="342D6F0E"/>
    <w:rsid w:val="3430285E"/>
    <w:rsid w:val="34331974"/>
    <w:rsid w:val="34366A76"/>
    <w:rsid w:val="34391D20"/>
    <w:rsid w:val="343B170C"/>
    <w:rsid w:val="343E6A7F"/>
    <w:rsid w:val="34404DD9"/>
    <w:rsid w:val="344352D5"/>
    <w:rsid w:val="34446A21"/>
    <w:rsid w:val="34460254"/>
    <w:rsid w:val="344712FE"/>
    <w:rsid w:val="34492CED"/>
    <w:rsid w:val="34493679"/>
    <w:rsid w:val="344B2FBF"/>
    <w:rsid w:val="344E5F7B"/>
    <w:rsid w:val="344E6A00"/>
    <w:rsid w:val="34534AFA"/>
    <w:rsid w:val="345764B7"/>
    <w:rsid w:val="3459147A"/>
    <w:rsid w:val="34605B62"/>
    <w:rsid w:val="34610DCB"/>
    <w:rsid w:val="34615884"/>
    <w:rsid w:val="34641FF7"/>
    <w:rsid w:val="34654387"/>
    <w:rsid w:val="34664F5A"/>
    <w:rsid w:val="346668EF"/>
    <w:rsid w:val="34673C83"/>
    <w:rsid w:val="346915A1"/>
    <w:rsid w:val="34694598"/>
    <w:rsid w:val="346F7770"/>
    <w:rsid w:val="34733CE1"/>
    <w:rsid w:val="347421F4"/>
    <w:rsid w:val="347922A6"/>
    <w:rsid w:val="34795197"/>
    <w:rsid w:val="347D7822"/>
    <w:rsid w:val="347F4797"/>
    <w:rsid w:val="347F4D5F"/>
    <w:rsid w:val="34806538"/>
    <w:rsid w:val="34817A51"/>
    <w:rsid w:val="34826F47"/>
    <w:rsid w:val="34883640"/>
    <w:rsid w:val="3489413C"/>
    <w:rsid w:val="348A5DD9"/>
    <w:rsid w:val="348B72AC"/>
    <w:rsid w:val="3491213C"/>
    <w:rsid w:val="34934228"/>
    <w:rsid w:val="3496218A"/>
    <w:rsid w:val="34973941"/>
    <w:rsid w:val="349744B4"/>
    <w:rsid w:val="34976EAF"/>
    <w:rsid w:val="349F53FF"/>
    <w:rsid w:val="34A11652"/>
    <w:rsid w:val="34A22B81"/>
    <w:rsid w:val="34A91289"/>
    <w:rsid w:val="34A973BB"/>
    <w:rsid w:val="34AF4CEE"/>
    <w:rsid w:val="34B34B0B"/>
    <w:rsid w:val="34B47C83"/>
    <w:rsid w:val="34B72933"/>
    <w:rsid w:val="34B8734E"/>
    <w:rsid w:val="34BD44AD"/>
    <w:rsid w:val="34C027B3"/>
    <w:rsid w:val="34C16FD0"/>
    <w:rsid w:val="34C714A4"/>
    <w:rsid w:val="34D12665"/>
    <w:rsid w:val="34D2603E"/>
    <w:rsid w:val="34D62E2D"/>
    <w:rsid w:val="34D76140"/>
    <w:rsid w:val="34D948B7"/>
    <w:rsid w:val="34DA6CBE"/>
    <w:rsid w:val="34E0094C"/>
    <w:rsid w:val="34E2425D"/>
    <w:rsid w:val="34E52EB1"/>
    <w:rsid w:val="34E61A97"/>
    <w:rsid w:val="34EE6845"/>
    <w:rsid w:val="34EF1224"/>
    <w:rsid w:val="34F112D0"/>
    <w:rsid w:val="34F113C8"/>
    <w:rsid w:val="34F20F5D"/>
    <w:rsid w:val="34F875AB"/>
    <w:rsid w:val="34F94939"/>
    <w:rsid w:val="34FA5E7B"/>
    <w:rsid w:val="34FB6016"/>
    <w:rsid w:val="34FC24EF"/>
    <w:rsid w:val="34FD3439"/>
    <w:rsid w:val="3500140C"/>
    <w:rsid w:val="350313FC"/>
    <w:rsid w:val="3503557D"/>
    <w:rsid w:val="350C3BAF"/>
    <w:rsid w:val="350E0FC1"/>
    <w:rsid w:val="350F1C8E"/>
    <w:rsid w:val="351A1F11"/>
    <w:rsid w:val="351B26F4"/>
    <w:rsid w:val="351E5D8C"/>
    <w:rsid w:val="351F04E7"/>
    <w:rsid w:val="351F1D61"/>
    <w:rsid w:val="351F5427"/>
    <w:rsid w:val="35212DFC"/>
    <w:rsid w:val="35213F7B"/>
    <w:rsid w:val="352233AC"/>
    <w:rsid w:val="352923FB"/>
    <w:rsid w:val="35292526"/>
    <w:rsid w:val="35297E3B"/>
    <w:rsid w:val="352A05E9"/>
    <w:rsid w:val="352D6558"/>
    <w:rsid w:val="352D6C89"/>
    <w:rsid w:val="352E7009"/>
    <w:rsid w:val="35326043"/>
    <w:rsid w:val="353C0992"/>
    <w:rsid w:val="35437F71"/>
    <w:rsid w:val="35445588"/>
    <w:rsid w:val="354932B6"/>
    <w:rsid w:val="354A1C91"/>
    <w:rsid w:val="354A4405"/>
    <w:rsid w:val="35512F2D"/>
    <w:rsid w:val="355171E0"/>
    <w:rsid w:val="35536182"/>
    <w:rsid w:val="355437D7"/>
    <w:rsid w:val="3555154A"/>
    <w:rsid w:val="35584888"/>
    <w:rsid w:val="35590AC4"/>
    <w:rsid w:val="355A6281"/>
    <w:rsid w:val="355B67C7"/>
    <w:rsid w:val="355D76E2"/>
    <w:rsid w:val="356934D7"/>
    <w:rsid w:val="356E10A3"/>
    <w:rsid w:val="35745529"/>
    <w:rsid w:val="35750EBC"/>
    <w:rsid w:val="35765636"/>
    <w:rsid w:val="35781A51"/>
    <w:rsid w:val="357C39FA"/>
    <w:rsid w:val="357E140B"/>
    <w:rsid w:val="357E42CA"/>
    <w:rsid w:val="35802844"/>
    <w:rsid w:val="35803681"/>
    <w:rsid w:val="35853BCC"/>
    <w:rsid w:val="35862E05"/>
    <w:rsid w:val="358C5FA8"/>
    <w:rsid w:val="358E1AA0"/>
    <w:rsid w:val="358F089C"/>
    <w:rsid w:val="358F364E"/>
    <w:rsid w:val="358F7F4D"/>
    <w:rsid w:val="3591055B"/>
    <w:rsid w:val="35927BA1"/>
    <w:rsid w:val="359C206F"/>
    <w:rsid w:val="359D4BD1"/>
    <w:rsid w:val="35A113B8"/>
    <w:rsid w:val="35A11AA4"/>
    <w:rsid w:val="35A1440C"/>
    <w:rsid w:val="35A32661"/>
    <w:rsid w:val="35A45083"/>
    <w:rsid w:val="35AF6B87"/>
    <w:rsid w:val="35B47F39"/>
    <w:rsid w:val="35B839A4"/>
    <w:rsid w:val="35B873E3"/>
    <w:rsid w:val="35BA20C2"/>
    <w:rsid w:val="35C15DF1"/>
    <w:rsid w:val="35C24ADE"/>
    <w:rsid w:val="35CA0161"/>
    <w:rsid w:val="35CC508B"/>
    <w:rsid w:val="35CD0B7D"/>
    <w:rsid w:val="35CD3A71"/>
    <w:rsid w:val="35D82B15"/>
    <w:rsid w:val="35D8768E"/>
    <w:rsid w:val="35DF42A1"/>
    <w:rsid w:val="35E11EAB"/>
    <w:rsid w:val="35E433A6"/>
    <w:rsid w:val="35EB0D88"/>
    <w:rsid w:val="35F004C0"/>
    <w:rsid w:val="35F00F94"/>
    <w:rsid w:val="35F23B77"/>
    <w:rsid w:val="35F91D98"/>
    <w:rsid w:val="35FB2EC1"/>
    <w:rsid w:val="35FD574A"/>
    <w:rsid w:val="35FF6CE0"/>
    <w:rsid w:val="35FF767C"/>
    <w:rsid w:val="36032DC7"/>
    <w:rsid w:val="360379DA"/>
    <w:rsid w:val="36074A7F"/>
    <w:rsid w:val="36076AF3"/>
    <w:rsid w:val="360816EA"/>
    <w:rsid w:val="360845F7"/>
    <w:rsid w:val="3608699A"/>
    <w:rsid w:val="360905BE"/>
    <w:rsid w:val="360A48BD"/>
    <w:rsid w:val="360B33D6"/>
    <w:rsid w:val="360D02FA"/>
    <w:rsid w:val="360F5623"/>
    <w:rsid w:val="36164C97"/>
    <w:rsid w:val="361677D5"/>
    <w:rsid w:val="36173785"/>
    <w:rsid w:val="361C5AB1"/>
    <w:rsid w:val="361C78C6"/>
    <w:rsid w:val="36207033"/>
    <w:rsid w:val="36225312"/>
    <w:rsid w:val="3623158B"/>
    <w:rsid w:val="36233D5F"/>
    <w:rsid w:val="3625134B"/>
    <w:rsid w:val="362B2F16"/>
    <w:rsid w:val="362B6790"/>
    <w:rsid w:val="362C65EE"/>
    <w:rsid w:val="3637003D"/>
    <w:rsid w:val="363C47B1"/>
    <w:rsid w:val="36436D07"/>
    <w:rsid w:val="36450813"/>
    <w:rsid w:val="364648C5"/>
    <w:rsid w:val="3647306E"/>
    <w:rsid w:val="364B2618"/>
    <w:rsid w:val="364B6971"/>
    <w:rsid w:val="364B7318"/>
    <w:rsid w:val="36502281"/>
    <w:rsid w:val="36514781"/>
    <w:rsid w:val="36531497"/>
    <w:rsid w:val="365A4681"/>
    <w:rsid w:val="365A46ED"/>
    <w:rsid w:val="365A7811"/>
    <w:rsid w:val="365D40F5"/>
    <w:rsid w:val="36641F37"/>
    <w:rsid w:val="36682422"/>
    <w:rsid w:val="36685FE4"/>
    <w:rsid w:val="366C218C"/>
    <w:rsid w:val="366C6436"/>
    <w:rsid w:val="36746488"/>
    <w:rsid w:val="3675275F"/>
    <w:rsid w:val="367F32AB"/>
    <w:rsid w:val="36803A93"/>
    <w:rsid w:val="368571D9"/>
    <w:rsid w:val="36891406"/>
    <w:rsid w:val="368A320C"/>
    <w:rsid w:val="368A532C"/>
    <w:rsid w:val="368D2D04"/>
    <w:rsid w:val="368D67BB"/>
    <w:rsid w:val="36923549"/>
    <w:rsid w:val="3692691D"/>
    <w:rsid w:val="36934EE5"/>
    <w:rsid w:val="36963201"/>
    <w:rsid w:val="3697181C"/>
    <w:rsid w:val="36974F0F"/>
    <w:rsid w:val="369D158F"/>
    <w:rsid w:val="369E0E22"/>
    <w:rsid w:val="36A31005"/>
    <w:rsid w:val="36A45718"/>
    <w:rsid w:val="36A52792"/>
    <w:rsid w:val="36A821B2"/>
    <w:rsid w:val="36AB7A7F"/>
    <w:rsid w:val="36AC661A"/>
    <w:rsid w:val="36AE45B1"/>
    <w:rsid w:val="36B75FBF"/>
    <w:rsid w:val="36BA2608"/>
    <w:rsid w:val="36BB34D7"/>
    <w:rsid w:val="36BB47A0"/>
    <w:rsid w:val="36BC410E"/>
    <w:rsid w:val="36BD0C45"/>
    <w:rsid w:val="36BD1498"/>
    <w:rsid w:val="36C066F3"/>
    <w:rsid w:val="36C43BDE"/>
    <w:rsid w:val="36C5657D"/>
    <w:rsid w:val="36C90151"/>
    <w:rsid w:val="36C91D61"/>
    <w:rsid w:val="36CA06D8"/>
    <w:rsid w:val="36CE6568"/>
    <w:rsid w:val="36D35578"/>
    <w:rsid w:val="36D35C14"/>
    <w:rsid w:val="36D81B42"/>
    <w:rsid w:val="36DE127F"/>
    <w:rsid w:val="36E108CE"/>
    <w:rsid w:val="36E14155"/>
    <w:rsid w:val="36EB16EB"/>
    <w:rsid w:val="36EE7657"/>
    <w:rsid w:val="36F240F8"/>
    <w:rsid w:val="36F86AAD"/>
    <w:rsid w:val="36FB0BEC"/>
    <w:rsid w:val="36FB5667"/>
    <w:rsid w:val="37005E5A"/>
    <w:rsid w:val="370175F9"/>
    <w:rsid w:val="3702130E"/>
    <w:rsid w:val="37042DF0"/>
    <w:rsid w:val="370753C8"/>
    <w:rsid w:val="370C68E7"/>
    <w:rsid w:val="370C7AC3"/>
    <w:rsid w:val="370E1CD9"/>
    <w:rsid w:val="370F47F0"/>
    <w:rsid w:val="371561A9"/>
    <w:rsid w:val="37197A30"/>
    <w:rsid w:val="371C2021"/>
    <w:rsid w:val="372130E2"/>
    <w:rsid w:val="3722001E"/>
    <w:rsid w:val="37233032"/>
    <w:rsid w:val="372470FD"/>
    <w:rsid w:val="37266B74"/>
    <w:rsid w:val="3727756B"/>
    <w:rsid w:val="372D5B3C"/>
    <w:rsid w:val="372D5CF9"/>
    <w:rsid w:val="372D7D97"/>
    <w:rsid w:val="372E52CA"/>
    <w:rsid w:val="373356BF"/>
    <w:rsid w:val="37447426"/>
    <w:rsid w:val="3747333B"/>
    <w:rsid w:val="374820EA"/>
    <w:rsid w:val="374C3E05"/>
    <w:rsid w:val="374E7DB0"/>
    <w:rsid w:val="374F001C"/>
    <w:rsid w:val="37586763"/>
    <w:rsid w:val="375E3931"/>
    <w:rsid w:val="3762175D"/>
    <w:rsid w:val="3765621E"/>
    <w:rsid w:val="37692117"/>
    <w:rsid w:val="3769539C"/>
    <w:rsid w:val="376A3599"/>
    <w:rsid w:val="376D69D4"/>
    <w:rsid w:val="376F73D0"/>
    <w:rsid w:val="37714504"/>
    <w:rsid w:val="377C5EAD"/>
    <w:rsid w:val="377C7D93"/>
    <w:rsid w:val="37801FAE"/>
    <w:rsid w:val="37816FF7"/>
    <w:rsid w:val="37842FED"/>
    <w:rsid w:val="37856069"/>
    <w:rsid w:val="3785657E"/>
    <w:rsid w:val="378611F7"/>
    <w:rsid w:val="37896E05"/>
    <w:rsid w:val="378A1A7E"/>
    <w:rsid w:val="378D41F8"/>
    <w:rsid w:val="3791550F"/>
    <w:rsid w:val="3793290E"/>
    <w:rsid w:val="379674B9"/>
    <w:rsid w:val="37972EC4"/>
    <w:rsid w:val="379A7E84"/>
    <w:rsid w:val="379D7888"/>
    <w:rsid w:val="37A410D7"/>
    <w:rsid w:val="37A823EC"/>
    <w:rsid w:val="37AB5C9E"/>
    <w:rsid w:val="37AC29CE"/>
    <w:rsid w:val="37AD124D"/>
    <w:rsid w:val="37AF0ECD"/>
    <w:rsid w:val="37AF4459"/>
    <w:rsid w:val="37B029B6"/>
    <w:rsid w:val="37B564F7"/>
    <w:rsid w:val="37B728EB"/>
    <w:rsid w:val="37B8764B"/>
    <w:rsid w:val="37B87960"/>
    <w:rsid w:val="37BB3108"/>
    <w:rsid w:val="37CD7C53"/>
    <w:rsid w:val="37D20660"/>
    <w:rsid w:val="37D6247A"/>
    <w:rsid w:val="37D76DB6"/>
    <w:rsid w:val="37D95B86"/>
    <w:rsid w:val="37DA0DF2"/>
    <w:rsid w:val="37DA3E7E"/>
    <w:rsid w:val="37E00298"/>
    <w:rsid w:val="37E013A3"/>
    <w:rsid w:val="37E205C1"/>
    <w:rsid w:val="37E31FAE"/>
    <w:rsid w:val="37F61D56"/>
    <w:rsid w:val="37FB48DB"/>
    <w:rsid w:val="37FC69BE"/>
    <w:rsid w:val="37FD24E4"/>
    <w:rsid w:val="37FE2B55"/>
    <w:rsid w:val="37FE7561"/>
    <w:rsid w:val="37FF24A2"/>
    <w:rsid w:val="38000C2E"/>
    <w:rsid w:val="380300C1"/>
    <w:rsid w:val="380A6389"/>
    <w:rsid w:val="380A645B"/>
    <w:rsid w:val="380C6CBC"/>
    <w:rsid w:val="380E492F"/>
    <w:rsid w:val="38125D1C"/>
    <w:rsid w:val="38157AF8"/>
    <w:rsid w:val="3817328A"/>
    <w:rsid w:val="3818316A"/>
    <w:rsid w:val="381B42BA"/>
    <w:rsid w:val="381C1BCB"/>
    <w:rsid w:val="381D1908"/>
    <w:rsid w:val="381F3018"/>
    <w:rsid w:val="38214411"/>
    <w:rsid w:val="38217265"/>
    <w:rsid w:val="38236F6A"/>
    <w:rsid w:val="38273FE6"/>
    <w:rsid w:val="3828156E"/>
    <w:rsid w:val="38297435"/>
    <w:rsid w:val="382A738C"/>
    <w:rsid w:val="382C162D"/>
    <w:rsid w:val="382F38B3"/>
    <w:rsid w:val="38324604"/>
    <w:rsid w:val="38337A84"/>
    <w:rsid w:val="38341B3A"/>
    <w:rsid w:val="383944D1"/>
    <w:rsid w:val="383E0FCD"/>
    <w:rsid w:val="384860D6"/>
    <w:rsid w:val="38490A18"/>
    <w:rsid w:val="384B6F8E"/>
    <w:rsid w:val="384C4489"/>
    <w:rsid w:val="3851701B"/>
    <w:rsid w:val="385262DD"/>
    <w:rsid w:val="38545E1B"/>
    <w:rsid w:val="38573C84"/>
    <w:rsid w:val="38574380"/>
    <w:rsid w:val="38590C24"/>
    <w:rsid w:val="385A3434"/>
    <w:rsid w:val="385E377E"/>
    <w:rsid w:val="386005C8"/>
    <w:rsid w:val="38660092"/>
    <w:rsid w:val="38692767"/>
    <w:rsid w:val="3869310D"/>
    <w:rsid w:val="386B5C7A"/>
    <w:rsid w:val="38725930"/>
    <w:rsid w:val="38753909"/>
    <w:rsid w:val="38755775"/>
    <w:rsid w:val="38790160"/>
    <w:rsid w:val="387F0673"/>
    <w:rsid w:val="388455C3"/>
    <w:rsid w:val="3889619F"/>
    <w:rsid w:val="388D0311"/>
    <w:rsid w:val="388D53ED"/>
    <w:rsid w:val="388F6ABC"/>
    <w:rsid w:val="3892185A"/>
    <w:rsid w:val="389860DC"/>
    <w:rsid w:val="389A3EEE"/>
    <w:rsid w:val="389C0DC9"/>
    <w:rsid w:val="38A0712C"/>
    <w:rsid w:val="38A10238"/>
    <w:rsid w:val="38A121F6"/>
    <w:rsid w:val="38A15717"/>
    <w:rsid w:val="38A328E3"/>
    <w:rsid w:val="38A640C7"/>
    <w:rsid w:val="38A763F8"/>
    <w:rsid w:val="38A96351"/>
    <w:rsid w:val="38AC0E73"/>
    <w:rsid w:val="38B16CBE"/>
    <w:rsid w:val="38B25ACB"/>
    <w:rsid w:val="38B302F9"/>
    <w:rsid w:val="38B47F44"/>
    <w:rsid w:val="38B6401E"/>
    <w:rsid w:val="38BB6D16"/>
    <w:rsid w:val="38BC2BBC"/>
    <w:rsid w:val="38BE3C44"/>
    <w:rsid w:val="38BF34CB"/>
    <w:rsid w:val="38C10ACD"/>
    <w:rsid w:val="38C40715"/>
    <w:rsid w:val="38C73AAE"/>
    <w:rsid w:val="38CC6F5D"/>
    <w:rsid w:val="38D82FAF"/>
    <w:rsid w:val="38D847BE"/>
    <w:rsid w:val="38DE6D63"/>
    <w:rsid w:val="38EC25F5"/>
    <w:rsid w:val="38EC6DCE"/>
    <w:rsid w:val="38F029B4"/>
    <w:rsid w:val="38F04D1A"/>
    <w:rsid w:val="38F0579A"/>
    <w:rsid w:val="38F12CD3"/>
    <w:rsid w:val="38F6407B"/>
    <w:rsid w:val="38F94775"/>
    <w:rsid w:val="38FE3C5E"/>
    <w:rsid w:val="39012ED0"/>
    <w:rsid w:val="39041652"/>
    <w:rsid w:val="39067C50"/>
    <w:rsid w:val="39093A18"/>
    <w:rsid w:val="390C6F31"/>
    <w:rsid w:val="390D114B"/>
    <w:rsid w:val="39125B60"/>
    <w:rsid w:val="39180AC0"/>
    <w:rsid w:val="391F3E24"/>
    <w:rsid w:val="3920642E"/>
    <w:rsid w:val="3923101C"/>
    <w:rsid w:val="392712EB"/>
    <w:rsid w:val="392971ED"/>
    <w:rsid w:val="392A12A6"/>
    <w:rsid w:val="392D45A0"/>
    <w:rsid w:val="392F78C6"/>
    <w:rsid w:val="39325651"/>
    <w:rsid w:val="39326FD0"/>
    <w:rsid w:val="39384A8D"/>
    <w:rsid w:val="393860E8"/>
    <w:rsid w:val="393C61B8"/>
    <w:rsid w:val="393E001B"/>
    <w:rsid w:val="393E7B25"/>
    <w:rsid w:val="39424427"/>
    <w:rsid w:val="39452C2F"/>
    <w:rsid w:val="39473865"/>
    <w:rsid w:val="394A7600"/>
    <w:rsid w:val="394F4161"/>
    <w:rsid w:val="39572239"/>
    <w:rsid w:val="395967AC"/>
    <w:rsid w:val="395F383F"/>
    <w:rsid w:val="396062F3"/>
    <w:rsid w:val="396205B2"/>
    <w:rsid w:val="3962336E"/>
    <w:rsid w:val="396350EE"/>
    <w:rsid w:val="396F3E3E"/>
    <w:rsid w:val="39705594"/>
    <w:rsid w:val="39712B92"/>
    <w:rsid w:val="39763BD3"/>
    <w:rsid w:val="397A72CB"/>
    <w:rsid w:val="39814759"/>
    <w:rsid w:val="398273F8"/>
    <w:rsid w:val="39862179"/>
    <w:rsid w:val="39884DC9"/>
    <w:rsid w:val="398B2F5F"/>
    <w:rsid w:val="398C2DEC"/>
    <w:rsid w:val="399D7C4E"/>
    <w:rsid w:val="399F60D3"/>
    <w:rsid w:val="39A134B2"/>
    <w:rsid w:val="39A13547"/>
    <w:rsid w:val="39A576DA"/>
    <w:rsid w:val="39A60988"/>
    <w:rsid w:val="39A60BC7"/>
    <w:rsid w:val="39A753B0"/>
    <w:rsid w:val="39AE0CC1"/>
    <w:rsid w:val="39AE49DC"/>
    <w:rsid w:val="39B15710"/>
    <w:rsid w:val="39B4090D"/>
    <w:rsid w:val="39B53730"/>
    <w:rsid w:val="39B77516"/>
    <w:rsid w:val="39BF29DC"/>
    <w:rsid w:val="39C00561"/>
    <w:rsid w:val="39C40430"/>
    <w:rsid w:val="39C53464"/>
    <w:rsid w:val="39C67BD9"/>
    <w:rsid w:val="39CB2F3E"/>
    <w:rsid w:val="39D145ED"/>
    <w:rsid w:val="39D35B43"/>
    <w:rsid w:val="39D41BC9"/>
    <w:rsid w:val="39D73E72"/>
    <w:rsid w:val="39D80F44"/>
    <w:rsid w:val="39DA32D6"/>
    <w:rsid w:val="39DD5208"/>
    <w:rsid w:val="39E25744"/>
    <w:rsid w:val="39E36625"/>
    <w:rsid w:val="39E656B6"/>
    <w:rsid w:val="39EA3C15"/>
    <w:rsid w:val="39EB779C"/>
    <w:rsid w:val="39EB7D3F"/>
    <w:rsid w:val="39EF3F87"/>
    <w:rsid w:val="39EF5D3B"/>
    <w:rsid w:val="39EF74DD"/>
    <w:rsid w:val="39F631C3"/>
    <w:rsid w:val="3A073EA9"/>
    <w:rsid w:val="3A0C2D2C"/>
    <w:rsid w:val="3A104DA2"/>
    <w:rsid w:val="3A132835"/>
    <w:rsid w:val="3A182D05"/>
    <w:rsid w:val="3A1D19F7"/>
    <w:rsid w:val="3A1E27F9"/>
    <w:rsid w:val="3A1F3D97"/>
    <w:rsid w:val="3A1F6158"/>
    <w:rsid w:val="3A222A9E"/>
    <w:rsid w:val="3A276290"/>
    <w:rsid w:val="3A2C4A7C"/>
    <w:rsid w:val="3A2F58F7"/>
    <w:rsid w:val="3A304262"/>
    <w:rsid w:val="3A310BF4"/>
    <w:rsid w:val="3A341374"/>
    <w:rsid w:val="3A34676C"/>
    <w:rsid w:val="3A3C4DBF"/>
    <w:rsid w:val="3A3F27EC"/>
    <w:rsid w:val="3A4058A3"/>
    <w:rsid w:val="3A443775"/>
    <w:rsid w:val="3A470422"/>
    <w:rsid w:val="3A4D1C5A"/>
    <w:rsid w:val="3A4E0F03"/>
    <w:rsid w:val="3A501151"/>
    <w:rsid w:val="3A5508D1"/>
    <w:rsid w:val="3A571A4E"/>
    <w:rsid w:val="3A5961CD"/>
    <w:rsid w:val="3A597C89"/>
    <w:rsid w:val="3A5D0FCA"/>
    <w:rsid w:val="3A605CF4"/>
    <w:rsid w:val="3A672E81"/>
    <w:rsid w:val="3A685D74"/>
    <w:rsid w:val="3A690408"/>
    <w:rsid w:val="3A6905F1"/>
    <w:rsid w:val="3A6A2140"/>
    <w:rsid w:val="3A6D7E95"/>
    <w:rsid w:val="3A7200BC"/>
    <w:rsid w:val="3A7208CF"/>
    <w:rsid w:val="3A740426"/>
    <w:rsid w:val="3A744791"/>
    <w:rsid w:val="3A775E68"/>
    <w:rsid w:val="3A7872D5"/>
    <w:rsid w:val="3A7F6037"/>
    <w:rsid w:val="3A822EDC"/>
    <w:rsid w:val="3A865C1C"/>
    <w:rsid w:val="3A872856"/>
    <w:rsid w:val="3A8818A0"/>
    <w:rsid w:val="3A8A72AB"/>
    <w:rsid w:val="3A8E3D58"/>
    <w:rsid w:val="3A8F21C9"/>
    <w:rsid w:val="3A8F6E41"/>
    <w:rsid w:val="3A913CC6"/>
    <w:rsid w:val="3A9B5EAF"/>
    <w:rsid w:val="3A9D743A"/>
    <w:rsid w:val="3A9E4722"/>
    <w:rsid w:val="3AA40EE4"/>
    <w:rsid w:val="3AA421E1"/>
    <w:rsid w:val="3AA70803"/>
    <w:rsid w:val="3AA827D1"/>
    <w:rsid w:val="3AAC4F7E"/>
    <w:rsid w:val="3AAE1B1A"/>
    <w:rsid w:val="3AAE4248"/>
    <w:rsid w:val="3AB16D39"/>
    <w:rsid w:val="3AB27528"/>
    <w:rsid w:val="3AB36BCC"/>
    <w:rsid w:val="3AB53AE0"/>
    <w:rsid w:val="3AB7234C"/>
    <w:rsid w:val="3AC11AA2"/>
    <w:rsid w:val="3AC2173A"/>
    <w:rsid w:val="3AC9144F"/>
    <w:rsid w:val="3AC955A5"/>
    <w:rsid w:val="3ACD7131"/>
    <w:rsid w:val="3AD06B66"/>
    <w:rsid w:val="3AD72B26"/>
    <w:rsid w:val="3ADD3F56"/>
    <w:rsid w:val="3ADE073A"/>
    <w:rsid w:val="3ADF50AA"/>
    <w:rsid w:val="3AE6558E"/>
    <w:rsid w:val="3AEA093F"/>
    <w:rsid w:val="3AED6C94"/>
    <w:rsid w:val="3AEE3C9B"/>
    <w:rsid w:val="3AEE5702"/>
    <w:rsid w:val="3AEF05F3"/>
    <w:rsid w:val="3AEF76E2"/>
    <w:rsid w:val="3AF65975"/>
    <w:rsid w:val="3AF8335B"/>
    <w:rsid w:val="3AFA0D26"/>
    <w:rsid w:val="3B002973"/>
    <w:rsid w:val="3B010267"/>
    <w:rsid w:val="3B01036E"/>
    <w:rsid w:val="3B0A47A3"/>
    <w:rsid w:val="3B0D5043"/>
    <w:rsid w:val="3B0F27E8"/>
    <w:rsid w:val="3B1043E4"/>
    <w:rsid w:val="3B106BD1"/>
    <w:rsid w:val="3B191056"/>
    <w:rsid w:val="3B1A6DA1"/>
    <w:rsid w:val="3B2012E0"/>
    <w:rsid w:val="3B215B3A"/>
    <w:rsid w:val="3B233BAA"/>
    <w:rsid w:val="3B271C40"/>
    <w:rsid w:val="3B29757C"/>
    <w:rsid w:val="3B2B1243"/>
    <w:rsid w:val="3B2F1D4B"/>
    <w:rsid w:val="3B324DEB"/>
    <w:rsid w:val="3B366B6D"/>
    <w:rsid w:val="3B3763D1"/>
    <w:rsid w:val="3B3B61A0"/>
    <w:rsid w:val="3B3F09EF"/>
    <w:rsid w:val="3B3F65DF"/>
    <w:rsid w:val="3B406FC7"/>
    <w:rsid w:val="3B420BFF"/>
    <w:rsid w:val="3B432678"/>
    <w:rsid w:val="3B441A88"/>
    <w:rsid w:val="3B454921"/>
    <w:rsid w:val="3B455B80"/>
    <w:rsid w:val="3B4661D3"/>
    <w:rsid w:val="3B4740CC"/>
    <w:rsid w:val="3B48669C"/>
    <w:rsid w:val="3B4C2E25"/>
    <w:rsid w:val="3B4F11D6"/>
    <w:rsid w:val="3B533210"/>
    <w:rsid w:val="3B58267F"/>
    <w:rsid w:val="3B585A22"/>
    <w:rsid w:val="3B5A0290"/>
    <w:rsid w:val="3B5C2A6C"/>
    <w:rsid w:val="3B6301A4"/>
    <w:rsid w:val="3B63431D"/>
    <w:rsid w:val="3B6A18F6"/>
    <w:rsid w:val="3B7139F1"/>
    <w:rsid w:val="3B720A08"/>
    <w:rsid w:val="3B7531D8"/>
    <w:rsid w:val="3B754DD3"/>
    <w:rsid w:val="3B784EBC"/>
    <w:rsid w:val="3B796FDB"/>
    <w:rsid w:val="3B7B50BC"/>
    <w:rsid w:val="3B7C218A"/>
    <w:rsid w:val="3B7C3EA4"/>
    <w:rsid w:val="3B7C70E0"/>
    <w:rsid w:val="3B804FE3"/>
    <w:rsid w:val="3B843EE6"/>
    <w:rsid w:val="3B851774"/>
    <w:rsid w:val="3B86562E"/>
    <w:rsid w:val="3B88595B"/>
    <w:rsid w:val="3B8920DF"/>
    <w:rsid w:val="3B89336F"/>
    <w:rsid w:val="3B955C12"/>
    <w:rsid w:val="3B9772BB"/>
    <w:rsid w:val="3B980B60"/>
    <w:rsid w:val="3B9A174E"/>
    <w:rsid w:val="3B9D0CC4"/>
    <w:rsid w:val="3B9E1B5E"/>
    <w:rsid w:val="3BA073F1"/>
    <w:rsid w:val="3BA32810"/>
    <w:rsid w:val="3BA7686E"/>
    <w:rsid w:val="3BA90A1D"/>
    <w:rsid w:val="3BA94F5B"/>
    <w:rsid w:val="3BAB4284"/>
    <w:rsid w:val="3BAE0593"/>
    <w:rsid w:val="3BAE0E14"/>
    <w:rsid w:val="3BAE26F1"/>
    <w:rsid w:val="3BB24002"/>
    <w:rsid w:val="3BB63135"/>
    <w:rsid w:val="3BB812F2"/>
    <w:rsid w:val="3BBB6328"/>
    <w:rsid w:val="3BBD091F"/>
    <w:rsid w:val="3BBD1AB0"/>
    <w:rsid w:val="3BBD3186"/>
    <w:rsid w:val="3BC401EA"/>
    <w:rsid w:val="3BC52EED"/>
    <w:rsid w:val="3BC61C6E"/>
    <w:rsid w:val="3BC910E8"/>
    <w:rsid w:val="3BCE44F6"/>
    <w:rsid w:val="3BCF7C65"/>
    <w:rsid w:val="3BD04949"/>
    <w:rsid w:val="3BD43ACD"/>
    <w:rsid w:val="3BD7463E"/>
    <w:rsid w:val="3BDB0F5F"/>
    <w:rsid w:val="3BDB3F34"/>
    <w:rsid w:val="3BDD4521"/>
    <w:rsid w:val="3BDF1537"/>
    <w:rsid w:val="3BDF78DC"/>
    <w:rsid w:val="3BE402B7"/>
    <w:rsid w:val="3BE61D51"/>
    <w:rsid w:val="3BED0AC0"/>
    <w:rsid w:val="3BED53A0"/>
    <w:rsid w:val="3BF02188"/>
    <w:rsid w:val="3BF03ED9"/>
    <w:rsid w:val="3BF41251"/>
    <w:rsid w:val="3BFA17CC"/>
    <w:rsid w:val="3BFC5DAB"/>
    <w:rsid w:val="3BFE273B"/>
    <w:rsid w:val="3C0209C1"/>
    <w:rsid w:val="3C022E62"/>
    <w:rsid w:val="3C033877"/>
    <w:rsid w:val="3C0A441B"/>
    <w:rsid w:val="3C0C3C7C"/>
    <w:rsid w:val="3C0C4B46"/>
    <w:rsid w:val="3C0E5DC7"/>
    <w:rsid w:val="3C1243BE"/>
    <w:rsid w:val="3C143C0B"/>
    <w:rsid w:val="3C1D56C0"/>
    <w:rsid w:val="3C1D7DF3"/>
    <w:rsid w:val="3C237518"/>
    <w:rsid w:val="3C241CF2"/>
    <w:rsid w:val="3C250D19"/>
    <w:rsid w:val="3C2D5FA8"/>
    <w:rsid w:val="3C2F596C"/>
    <w:rsid w:val="3C2F6E1E"/>
    <w:rsid w:val="3C307690"/>
    <w:rsid w:val="3C3153E1"/>
    <w:rsid w:val="3C3558EC"/>
    <w:rsid w:val="3C3668E8"/>
    <w:rsid w:val="3C3F7E3F"/>
    <w:rsid w:val="3C4251D5"/>
    <w:rsid w:val="3C427893"/>
    <w:rsid w:val="3C4444B9"/>
    <w:rsid w:val="3C470B41"/>
    <w:rsid w:val="3C474102"/>
    <w:rsid w:val="3C48534B"/>
    <w:rsid w:val="3C4967DD"/>
    <w:rsid w:val="3C4B543E"/>
    <w:rsid w:val="3C4C4249"/>
    <w:rsid w:val="3C4D2DFB"/>
    <w:rsid w:val="3C4F64BA"/>
    <w:rsid w:val="3C511FE7"/>
    <w:rsid w:val="3C5164F2"/>
    <w:rsid w:val="3C557B7E"/>
    <w:rsid w:val="3C592A0E"/>
    <w:rsid w:val="3C5B19D6"/>
    <w:rsid w:val="3C6C4C1F"/>
    <w:rsid w:val="3C7F3CF9"/>
    <w:rsid w:val="3C80656D"/>
    <w:rsid w:val="3C856FE7"/>
    <w:rsid w:val="3C942C68"/>
    <w:rsid w:val="3C956065"/>
    <w:rsid w:val="3C9925B5"/>
    <w:rsid w:val="3C9D3FE6"/>
    <w:rsid w:val="3C9F0045"/>
    <w:rsid w:val="3CA41E6F"/>
    <w:rsid w:val="3CA9377B"/>
    <w:rsid w:val="3CAB77B5"/>
    <w:rsid w:val="3CAF3F83"/>
    <w:rsid w:val="3CB068EA"/>
    <w:rsid w:val="3CB309BA"/>
    <w:rsid w:val="3CB46F09"/>
    <w:rsid w:val="3CB47302"/>
    <w:rsid w:val="3CBA2E94"/>
    <w:rsid w:val="3CBE37FA"/>
    <w:rsid w:val="3CBE73D1"/>
    <w:rsid w:val="3CBF162A"/>
    <w:rsid w:val="3CC06557"/>
    <w:rsid w:val="3CC22172"/>
    <w:rsid w:val="3CC60900"/>
    <w:rsid w:val="3CC65027"/>
    <w:rsid w:val="3CCB5DF2"/>
    <w:rsid w:val="3CCE0F15"/>
    <w:rsid w:val="3CD008CE"/>
    <w:rsid w:val="3CD331AD"/>
    <w:rsid w:val="3CD50016"/>
    <w:rsid w:val="3CD93C3F"/>
    <w:rsid w:val="3CD9731C"/>
    <w:rsid w:val="3CDA245A"/>
    <w:rsid w:val="3CDA3CAC"/>
    <w:rsid w:val="3CE60ABB"/>
    <w:rsid w:val="3CEC501A"/>
    <w:rsid w:val="3CEF13DD"/>
    <w:rsid w:val="3CF20CAC"/>
    <w:rsid w:val="3CF24B06"/>
    <w:rsid w:val="3CF409B9"/>
    <w:rsid w:val="3CF5317D"/>
    <w:rsid w:val="3CF57EA2"/>
    <w:rsid w:val="3CFE1120"/>
    <w:rsid w:val="3D052614"/>
    <w:rsid w:val="3D056B93"/>
    <w:rsid w:val="3D084518"/>
    <w:rsid w:val="3D0B6403"/>
    <w:rsid w:val="3D107F48"/>
    <w:rsid w:val="3D1538F2"/>
    <w:rsid w:val="3D182063"/>
    <w:rsid w:val="3D1E06B7"/>
    <w:rsid w:val="3D1F0FBB"/>
    <w:rsid w:val="3D24144F"/>
    <w:rsid w:val="3D294290"/>
    <w:rsid w:val="3D2B758E"/>
    <w:rsid w:val="3D35151E"/>
    <w:rsid w:val="3D3B6C7A"/>
    <w:rsid w:val="3D3D3216"/>
    <w:rsid w:val="3D3D3C88"/>
    <w:rsid w:val="3D3F482D"/>
    <w:rsid w:val="3D4011E7"/>
    <w:rsid w:val="3D4772F0"/>
    <w:rsid w:val="3D4817B6"/>
    <w:rsid w:val="3D4B66CD"/>
    <w:rsid w:val="3D4E1A3D"/>
    <w:rsid w:val="3D515F2A"/>
    <w:rsid w:val="3D5166C4"/>
    <w:rsid w:val="3D5259BE"/>
    <w:rsid w:val="3D537F5C"/>
    <w:rsid w:val="3D545470"/>
    <w:rsid w:val="3D5F6BF0"/>
    <w:rsid w:val="3D6324B1"/>
    <w:rsid w:val="3D645981"/>
    <w:rsid w:val="3D6734D3"/>
    <w:rsid w:val="3D696F99"/>
    <w:rsid w:val="3D6B3B7C"/>
    <w:rsid w:val="3D6C7BD4"/>
    <w:rsid w:val="3D6E1F75"/>
    <w:rsid w:val="3D736ABE"/>
    <w:rsid w:val="3D7455CA"/>
    <w:rsid w:val="3D770203"/>
    <w:rsid w:val="3D7868BE"/>
    <w:rsid w:val="3D796F4F"/>
    <w:rsid w:val="3D7B1A74"/>
    <w:rsid w:val="3D7B2762"/>
    <w:rsid w:val="3D7D41F4"/>
    <w:rsid w:val="3D852A60"/>
    <w:rsid w:val="3D885753"/>
    <w:rsid w:val="3D8C1853"/>
    <w:rsid w:val="3D8D3BDC"/>
    <w:rsid w:val="3D8D6420"/>
    <w:rsid w:val="3D91335B"/>
    <w:rsid w:val="3D9219DD"/>
    <w:rsid w:val="3D950F0B"/>
    <w:rsid w:val="3D98608F"/>
    <w:rsid w:val="3D9A37D0"/>
    <w:rsid w:val="3D9D2364"/>
    <w:rsid w:val="3D9F18A0"/>
    <w:rsid w:val="3DA047A5"/>
    <w:rsid w:val="3DA32BA2"/>
    <w:rsid w:val="3DA534CE"/>
    <w:rsid w:val="3DA70B63"/>
    <w:rsid w:val="3DA85576"/>
    <w:rsid w:val="3DAA11BE"/>
    <w:rsid w:val="3DAA6FAD"/>
    <w:rsid w:val="3DAF3523"/>
    <w:rsid w:val="3DB13DED"/>
    <w:rsid w:val="3DB2265D"/>
    <w:rsid w:val="3DB3541F"/>
    <w:rsid w:val="3DBB4667"/>
    <w:rsid w:val="3DBE369D"/>
    <w:rsid w:val="3DC01EDF"/>
    <w:rsid w:val="3DC27679"/>
    <w:rsid w:val="3DC65616"/>
    <w:rsid w:val="3DC66CF8"/>
    <w:rsid w:val="3DCA118E"/>
    <w:rsid w:val="3DCE20A2"/>
    <w:rsid w:val="3DD24406"/>
    <w:rsid w:val="3DD31806"/>
    <w:rsid w:val="3DD37475"/>
    <w:rsid w:val="3DD548FA"/>
    <w:rsid w:val="3DD638EE"/>
    <w:rsid w:val="3DDA5965"/>
    <w:rsid w:val="3DDB16AA"/>
    <w:rsid w:val="3DDB2BAA"/>
    <w:rsid w:val="3DEB1AE5"/>
    <w:rsid w:val="3DEC0570"/>
    <w:rsid w:val="3DEC494C"/>
    <w:rsid w:val="3DEE732F"/>
    <w:rsid w:val="3DF36FE7"/>
    <w:rsid w:val="3DF73796"/>
    <w:rsid w:val="3DF758AF"/>
    <w:rsid w:val="3DFC473D"/>
    <w:rsid w:val="3E041204"/>
    <w:rsid w:val="3E064E52"/>
    <w:rsid w:val="3E0874E8"/>
    <w:rsid w:val="3E0B216A"/>
    <w:rsid w:val="3E0B7D26"/>
    <w:rsid w:val="3E112D6E"/>
    <w:rsid w:val="3E120D3D"/>
    <w:rsid w:val="3E173F4D"/>
    <w:rsid w:val="3E1810DD"/>
    <w:rsid w:val="3E1A36CA"/>
    <w:rsid w:val="3E2045A5"/>
    <w:rsid w:val="3E2259BF"/>
    <w:rsid w:val="3E265A87"/>
    <w:rsid w:val="3E2854F8"/>
    <w:rsid w:val="3E2B3C0B"/>
    <w:rsid w:val="3E2B7026"/>
    <w:rsid w:val="3E325C2D"/>
    <w:rsid w:val="3E330319"/>
    <w:rsid w:val="3E3C3B54"/>
    <w:rsid w:val="3E3E4136"/>
    <w:rsid w:val="3E401C8D"/>
    <w:rsid w:val="3E4049A3"/>
    <w:rsid w:val="3E452962"/>
    <w:rsid w:val="3E4722A2"/>
    <w:rsid w:val="3E484420"/>
    <w:rsid w:val="3E4B5BAA"/>
    <w:rsid w:val="3E5021C6"/>
    <w:rsid w:val="3E5319B9"/>
    <w:rsid w:val="3E543B75"/>
    <w:rsid w:val="3E56164E"/>
    <w:rsid w:val="3E572D81"/>
    <w:rsid w:val="3E5E2FD7"/>
    <w:rsid w:val="3E624B81"/>
    <w:rsid w:val="3E625CDF"/>
    <w:rsid w:val="3E686DBB"/>
    <w:rsid w:val="3E6B5737"/>
    <w:rsid w:val="3E6E473E"/>
    <w:rsid w:val="3E727F2C"/>
    <w:rsid w:val="3E7819DB"/>
    <w:rsid w:val="3E7D536D"/>
    <w:rsid w:val="3E815981"/>
    <w:rsid w:val="3E827ECC"/>
    <w:rsid w:val="3E8B201E"/>
    <w:rsid w:val="3E8F1F6F"/>
    <w:rsid w:val="3E967927"/>
    <w:rsid w:val="3E972532"/>
    <w:rsid w:val="3E992B29"/>
    <w:rsid w:val="3E995593"/>
    <w:rsid w:val="3E9A2064"/>
    <w:rsid w:val="3E9C56B4"/>
    <w:rsid w:val="3E9D0474"/>
    <w:rsid w:val="3EA34DD7"/>
    <w:rsid w:val="3EA767EB"/>
    <w:rsid w:val="3EAA724B"/>
    <w:rsid w:val="3EAB58BF"/>
    <w:rsid w:val="3EAC328D"/>
    <w:rsid w:val="3EB10E53"/>
    <w:rsid w:val="3EB10FA2"/>
    <w:rsid w:val="3EB85F38"/>
    <w:rsid w:val="3EB956FE"/>
    <w:rsid w:val="3EB957B5"/>
    <w:rsid w:val="3EB95843"/>
    <w:rsid w:val="3EBA2508"/>
    <w:rsid w:val="3EBA78A9"/>
    <w:rsid w:val="3EBC7B67"/>
    <w:rsid w:val="3EBD2C1F"/>
    <w:rsid w:val="3EC11D56"/>
    <w:rsid w:val="3EC128B5"/>
    <w:rsid w:val="3EC1366A"/>
    <w:rsid w:val="3EC22298"/>
    <w:rsid w:val="3EC46229"/>
    <w:rsid w:val="3EC87466"/>
    <w:rsid w:val="3ECC5DCA"/>
    <w:rsid w:val="3ED27CCF"/>
    <w:rsid w:val="3ED915FA"/>
    <w:rsid w:val="3EDA0523"/>
    <w:rsid w:val="3EDC6ED9"/>
    <w:rsid w:val="3EDD36B2"/>
    <w:rsid w:val="3EE230C1"/>
    <w:rsid w:val="3EE34E64"/>
    <w:rsid w:val="3EE95CBE"/>
    <w:rsid w:val="3EEA6C99"/>
    <w:rsid w:val="3EED44D1"/>
    <w:rsid w:val="3EEE2550"/>
    <w:rsid w:val="3EF53AE4"/>
    <w:rsid w:val="3EFB09E2"/>
    <w:rsid w:val="3F0127B7"/>
    <w:rsid w:val="3F067D9E"/>
    <w:rsid w:val="3F071681"/>
    <w:rsid w:val="3F07184B"/>
    <w:rsid w:val="3F0D62E0"/>
    <w:rsid w:val="3F0E69C3"/>
    <w:rsid w:val="3F117DC0"/>
    <w:rsid w:val="3F144E73"/>
    <w:rsid w:val="3F193567"/>
    <w:rsid w:val="3F196244"/>
    <w:rsid w:val="3F1B645E"/>
    <w:rsid w:val="3F1F3933"/>
    <w:rsid w:val="3F221668"/>
    <w:rsid w:val="3F264118"/>
    <w:rsid w:val="3F3634B8"/>
    <w:rsid w:val="3F3E15B5"/>
    <w:rsid w:val="3F423776"/>
    <w:rsid w:val="3F471AA1"/>
    <w:rsid w:val="3F4C6021"/>
    <w:rsid w:val="3F534F8D"/>
    <w:rsid w:val="3F562AA6"/>
    <w:rsid w:val="3F56350A"/>
    <w:rsid w:val="3F592139"/>
    <w:rsid w:val="3F5D5CF4"/>
    <w:rsid w:val="3F620979"/>
    <w:rsid w:val="3F632D24"/>
    <w:rsid w:val="3F645ED3"/>
    <w:rsid w:val="3F667BF3"/>
    <w:rsid w:val="3F6726F7"/>
    <w:rsid w:val="3F67575E"/>
    <w:rsid w:val="3F682231"/>
    <w:rsid w:val="3F6E1604"/>
    <w:rsid w:val="3F760F60"/>
    <w:rsid w:val="3F791577"/>
    <w:rsid w:val="3F792ECE"/>
    <w:rsid w:val="3F7C146F"/>
    <w:rsid w:val="3F8227D1"/>
    <w:rsid w:val="3F863234"/>
    <w:rsid w:val="3F877E26"/>
    <w:rsid w:val="3F8A65FB"/>
    <w:rsid w:val="3F8B0E88"/>
    <w:rsid w:val="3F8C5D91"/>
    <w:rsid w:val="3F8C69C5"/>
    <w:rsid w:val="3F8E5FA2"/>
    <w:rsid w:val="3F922818"/>
    <w:rsid w:val="3F9735F3"/>
    <w:rsid w:val="3FA0602B"/>
    <w:rsid w:val="3FA21F18"/>
    <w:rsid w:val="3FA851F6"/>
    <w:rsid w:val="3FB02486"/>
    <w:rsid w:val="3FB03269"/>
    <w:rsid w:val="3FB131FB"/>
    <w:rsid w:val="3FB76692"/>
    <w:rsid w:val="3FBD3E29"/>
    <w:rsid w:val="3FBE7F49"/>
    <w:rsid w:val="3FBF0C86"/>
    <w:rsid w:val="3FC5221E"/>
    <w:rsid w:val="3FC62F5F"/>
    <w:rsid w:val="3FC67507"/>
    <w:rsid w:val="3FCB23C2"/>
    <w:rsid w:val="3FCE2FF3"/>
    <w:rsid w:val="3FCE40D8"/>
    <w:rsid w:val="3FCE7DEC"/>
    <w:rsid w:val="3FD30FD8"/>
    <w:rsid w:val="3FD6018F"/>
    <w:rsid w:val="3FDE6EA9"/>
    <w:rsid w:val="3FE1551C"/>
    <w:rsid w:val="3FE25912"/>
    <w:rsid w:val="3FE756F4"/>
    <w:rsid w:val="3FEB03C1"/>
    <w:rsid w:val="3FED2F50"/>
    <w:rsid w:val="3FEE07CC"/>
    <w:rsid w:val="3FF03C88"/>
    <w:rsid w:val="3FF33E81"/>
    <w:rsid w:val="3FF4401C"/>
    <w:rsid w:val="3FF46C1E"/>
    <w:rsid w:val="3FF91036"/>
    <w:rsid w:val="3FFF5896"/>
    <w:rsid w:val="4001713A"/>
    <w:rsid w:val="400418A7"/>
    <w:rsid w:val="40051FBF"/>
    <w:rsid w:val="40084ED8"/>
    <w:rsid w:val="400A362D"/>
    <w:rsid w:val="400C041F"/>
    <w:rsid w:val="401049C7"/>
    <w:rsid w:val="401107A8"/>
    <w:rsid w:val="40113EBC"/>
    <w:rsid w:val="401345D6"/>
    <w:rsid w:val="401B6F62"/>
    <w:rsid w:val="401C0FA7"/>
    <w:rsid w:val="401C6C3D"/>
    <w:rsid w:val="40241652"/>
    <w:rsid w:val="4024738A"/>
    <w:rsid w:val="40274DD4"/>
    <w:rsid w:val="40295475"/>
    <w:rsid w:val="402A451A"/>
    <w:rsid w:val="402E142F"/>
    <w:rsid w:val="402E686F"/>
    <w:rsid w:val="402F6F31"/>
    <w:rsid w:val="40310EC5"/>
    <w:rsid w:val="40332D83"/>
    <w:rsid w:val="40360D9F"/>
    <w:rsid w:val="40377DA9"/>
    <w:rsid w:val="403873B0"/>
    <w:rsid w:val="40461914"/>
    <w:rsid w:val="40463B30"/>
    <w:rsid w:val="404641B6"/>
    <w:rsid w:val="40521B3A"/>
    <w:rsid w:val="405404AC"/>
    <w:rsid w:val="4055749E"/>
    <w:rsid w:val="40562565"/>
    <w:rsid w:val="4056442A"/>
    <w:rsid w:val="40565C3C"/>
    <w:rsid w:val="4058087F"/>
    <w:rsid w:val="40600B6E"/>
    <w:rsid w:val="4062273D"/>
    <w:rsid w:val="406560D4"/>
    <w:rsid w:val="40676682"/>
    <w:rsid w:val="406B3A0B"/>
    <w:rsid w:val="406D4C14"/>
    <w:rsid w:val="406E249D"/>
    <w:rsid w:val="406E3F21"/>
    <w:rsid w:val="407172FF"/>
    <w:rsid w:val="4072196D"/>
    <w:rsid w:val="40746876"/>
    <w:rsid w:val="40774A9E"/>
    <w:rsid w:val="4078103F"/>
    <w:rsid w:val="407A6407"/>
    <w:rsid w:val="407D5CDD"/>
    <w:rsid w:val="40806316"/>
    <w:rsid w:val="40825255"/>
    <w:rsid w:val="40830367"/>
    <w:rsid w:val="408868A2"/>
    <w:rsid w:val="408B3D4F"/>
    <w:rsid w:val="408C451C"/>
    <w:rsid w:val="408C4D09"/>
    <w:rsid w:val="408C7D44"/>
    <w:rsid w:val="40965E5D"/>
    <w:rsid w:val="40983500"/>
    <w:rsid w:val="409B02AE"/>
    <w:rsid w:val="40A33560"/>
    <w:rsid w:val="40A3411E"/>
    <w:rsid w:val="40A568B4"/>
    <w:rsid w:val="40A838A9"/>
    <w:rsid w:val="40AE2C9F"/>
    <w:rsid w:val="40B12F81"/>
    <w:rsid w:val="40B50062"/>
    <w:rsid w:val="40B578FB"/>
    <w:rsid w:val="40BB464C"/>
    <w:rsid w:val="40BD4E63"/>
    <w:rsid w:val="40BE26A2"/>
    <w:rsid w:val="40C15059"/>
    <w:rsid w:val="40C40C14"/>
    <w:rsid w:val="40C7162C"/>
    <w:rsid w:val="40C90DFA"/>
    <w:rsid w:val="40CD6456"/>
    <w:rsid w:val="40D17684"/>
    <w:rsid w:val="40D20997"/>
    <w:rsid w:val="40D5267E"/>
    <w:rsid w:val="40D57AA5"/>
    <w:rsid w:val="40D7637A"/>
    <w:rsid w:val="40DD2E75"/>
    <w:rsid w:val="40E87752"/>
    <w:rsid w:val="40ED1B5E"/>
    <w:rsid w:val="40ED4D7E"/>
    <w:rsid w:val="40EF5606"/>
    <w:rsid w:val="40EF6CA1"/>
    <w:rsid w:val="40F31AA9"/>
    <w:rsid w:val="40F462E2"/>
    <w:rsid w:val="40FF41C8"/>
    <w:rsid w:val="41037574"/>
    <w:rsid w:val="41040DB6"/>
    <w:rsid w:val="4107403B"/>
    <w:rsid w:val="4108144D"/>
    <w:rsid w:val="41082F98"/>
    <w:rsid w:val="410D42FF"/>
    <w:rsid w:val="410F2471"/>
    <w:rsid w:val="410F4C96"/>
    <w:rsid w:val="41181835"/>
    <w:rsid w:val="411E443F"/>
    <w:rsid w:val="412049AA"/>
    <w:rsid w:val="41242A0E"/>
    <w:rsid w:val="41245FAD"/>
    <w:rsid w:val="412B710C"/>
    <w:rsid w:val="412C6878"/>
    <w:rsid w:val="412C7B1F"/>
    <w:rsid w:val="412D1AEE"/>
    <w:rsid w:val="412F5C94"/>
    <w:rsid w:val="41320FEA"/>
    <w:rsid w:val="413279C1"/>
    <w:rsid w:val="41386CA2"/>
    <w:rsid w:val="413D05C4"/>
    <w:rsid w:val="4143693C"/>
    <w:rsid w:val="41445BC5"/>
    <w:rsid w:val="41467E6E"/>
    <w:rsid w:val="4148765E"/>
    <w:rsid w:val="414A28A7"/>
    <w:rsid w:val="415116B8"/>
    <w:rsid w:val="41542FB2"/>
    <w:rsid w:val="41554C2E"/>
    <w:rsid w:val="41561C2F"/>
    <w:rsid w:val="4157189D"/>
    <w:rsid w:val="41573259"/>
    <w:rsid w:val="41590F1C"/>
    <w:rsid w:val="41597676"/>
    <w:rsid w:val="415D04FF"/>
    <w:rsid w:val="415E0AE8"/>
    <w:rsid w:val="415E6FC1"/>
    <w:rsid w:val="415F787E"/>
    <w:rsid w:val="41630D3D"/>
    <w:rsid w:val="41652954"/>
    <w:rsid w:val="416907B1"/>
    <w:rsid w:val="416E62A2"/>
    <w:rsid w:val="4171551C"/>
    <w:rsid w:val="41791652"/>
    <w:rsid w:val="417B420D"/>
    <w:rsid w:val="417E7D55"/>
    <w:rsid w:val="417F5E50"/>
    <w:rsid w:val="4186126B"/>
    <w:rsid w:val="418963D9"/>
    <w:rsid w:val="418A7CFF"/>
    <w:rsid w:val="418B5712"/>
    <w:rsid w:val="418C0901"/>
    <w:rsid w:val="418E3C2B"/>
    <w:rsid w:val="4191329E"/>
    <w:rsid w:val="419336F8"/>
    <w:rsid w:val="419954C7"/>
    <w:rsid w:val="419E13A4"/>
    <w:rsid w:val="419F008B"/>
    <w:rsid w:val="419F3E1F"/>
    <w:rsid w:val="41A22748"/>
    <w:rsid w:val="41A22C3A"/>
    <w:rsid w:val="41A54CC2"/>
    <w:rsid w:val="41AA36C1"/>
    <w:rsid w:val="41B678AB"/>
    <w:rsid w:val="41BA24ED"/>
    <w:rsid w:val="41BE62F1"/>
    <w:rsid w:val="41C260D9"/>
    <w:rsid w:val="41CD0FF7"/>
    <w:rsid w:val="41D03BD6"/>
    <w:rsid w:val="41D31031"/>
    <w:rsid w:val="41D50998"/>
    <w:rsid w:val="41D65F2E"/>
    <w:rsid w:val="41DA2E5C"/>
    <w:rsid w:val="41DC5E24"/>
    <w:rsid w:val="41DF3283"/>
    <w:rsid w:val="41E53964"/>
    <w:rsid w:val="41E85E2D"/>
    <w:rsid w:val="41EC3155"/>
    <w:rsid w:val="41ED4F33"/>
    <w:rsid w:val="41F050F5"/>
    <w:rsid w:val="41F10851"/>
    <w:rsid w:val="41F158C5"/>
    <w:rsid w:val="41F37A95"/>
    <w:rsid w:val="41F657E6"/>
    <w:rsid w:val="41F95898"/>
    <w:rsid w:val="41FA39C1"/>
    <w:rsid w:val="41FD63D7"/>
    <w:rsid w:val="4200449D"/>
    <w:rsid w:val="42007FE0"/>
    <w:rsid w:val="42031BC1"/>
    <w:rsid w:val="42047D3F"/>
    <w:rsid w:val="42057D9D"/>
    <w:rsid w:val="420615FD"/>
    <w:rsid w:val="420627F2"/>
    <w:rsid w:val="420651FD"/>
    <w:rsid w:val="420852C6"/>
    <w:rsid w:val="420A2483"/>
    <w:rsid w:val="420C0E0F"/>
    <w:rsid w:val="420F09F3"/>
    <w:rsid w:val="421322DD"/>
    <w:rsid w:val="421863E4"/>
    <w:rsid w:val="42197DBE"/>
    <w:rsid w:val="42200533"/>
    <w:rsid w:val="422061B9"/>
    <w:rsid w:val="42211134"/>
    <w:rsid w:val="4222650E"/>
    <w:rsid w:val="42294FC9"/>
    <w:rsid w:val="422E0F1D"/>
    <w:rsid w:val="423114E0"/>
    <w:rsid w:val="423164E3"/>
    <w:rsid w:val="4238069C"/>
    <w:rsid w:val="42395914"/>
    <w:rsid w:val="423A3BCC"/>
    <w:rsid w:val="423A5CFA"/>
    <w:rsid w:val="423C1429"/>
    <w:rsid w:val="423D552B"/>
    <w:rsid w:val="423E2EDE"/>
    <w:rsid w:val="42464B7A"/>
    <w:rsid w:val="4247254F"/>
    <w:rsid w:val="424B597B"/>
    <w:rsid w:val="424E57D2"/>
    <w:rsid w:val="42521177"/>
    <w:rsid w:val="42582377"/>
    <w:rsid w:val="426404DF"/>
    <w:rsid w:val="42656367"/>
    <w:rsid w:val="426F0EC5"/>
    <w:rsid w:val="426F5F1F"/>
    <w:rsid w:val="426F7A12"/>
    <w:rsid w:val="427B4A63"/>
    <w:rsid w:val="427E17F5"/>
    <w:rsid w:val="427F17AA"/>
    <w:rsid w:val="427F3921"/>
    <w:rsid w:val="42842C2D"/>
    <w:rsid w:val="42871D67"/>
    <w:rsid w:val="428940A9"/>
    <w:rsid w:val="428A49FE"/>
    <w:rsid w:val="428B36FF"/>
    <w:rsid w:val="428C30FD"/>
    <w:rsid w:val="428D4119"/>
    <w:rsid w:val="428F63E9"/>
    <w:rsid w:val="4292069A"/>
    <w:rsid w:val="42983BF9"/>
    <w:rsid w:val="429939F9"/>
    <w:rsid w:val="429B6FD4"/>
    <w:rsid w:val="429D5069"/>
    <w:rsid w:val="42A062DB"/>
    <w:rsid w:val="42A145BE"/>
    <w:rsid w:val="42A260FC"/>
    <w:rsid w:val="42A812FB"/>
    <w:rsid w:val="42A86B56"/>
    <w:rsid w:val="42B13359"/>
    <w:rsid w:val="42B26C49"/>
    <w:rsid w:val="42B470CC"/>
    <w:rsid w:val="42B55B71"/>
    <w:rsid w:val="42B80953"/>
    <w:rsid w:val="42B83FDB"/>
    <w:rsid w:val="42BF396C"/>
    <w:rsid w:val="42C44890"/>
    <w:rsid w:val="42C9635C"/>
    <w:rsid w:val="42CD40A0"/>
    <w:rsid w:val="42CE7834"/>
    <w:rsid w:val="42D0598D"/>
    <w:rsid w:val="42D13B52"/>
    <w:rsid w:val="42D41692"/>
    <w:rsid w:val="42D608EE"/>
    <w:rsid w:val="42D7355D"/>
    <w:rsid w:val="42D95D31"/>
    <w:rsid w:val="42DC6FAF"/>
    <w:rsid w:val="42DD03EB"/>
    <w:rsid w:val="42DD2E6C"/>
    <w:rsid w:val="42DD4506"/>
    <w:rsid w:val="42DE0E7C"/>
    <w:rsid w:val="42E04059"/>
    <w:rsid w:val="42E053AC"/>
    <w:rsid w:val="42E200EA"/>
    <w:rsid w:val="42E50A7E"/>
    <w:rsid w:val="42E5256F"/>
    <w:rsid w:val="42E723F2"/>
    <w:rsid w:val="42E87995"/>
    <w:rsid w:val="42EA44E9"/>
    <w:rsid w:val="42EE5487"/>
    <w:rsid w:val="42F216BD"/>
    <w:rsid w:val="42F5210A"/>
    <w:rsid w:val="42F52204"/>
    <w:rsid w:val="42F644A1"/>
    <w:rsid w:val="42F91BAA"/>
    <w:rsid w:val="42FB6A00"/>
    <w:rsid w:val="4302117A"/>
    <w:rsid w:val="43034AFC"/>
    <w:rsid w:val="43085DF0"/>
    <w:rsid w:val="430A59B2"/>
    <w:rsid w:val="43122DF5"/>
    <w:rsid w:val="43127B90"/>
    <w:rsid w:val="43195393"/>
    <w:rsid w:val="432357EF"/>
    <w:rsid w:val="432365D9"/>
    <w:rsid w:val="432450F3"/>
    <w:rsid w:val="43255263"/>
    <w:rsid w:val="4328301F"/>
    <w:rsid w:val="43283272"/>
    <w:rsid w:val="432C4027"/>
    <w:rsid w:val="432E190D"/>
    <w:rsid w:val="432F0091"/>
    <w:rsid w:val="43316B95"/>
    <w:rsid w:val="433923BC"/>
    <w:rsid w:val="433979A3"/>
    <w:rsid w:val="433A6FE6"/>
    <w:rsid w:val="433C0260"/>
    <w:rsid w:val="43412AA4"/>
    <w:rsid w:val="43464EB5"/>
    <w:rsid w:val="43480868"/>
    <w:rsid w:val="4348211B"/>
    <w:rsid w:val="434A7AB0"/>
    <w:rsid w:val="434C295E"/>
    <w:rsid w:val="434C6FE4"/>
    <w:rsid w:val="434D584F"/>
    <w:rsid w:val="43506216"/>
    <w:rsid w:val="435066F5"/>
    <w:rsid w:val="4350713C"/>
    <w:rsid w:val="43510546"/>
    <w:rsid w:val="435868B6"/>
    <w:rsid w:val="435A4B8D"/>
    <w:rsid w:val="436653E0"/>
    <w:rsid w:val="436738AC"/>
    <w:rsid w:val="436855DD"/>
    <w:rsid w:val="43691099"/>
    <w:rsid w:val="436A58F6"/>
    <w:rsid w:val="436E19A1"/>
    <w:rsid w:val="436F39F9"/>
    <w:rsid w:val="43701A96"/>
    <w:rsid w:val="43716EB2"/>
    <w:rsid w:val="437502AE"/>
    <w:rsid w:val="437F7E35"/>
    <w:rsid w:val="43806D12"/>
    <w:rsid w:val="43831F14"/>
    <w:rsid w:val="4384118F"/>
    <w:rsid w:val="438577B5"/>
    <w:rsid w:val="438730ED"/>
    <w:rsid w:val="4387733B"/>
    <w:rsid w:val="438C494F"/>
    <w:rsid w:val="438E7EF3"/>
    <w:rsid w:val="43913191"/>
    <w:rsid w:val="43924060"/>
    <w:rsid w:val="439304C9"/>
    <w:rsid w:val="43931B53"/>
    <w:rsid w:val="43997211"/>
    <w:rsid w:val="43997C2B"/>
    <w:rsid w:val="439C676E"/>
    <w:rsid w:val="439F43CC"/>
    <w:rsid w:val="43A12007"/>
    <w:rsid w:val="43A22E57"/>
    <w:rsid w:val="43A4019B"/>
    <w:rsid w:val="43A75A96"/>
    <w:rsid w:val="43AA2204"/>
    <w:rsid w:val="43AA5FD5"/>
    <w:rsid w:val="43AF0A00"/>
    <w:rsid w:val="43AF1B6A"/>
    <w:rsid w:val="43AF5EBE"/>
    <w:rsid w:val="43B00975"/>
    <w:rsid w:val="43B51833"/>
    <w:rsid w:val="43BA7F09"/>
    <w:rsid w:val="43BB6D2D"/>
    <w:rsid w:val="43BE4AC3"/>
    <w:rsid w:val="43BF7AF3"/>
    <w:rsid w:val="43BF7C01"/>
    <w:rsid w:val="43C4431A"/>
    <w:rsid w:val="43C444E0"/>
    <w:rsid w:val="43C453C0"/>
    <w:rsid w:val="43C6613C"/>
    <w:rsid w:val="43CA3B20"/>
    <w:rsid w:val="43CB1481"/>
    <w:rsid w:val="43CE0F5C"/>
    <w:rsid w:val="43D021AB"/>
    <w:rsid w:val="43D23A8F"/>
    <w:rsid w:val="43DB0AD2"/>
    <w:rsid w:val="43DC580D"/>
    <w:rsid w:val="43E51C4F"/>
    <w:rsid w:val="43E602E6"/>
    <w:rsid w:val="43E6456E"/>
    <w:rsid w:val="43E6750F"/>
    <w:rsid w:val="43EA2C02"/>
    <w:rsid w:val="43EB0C15"/>
    <w:rsid w:val="43EB1877"/>
    <w:rsid w:val="43EC00AE"/>
    <w:rsid w:val="43ED58B7"/>
    <w:rsid w:val="43ED5901"/>
    <w:rsid w:val="43F82E0D"/>
    <w:rsid w:val="43F95387"/>
    <w:rsid w:val="43FB46A2"/>
    <w:rsid w:val="43FF6B01"/>
    <w:rsid w:val="4402579D"/>
    <w:rsid w:val="44026AEF"/>
    <w:rsid w:val="440309A1"/>
    <w:rsid w:val="440331B4"/>
    <w:rsid w:val="440D3F26"/>
    <w:rsid w:val="440E54AC"/>
    <w:rsid w:val="440F0B75"/>
    <w:rsid w:val="441145DA"/>
    <w:rsid w:val="44160099"/>
    <w:rsid w:val="44190F16"/>
    <w:rsid w:val="441943EF"/>
    <w:rsid w:val="441974B2"/>
    <w:rsid w:val="441A1706"/>
    <w:rsid w:val="441C56BB"/>
    <w:rsid w:val="4420000B"/>
    <w:rsid w:val="44213B2D"/>
    <w:rsid w:val="44216A4F"/>
    <w:rsid w:val="44230F0D"/>
    <w:rsid w:val="442D0C6E"/>
    <w:rsid w:val="442D5C11"/>
    <w:rsid w:val="44340106"/>
    <w:rsid w:val="44341CE6"/>
    <w:rsid w:val="4437575F"/>
    <w:rsid w:val="443B6085"/>
    <w:rsid w:val="443D28D6"/>
    <w:rsid w:val="443E39F2"/>
    <w:rsid w:val="443F6B8E"/>
    <w:rsid w:val="443F78D3"/>
    <w:rsid w:val="44440B2E"/>
    <w:rsid w:val="44472AAD"/>
    <w:rsid w:val="44473309"/>
    <w:rsid w:val="444927BA"/>
    <w:rsid w:val="444C0E90"/>
    <w:rsid w:val="444D081A"/>
    <w:rsid w:val="44523483"/>
    <w:rsid w:val="44527E5D"/>
    <w:rsid w:val="445D6761"/>
    <w:rsid w:val="4460248A"/>
    <w:rsid w:val="44613433"/>
    <w:rsid w:val="44617107"/>
    <w:rsid w:val="446409E3"/>
    <w:rsid w:val="44650439"/>
    <w:rsid w:val="446805B2"/>
    <w:rsid w:val="446A762C"/>
    <w:rsid w:val="446D324D"/>
    <w:rsid w:val="446E6755"/>
    <w:rsid w:val="44700D3F"/>
    <w:rsid w:val="44705041"/>
    <w:rsid w:val="44724A7A"/>
    <w:rsid w:val="447308A8"/>
    <w:rsid w:val="44793119"/>
    <w:rsid w:val="447A244F"/>
    <w:rsid w:val="447A358D"/>
    <w:rsid w:val="447B0159"/>
    <w:rsid w:val="447F40DB"/>
    <w:rsid w:val="448015D3"/>
    <w:rsid w:val="44841A44"/>
    <w:rsid w:val="44850336"/>
    <w:rsid w:val="4485208E"/>
    <w:rsid w:val="448940E6"/>
    <w:rsid w:val="448A0500"/>
    <w:rsid w:val="4491411D"/>
    <w:rsid w:val="44945FEC"/>
    <w:rsid w:val="44947335"/>
    <w:rsid w:val="44975E5B"/>
    <w:rsid w:val="44996F01"/>
    <w:rsid w:val="449A1191"/>
    <w:rsid w:val="449C1F91"/>
    <w:rsid w:val="44A17DCF"/>
    <w:rsid w:val="44A71084"/>
    <w:rsid w:val="44A71470"/>
    <w:rsid w:val="44A931B1"/>
    <w:rsid w:val="44AA435D"/>
    <w:rsid w:val="44AE4DB9"/>
    <w:rsid w:val="44B0598A"/>
    <w:rsid w:val="44B1443F"/>
    <w:rsid w:val="44B16DDC"/>
    <w:rsid w:val="44B43580"/>
    <w:rsid w:val="44B52B0C"/>
    <w:rsid w:val="44B70516"/>
    <w:rsid w:val="44B87B11"/>
    <w:rsid w:val="44B951CC"/>
    <w:rsid w:val="44BA2FD4"/>
    <w:rsid w:val="44BA6A55"/>
    <w:rsid w:val="44BD1B90"/>
    <w:rsid w:val="44BD5531"/>
    <w:rsid w:val="44C12716"/>
    <w:rsid w:val="44C56E10"/>
    <w:rsid w:val="44C733ED"/>
    <w:rsid w:val="44C85012"/>
    <w:rsid w:val="44CA7F73"/>
    <w:rsid w:val="44CB2202"/>
    <w:rsid w:val="44CB6E1A"/>
    <w:rsid w:val="44CD14E0"/>
    <w:rsid w:val="44CD4917"/>
    <w:rsid w:val="44D063E6"/>
    <w:rsid w:val="44D10835"/>
    <w:rsid w:val="44D217F6"/>
    <w:rsid w:val="44D9031F"/>
    <w:rsid w:val="44DB0250"/>
    <w:rsid w:val="44DB4D19"/>
    <w:rsid w:val="44DE661A"/>
    <w:rsid w:val="44DF0024"/>
    <w:rsid w:val="44E31C02"/>
    <w:rsid w:val="44E34C31"/>
    <w:rsid w:val="44E85F23"/>
    <w:rsid w:val="44ED2A58"/>
    <w:rsid w:val="44EE527B"/>
    <w:rsid w:val="44F20B0B"/>
    <w:rsid w:val="44F4688E"/>
    <w:rsid w:val="44F47DA2"/>
    <w:rsid w:val="44F77B39"/>
    <w:rsid w:val="44FA2D92"/>
    <w:rsid w:val="44FC3F0B"/>
    <w:rsid w:val="44FC3F32"/>
    <w:rsid w:val="44FE344B"/>
    <w:rsid w:val="4501660B"/>
    <w:rsid w:val="45020235"/>
    <w:rsid w:val="45036BFF"/>
    <w:rsid w:val="450752F9"/>
    <w:rsid w:val="450B32FB"/>
    <w:rsid w:val="450C0AA3"/>
    <w:rsid w:val="45101988"/>
    <w:rsid w:val="45102DFD"/>
    <w:rsid w:val="45115BD3"/>
    <w:rsid w:val="45152B94"/>
    <w:rsid w:val="451835EC"/>
    <w:rsid w:val="451937D8"/>
    <w:rsid w:val="451959E8"/>
    <w:rsid w:val="451C5CE6"/>
    <w:rsid w:val="451F3BDE"/>
    <w:rsid w:val="45214393"/>
    <w:rsid w:val="452240B0"/>
    <w:rsid w:val="45276788"/>
    <w:rsid w:val="4528793A"/>
    <w:rsid w:val="452A65B1"/>
    <w:rsid w:val="452B660E"/>
    <w:rsid w:val="452E5F4C"/>
    <w:rsid w:val="45324D43"/>
    <w:rsid w:val="4533026C"/>
    <w:rsid w:val="453665E7"/>
    <w:rsid w:val="453E2A99"/>
    <w:rsid w:val="453F67CC"/>
    <w:rsid w:val="4541690D"/>
    <w:rsid w:val="454B261B"/>
    <w:rsid w:val="454C6621"/>
    <w:rsid w:val="454D5EF3"/>
    <w:rsid w:val="454D6A40"/>
    <w:rsid w:val="45560A09"/>
    <w:rsid w:val="45561205"/>
    <w:rsid w:val="45577B60"/>
    <w:rsid w:val="45612018"/>
    <w:rsid w:val="45642A69"/>
    <w:rsid w:val="45647117"/>
    <w:rsid w:val="45661255"/>
    <w:rsid w:val="45677470"/>
    <w:rsid w:val="45684659"/>
    <w:rsid w:val="456C6701"/>
    <w:rsid w:val="456D105E"/>
    <w:rsid w:val="456E28FC"/>
    <w:rsid w:val="457815EB"/>
    <w:rsid w:val="45794702"/>
    <w:rsid w:val="45837A53"/>
    <w:rsid w:val="458946E9"/>
    <w:rsid w:val="458C38C6"/>
    <w:rsid w:val="458E434D"/>
    <w:rsid w:val="459B03DE"/>
    <w:rsid w:val="459D6167"/>
    <w:rsid w:val="45A36D66"/>
    <w:rsid w:val="45A379CB"/>
    <w:rsid w:val="45A43DBF"/>
    <w:rsid w:val="45A47C0E"/>
    <w:rsid w:val="45A57495"/>
    <w:rsid w:val="45A94E7C"/>
    <w:rsid w:val="45A94F31"/>
    <w:rsid w:val="45AA483D"/>
    <w:rsid w:val="45AA5700"/>
    <w:rsid w:val="45AC4B97"/>
    <w:rsid w:val="45AD02D8"/>
    <w:rsid w:val="45B12710"/>
    <w:rsid w:val="45B1525D"/>
    <w:rsid w:val="45B255B1"/>
    <w:rsid w:val="45B35BE4"/>
    <w:rsid w:val="45B43575"/>
    <w:rsid w:val="45BA1A5C"/>
    <w:rsid w:val="45C2337A"/>
    <w:rsid w:val="45C46439"/>
    <w:rsid w:val="45C60714"/>
    <w:rsid w:val="45C724E3"/>
    <w:rsid w:val="45D10070"/>
    <w:rsid w:val="45D243AC"/>
    <w:rsid w:val="45D757D0"/>
    <w:rsid w:val="45DC4A7D"/>
    <w:rsid w:val="45DC50BA"/>
    <w:rsid w:val="45DC676B"/>
    <w:rsid w:val="45E26729"/>
    <w:rsid w:val="45E92A5E"/>
    <w:rsid w:val="45EA23CD"/>
    <w:rsid w:val="45F01AD6"/>
    <w:rsid w:val="45FA43E8"/>
    <w:rsid w:val="45FB7C44"/>
    <w:rsid w:val="45FE3AF5"/>
    <w:rsid w:val="45FE4290"/>
    <w:rsid w:val="46012020"/>
    <w:rsid w:val="46015622"/>
    <w:rsid w:val="4608693C"/>
    <w:rsid w:val="460C69DF"/>
    <w:rsid w:val="46102E31"/>
    <w:rsid w:val="461101F1"/>
    <w:rsid w:val="46114574"/>
    <w:rsid w:val="46121AAC"/>
    <w:rsid w:val="46142A20"/>
    <w:rsid w:val="461629B5"/>
    <w:rsid w:val="461712ED"/>
    <w:rsid w:val="46193569"/>
    <w:rsid w:val="46197AD2"/>
    <w:rsid w:val="461D14A7"/>
    <w:rsid w:val="462440AE"/>
    <w:rsid w:val="462A43CE"/>
    <w:rsid w:val="462B7B53"/>
    <w:rsid w:val="462E7B66"/>
    <w:rsid w:val="46330A80"/>
    <w:rsid w:val="46364C90"/>
    <w:rsid w:val="463C4002"/>
    <w:rsid w:val="46435CAB"/>
    <w:rsid w:val="4645480A"/>
    <w:rsid w:val="46461792"/>
    <w:rsid w:val="464801C6"/>
    <w:rsid w:val="46497DCA"/>
    <w:rsid w:val="464F067D"/>
    <w:rsid w:val="46501041"/>
    <w:rsid w:val="46505126"/>
    <w:rsid w:val="46560B42"/>
    <w:rsid w:val="46577FD6"/>
    <w:rsid w:val="465A53AF"/>
    <w:rsid w:val="465B0A25"/>
    <w:rsid w:val="465C111D"/>
    <w:rsid w:val="465D4A17"/>
    <w:rsid w:val="466000F6"/>
    <w:rsid w:val="466778C7"/>
    <w:rsid w:val="46692D38"/>
    <w:rsid w:val="466C497E"/>
    <w:rsid w:val="46711639"/>
    <w:rsid w:val="467243C9"/>
    <w:rsid w:val="467414B8"/>
    <w:rsid w:val="467459E6"/>
    <w:rsid w:val="46752A22"/>
    <w:rsid w:val="46772329"/>
    <w:rsid w:val="46787660"/>
    <w:rsid w:val="467A16DE"/>
    <w:rsid w:val="467C45EF"/>
    <w:rsid w:val="467D5EC2"/>
    <w:rsid w:val="467F1563"/>
    <w:rsid w:val="46813D16"/>
    <w:rsid w:val="4685190F"/>
    <w:rsid w:val="468B36A8"/>
    <w:rsid w:val="468F20C6"/>
    <w:rsid w:val="46924A32"/>
    <w:rsid w:val="469458EE"/>
    <w:rsid w:val="469C2B45"/>
    <w:rsid w:val="469C4445"/>
    <w:rsid w:val="46A464A3"/>
    <w:rsid w:val="46A711E0"/>
    <w:rsid w:val="46A80BB8"/>
    <w:rsid w:val="46A9240C"/>
    <w:rsid w:val="46AD1446"/>
    <w:rsid w:val="46AE4560"/>
    <w:rsid w:val="46B56A9C"/>
    <w:rsid w:val="46B73D6A"/>
    <w:rsid w:val="46C5427C"/>
    <w:rsid w:val="46C569EF"/>
    <w:rsid w:val="46C608B8"/>
    <w:rsid w:val="46C975BF"/>
    <w:rsid w:val="46CD0A59"/>
    <w:rsid w:val="46CE499C"/>
    <w:rsid w:val="46D32EF7"/>
    <w:rsid w:val="46D955A7"/>
    <w:rsid w:val="46DB53DE"/>
    <w:rsid w:val="46DD7028"/>
    <w:rsid w:val="46DF5D5F"/>
    <w:rsid w:val="46E406CE"/>
    <w:rsid w:val="46E81AB5"/>
    <w:rsid w:val="46E844B7"/>
    <w:rsid w:val="46ED7FB1"/>
    <w:rsid w:val="46F14AFF"/>
    <w:rsid w:val="46F75079"/>
    <w:rsid w:val="46F93960"/>
    <w:rsid w:val="4706647C"/>
    <w:rsid w:val="47081F26"/>
    <w:rsid w:val="47097DD3"/>
    <w:rsid w:val="470B6B03"/>
    <w:rsid w:val="470C7855"/>
    <w:rsid w:val="470D36EE"/>
    <w:rsid w:val="470E4B91"/>
    <w:rsid w:val="4710229A"/>
    <w:rsid w:val="4710358F"/>
    <w:rsid w:val="47104AA5"/>
    <w:rsid w:val="47122A8A"/>
    <w:rsid w:val="471322F5"/>
    <w:rsid w:val="47133957"/>
    <w:rsid w:val="471A3C25"/>
    <w:rsid w:val="47200B7F"/>
    <w:rsid w:val="472311A3"/>
    <w:rsid w:val="472527C3"/>
    <w:rsid w:val="47257553"/>
    <w:rsid w:val="4729043C"/>
    <w:rsid w:val="472A228D"/>
    <w:rsid w:val="472C1D3C"/>
    <w:rsid w:val="472C5349"/>
    <w:rsid w:val="473014A1"/>
    <w:rsid w:val="47326470"/>
    <w:rsid w:val="47370B14"/>
    <w:rsid w:val="473968DC"/>
    <w:rsid w:val="473A2CC7"/>
    <w:rsid w:val="473B1B43"/>
    <w:rsid w:val="473B4848"/>
    <w:rsid w:val="473D6BCF"/>
    <w:rsid w:val="473F4817"/>
    <w:rsid w:val="47433DCF"/>
    <w:rsid w:val="47476F60"/>
    <w:rsid w:val="474F084A"/>
    <w:rsid w:val="474F3856"/>
    <w:rsid w:val="475C64F5"/>
    <w:rsid w:val="475E4213"/>
    <w:rsid w:val="47615C66"/>
    <w:rsid w:val="47636691"/>
    <w:rsid w:val="476619D4"/>
    <w:rsid w:val="476A5467"/>
    <w:rsid w:val="476B3B51"/>
    <w:rsid w:val="47703D68"/>
    <w:rsid w:val="477216C6"/>
    <w:rsid w:val="47773B00"/>
    <w:rsid w:val="47802878"/>
    <w:rsid w:val="47823F2A"/>
    <w:rsid w:val="47862E0B"/>
    <w:rsid w:val="47871578"/>
    <w:rsid w:val="47923D84"/>
    <w:rsid w:val="4793197E"/>
    <w:rsid w:val="47956CFE"/>
    <w:rsid w:val="47967DDB"/>
    <w:rsid w:val="479D16BF"/>
    <w:rsid w:val="479E19AA"/>
    <w:rsid w:val="47A06E8E"/>
    <w:rsid w:val="47A07E0C"/>
    <w:rsid w:val="47A10CA3"/>
    <w:rsid w:val="47A228E8"/>
    <w:rsid w:val="47A7292D"/>
    <w:rsid w:val="47AB3630"/>
    <w:rsid w:val="47AD6790"/>
    <w:rsid w:val="47AF0A2B"/>
    <w:rsid w:val="47B06111"/>
    <w:rsid w:val="47B62295"/>
    <w:rsid w:val="47BA559B"/>
    <w:rsid w:val="47BF53AD"/>
    <w:rsid w:val="47C11624"/>
    <w:rsid w:val="47C722E1"/>
    <w:rsid w:val="47C83A71"/>
    <w:rsid w:val="47CA4F81"/>
    <w:rsid w:val="47CD0452"/>
    <w:rsid w:val="47D030AE"/>
    <w:rsid w:val="47D20764"/>
    <w:rsid w:val="47D30A22"/>
    <w:rsid w:val="47D30F18"/>
    <w:rsid w:val="47D7339C"/>
    <w:rsid w:val="47E50D5C"/>
    <w:rsid w:val="47EB4682"/>
    <w:rsid w:val="47F31B72"/>
    <w:rsid w:val="47F42D12"/>
    <w:rsid w:val="47F45595"/>
    <w:rsid w:val="47F5067B"/>
    <w:rsid w:val="47F67C55"/>
    <w:rsid w:val="47FA284F"/>
    <w:rsid w:val="47FE28DE"/>
    <w:rsid w:val="47FE53C7"/>
    <w:rsid w:val="48070F9B"/>
    <w:rsid w:val="480F05A3"/>
    <w:rsid w:val="4811091B"/>
    <w:rsid w:val="48111911"/>
    <w:rsid w:val="481150B1"/>
    <w:rsid w:val="48133022"/>
    <w:rsid w:val="48146514"/>
    <w:rsid w:val="48166B19"/>
    <w:rsid w:val="481D2D3C"/>
    <w:rsid w:val="48216776"/>
    <w:rsid w:val="48236163"/>
    <w:rsid w:val="4827310E"/>
    <w:rsid w:val="48296574"/>
    <w:rsid w:val="482A3502"/>
    <w:rsid w:val="482B0FD8"/>
    <w:rsid w:val="482F4035"/>
    <w:rsid w:val="483311AC"/>
    <w:rsid w:val="48381A4D"/>
    <w:rsid w:val="483B7C85"/>
    <w:rsid w:val="483C3DC2"/>
    <w:rsid w:val="48424F2E"/>
    <w:rsid w:val="48470ACA"/>
    <w:rsid w:val="48495E1F"/>
    <w:rsid w:val="484D01CE"/>
    <w:rsid w:val="484D607A"/>
    <w:rsid w:val="484F64F4"/>
    <w:rsid w:val="485022B1"/>
    <w:rsid w:val="48520134"/>
    <w:rsid w:val="48522F18"/>
    <w:rsid w:val="485338F5"/>
    <w:rsid w:val="485363EA"/>
    <w:rsid w:val="485632F6"/>
    <w:rsid w:val="48595FFB"/>
    <w:rsid w:val="485B7BE2"/>
    <w:rsid w:val="485E276B"/>
    <w:rsid w:val="485E2A82"/>
    <w:rsid w:val="485E3C10"/>
    <w:rsid w:val="486322C7"/>
    <w:rsid w:val="48660D14"/>
    <w:rsid w:val="48661A29"/>
    <w:rsid w:val="48670A1B"/>
    <w:rsid w:val="486839CE"/>
    <w:rsid w:val="48692D74"/>
    <w:rsid w:val="486E15F5"/>
    <w:rsid w:val="4870272E"/>
    <w:rsid w:val="48713009"/>
    <w:rsid w:val="48743A5F"/>
    <w:rsid w:val="487452E0"/>
    <w:rsid w:val="487535C5"/>
    <w:rsid w:val="48781516"/>
    <w:rsid w:val="48783C52"/>
    <w:rsid w:val="487B2C72"/>
    <w:rsid w:val="48881548"/>
    <w:rsid w:val="488A33FF"/>
    <w:rsid w:val="488B7CD1"/>
    <w:rsid w:val="488F1B64"/>
    <w:rsid w:val="48903A0A"/>
    <w:rsid w:val="489C2CF8"/>
    <w:rsid w:val="48A0593E"/>
    <w:rsid w:val="48A223B1"/>
    <w:rsid w:val="48A419D9"/>
    <w:rsid w:val="48A5635F"/>
    <w:rsid w:val="48A64FB9"/>
    <w:rsid w:val="48A77D37"/>
    <w:rsid w:val="48B506C6"/>
    <w:rsid w:val="48B74534"/>
    <w:rsid w:val="48BA33F9"/>
    <w:rsid w:val="48BE0C65"/>
    <w:rsid w:val="48BF1A14"/>
    <w:rsid w:val="48BF7E74"/>
    <w:rsid w:val="48C06608"/>
    <w:rsid w:val="48CD5863"/>
    <w:rsid w:val="48D96A48"/>
    <w:rsid w:val="48DB124D"/>
    <w:rsid w:val="48DE6045"/>
    <w:rsid w:val="48E13324"/>
    <w:rsid w:val="48E27485"/>
    <w:rsid w:val="48E423CD"/>
    <w:rsid w:val="48E5511A"/>
    <w:rsid w:val="48EB65AE"/>
    <w:rsid w:val="48EB7F50"/>
    <w:rsid w:val="48F30A29"/>
    <w:rsid w:val="48F3753A"/>
    <w:rsid w:val="48F641D2"/>
    <w:rsid w:val="48FC1ECA"/>
    <w:rsid w:val="48FE3B71"/>
    <w:rsid w:val="4908504E"/>
    <w:rsid w:val="490A18E0"/>
    <w:rsid w:val="490D3B6D"/>
    <w:rsid w:val="490D5130"/>
    <w:rsid w:val="490E2746"/>
    <w:rsid w:val="491067E3"/>
    <w:rsid w:val="491113CC"/>
    <w:rsid w:val="49177863"/>
    <w:rsid w:val="491A0119"/>
    <w:rsid w:val="491B7023"/>
    <w:rsid w:val="491F35BC"/>
    <w:rsid w:val="4927270A"/>
    <w:rsid w:val="4928211D"/>
    <w:rsid w:val="492C0B9B"/>
    <w:rsid w:val="492C0BFC"/>
    <w:rsid w:val="492F04D7"/>
    <w:rsid w:val="492F7368"/>
    <w:rsid w:val="49350BD5"/>
    <w:rsid w:val="49367A38"/>
    <w:rsid w:val="49396F88"/>
    <w:rsid w:val="493B0530"/>
    <w:rsid w:val="493F3A9C"/>
    <w:rsid w:val="49402234"/>
    <w:rsid w:val="49412404"/>
    <w:rsid w:val="49416A65"/>
    <w:rsid w:val="49437B51"/>
    <w:rsid w:val="4945428F"/>
    <w:rsid w:val="49467FD3"/>
    <w:rsid w:val="4949585E"/>
    <w:rsid w:val="494E7995"/>
    <w:rsid w:val="49520E83"/>
    <w:rsid w:val="49522A46"/>
    <w:rsid w:val="495408CC"/>
    <w:rsid w:val="495612D9"/>
    <w:rsid w:val="49565E8F"/>
    <w:rsid w:val="495E6D13"/>
    <w:rsid w:val="4961144B"/>
    <w:rsid w:val="4962001B"/>
    <w:rsid w:val="4964016A"/>
    <w:rsid w:val="4966407D"/>
    <w:rsid w:val="496E5FA9"/>
    <w:rsid w:val="49737B52"/>
    <w:rsid w:val="4975056D"/>
    <w:rsid w:val="49764FCF"/>
    <w:rsid w:val="49773B94"/>
    <w:rsid w:val="49811929"/>
    <w:rsid w:val="498126A3"/>
    <w:rsid w:val="4981450D"/>
    <w:rsid w:val="49836E1E"/>
    <w:rsid w:val="49844F67"/>
    <w:rsid w:val="49880644"/>
    <w:rsid w:val="49885FC9"/>
    <w:rsid w:val="498A7573"/>
    <w:rsid w:val="498C63DD"/>
    <w:rsid w:val="4997520A"/>
    <w:rsid w:val="49975737"/>
    <w:rsid w:val="49986FED"/>
    <w:rsid w:val="499C0A41"/>
    <w:rsid w:val="499E3FEB"/>
    <w:rsid w:val="499F4306"/>
    <w:rsid w:val="49A034A6"/>
    <w:rsid w:val="49A309BC"/>
    <w:rsid w:val="49A357D3"/>
    <w:rsid w:val="49A37632"/>
    <w:rsid w:val="49A47215"/>
    <w:rsid w:val="49A60757"/>
    <w:rsid w:val="49A61A35"/>
    <w:rsid w:val="49AA3B7B"/>
    <w:rsid w:val="49AB02B3"/>
    <w:rsid w:val="49AC7CD6"/>
    <w:rsid w:val="49B249D8"/>
    <w:rsid w:val="49B716F9"/>
    <w:rsid w:val="49B921A1"/>
    <w:rsid w:val="49BA2376"/>
    <w:rsid w:val="49BF5FBF"/>
    <w:rsid w:val="49C4617B"/>
    <w:rsid w:val="49C647FA"/>
    <w:rsid w:val="49CC028B"/>
    <w:rsid w:val="49CC17E2"/>
    <w:rsid w:val="49CE3518"/>
    <w:rsid w:val="49D53843"/>
    <w:rsid w:val="49D73B80"/>
    <w:rsid w:val="49DC7715"/>
    <w:rsid w:val="49E00538"/>
    <w:rsid w:val="49E312FE"/>
    <w:rsid w:val="49E65CE3"/>
    <w:rsid w:val="49EF4CD3"/>
    <w:rsid w:val="49F2179A"/>
    <w:rsid w:val="49F33C27"/>
    <w:rsid w:val="49F9108A"/>
    <w:rsid w:val="49F95463"/>
    <w:rsid w:val="49FA3840"/>
    <w:rsid w:val="49FF2DB5"/>
    <w:rsid w:val="4A023139"/>
    <w:rsid w:val="4A080A4A"/>
    <w:rsid w:val="4A093276"/>
    <w:rsid w:val="4A0D07FD"/>
    <w:rsid w:val="4A151258"/>
    <w:rsid w:val="4A164A44"/>
    <w:rsid w:val="4A18056F"/>
    <w:rsid w:val="4A1C5EC9"/>
    <w:rsid w:val="4A227283"/>
    <w:rsid w:val="4A25750C"/>
    <w:rsid w:val="4A2826B6"/>
    <w:rsid w:val="4A296CB6"/>
    <w:rsid w:val="4A2A4775"/>
    <w:rsid w:val="4A2D09AD"/>
    <w:rsid w:val="4A2F757E"/>
    <w:rsid w:val="4A334BC0"/>
    <w:rsid w:val="4A3E7DEB"/>
    <w:rsid w:val="4A4104B9"/>
    <w:rsid w:val="4A476107"/>
    <w:rsid w:val="4A51441F"/>
    <w:rsid w:val="4A543A2A"/>
    <w:rsid w:val="4A5609FF"/>
    <w:rsid w:val="4A585D9D"/>
    <w:rsid w:val="4A624506"/>
    <w:rsid w:val="4A631202"/>
    <w:rsid w:val="4A6358B4"/>
    <w:rsid w:val="4A641C2D"/>
    <w:rsid w:val="4A6942F8"/>
    <w:rsid w:val="4A6A6606"/>
    <w:rsid w:val="4A737929"/>
    <w:rsid w:val="4A7A1305"/>
    <w:rsid w:val="4A7B576F"/>
    <w:rsid w:val="4A7D0F2C"/>
    <w:rsid w:val="4A7E2DAA"/>
    <w:rsid w:val="4A7F46DA"/>
    <w:rsid w:val="4A800801"/>
    <w:rsid w:val="4A817C11"/>
    <w:rsid w:val="4A830C6D"/>
    <w:rsid w:val="4A881345"/>
    <w:rsid w:val="4A89179D"/>
    <w:rsid w:val="4A8A5EE4"/>
    <w:rsid w:val="4A8E5188"/>
    <w:rsid w:val="4A906FCA"/>
    <w:rsid w:val="4A9319E4"/>
    <w:rsid w:val="4A992D98"/>
    <w:rsid w:val="4A996B20"/>
    <w:rsid w:val="4A9B1902"/>
    <w:rsid w:val="4AA24AFA"/>
    <w:rsid w:val="4AA652A2"/>
    <w:rsid w:val="4AA70B93"/>
    <w:rsid w:val="4AAB334F"/>
    <w:rsid w:val="4AAE6959"/>
    <w:rsid w:val="4AB24A82"/>
    <w:rsid w:val="4AB434B1"/>
    <w:rsid w:val="4AB44755"/>
    <w:rsid w:val="4AB67E0A"/>
    <w:rsid w:val="4AB97369"/>
    <w:rsid w:val="4ABC05D3"/>
    <w:rsid w:val="4ABE59DE"/>
    <w:rsid w:val="4ABF3EBB"/>
    <w:rsid w:val="4ACA0634"/>
    <w:rsid w:val="4ACD24FA"/>
    <w:rsid w:val="4ACD3D6F"/>
    <w:rsid w:val="4ACE3FBE"/>
    <w:rsid w:val="4ACE443C"/>
    <w:rsid w:val="4ACF05B1"/>
    <w:rsid w:val="4AD357F5"/>
    <w:rsid w:val="4AD37CCE"/>
    <w:rsid w:val="4AD4716C"/>
    <w:rsid w:val="4ADB2E70"/>
    <w:rsid w:val="4ADD7CDA"/>
    <w:rsid w:val="4ADE421F"/>
    <w:rsid w:val="4AE33CF5"/>
    <w:rsid w:val="4AE50D8E"/>
    <w:rsid w:val="4AE522D1"/>
    <w:rsid w:val="4AE5722D"/>
    <w:rsid w:val="4AE861A5"/>
    <w:rsid w:val="4AED40E1"/>
    <w:rsid w:val="4AF027D9"/>
    <w:rsid w:val="4AF561A9"/>
    <w:rsid w:val="4AF6173C"/>
    <w:rsid w:val="4AF932B6"/>
    <w:rsid w:val="4AF95C77"/>
    <w:rsid w:val="4B0008D2"/>
    <w:rsid w:val="4B0067C3"/>
    <w:rsid w:val="4B0259AF"/>
    <w:rsid w:val="4B083C8C"/>
    <w:rsid w:val="4B095282"/>
    <w:rsid w:val="4B0A6E5A"/>
    <w:rsid w:val="4B0B565A"/>
    <w:rsid w:val="4B0D3916"/>
    <w:rsid w:val="4B136DAD"/>
    <w:rsid w:val="4B147214"/>
    <w:rsid w:val="4B16652B"/>
    <w:rsid w:val="4B1B74F1"/>
    <w:rsid w:val="4B1C4D8D"/>
    <w:rsid w:val="4B1C6AA6"/>
    <w:rsid w:val="4B276DAF"/>
    <w:rsid w:val="4B2824EE"/>
    <w:rsid w:val="4B283792"/>
    <w:rsid w:val="4B286279"/>
    <w:rsid w:val="4B367435"/>
    <w:rsid w:val="4B37297F"/>
    <w:rsid w:val="4B3C4A2D"/>
    <w:rsid w:val="4B467579"/>
    <w:rsid w:val="4B485236"/>
    <w:rsid w:val="4B48660A"/>
    <w:rsid w:val="4B4976FD"/>
    <w:rsid w:val="4B530B3F"/>
    <w:rsid w:val="4B5373A1"/>
    <w:rsid w:val="4B540E5F"/>
    <w:rsid w:val="4B584CE8"/>
    <w:rsid w:val="4B5B638F"/>
    <w:rsid w:val="4B5C5635"/>
    <w:rsid w:val="4B5E685D"/>
    <w:rsid w:val="4B61350C"/>
    <w:rsid w:val="4B6A69F8"/>
    <w:rsid w:val="4B6B0420"/>
    <w:rsid w:val="4B6D6F22"/>
    <w:rsid w:val="4B6E545A"/>
    <w:rsid w:val="4B700E77"/>
    <w:rsid w:val="4B726C9D"/>
    <w:rsid w:val="4B75426F"/>
    <w:rsid w:val="4B7D75A3"/>
    <w:rsid w:val="4B866BD2"/>
    <w:rsid w:val="4B9675A2"/>
    <w:rsid w:val="4B9768B5"/>
    <w:rsid w:val="4B9A7C92"/>
    <w:rsid w:val="4BAA768E"/>
    <w:rsid w:val="4BAC7805"/>
    <w:rsid w:val="4BB55E9A"/>
    <w:rsid w:val="4BB5618F"/>
    <w:rsid w:val="4BBA53E8"/>
    <w:rsid w:val="4BC11F74"/>
    <w:rsid w:val="4BC13264"/>
    <w:rsid w:val="4BC508F0"/>
    <w:rsid w:val="4BC630CE"/>
    <w:rsid w:val="4BC93F51"/>
    <w:rsid w:val="4BCA7817"/>
    <w:rsid w:val="4BCB06A0"/>
    <w:rsid w:val="4BCB0F4A"/>
    <w:rsid w:val="4BCB3441"/>
    <w:rsid w:val="4BD27F5D"/>
    <w:rsid w:val="4BD5729F"/>
    <w:rsid w:val="4BDC250F"/>
    <w:rsid w:val="4BE0243F"/>
    <w:rsid w:val="4BE04DF7"/>
    <w:rsid w:val="4BE47904"/>
    <w:rsid w:val="4BE5675A"/>
    <w:rsid w:val="4BE60BD8"/>
    <w:rsid w:val="4BEB7B9C"/>
    <w:rsid w:val="4BEE2537"/>
    <w:rsid w:val="4BEE4BB8"/>
    <w:rsid w:val="4BF221E6"/>
    <w:rsid w:val="4BF372D6"/>
    <w:rsid w:val="4BF91404"/>
    <w:rsid w:val="4C025C37"/>
    <w:rsid w:val="4C0777A5"/>
    <w:rsid w:val="4C102293"/>
    <w:rsid w:val="4C1631CA"/>
    <w:rsid w:val="4C172BC2"/>
    <w:rsid w:val="4C177B80"/>
    <w:rsid w:val="4C186D29"/>
    <w:rsid w:val="4C1C5A72"/>
    <w:rsid w:val="4C1D0ECB"/>
    <w:rsid w:val="4C1D4C4B"/>
    <w:rsid w:val="4C1F53F5"/>
    <w:rsid w:val="4C202C4C"/>
    <w:rsid w:val="4C2564C7"/>
    <w:rsid w:val="4C2826C2"/>
    <w:rsid w:val="4C28641C"/>
    <w:rsid w:val="4C2909F0"/>
    <w:rsid w:val="4C2910B1"/>
    <w:rsid w:val="4C312DC5"/>
    <w:rsid w:val="4C377E7D"/>
    <w:rsid w:val="4C381B27"/>
    <w:rsid w:val="4C3C30DF"/>
    <w:rsid w:val="4C3D7732"/>
    <w:rsid w:val="4C4206A9"/>
    <w:rsid w:val="4C444F42"/>
    <w:rsid w:val="4C4A0649"/>
    <w:rsid w:val="4C4C141D"/>
    <w:rsid w:val="4C4D41F4"/>
    <w:rsid w:val="4C5225D0"/>
    <w:rsid w:val="4C580FC3"/>
    <w:rsid w:val="4C5F200B"/>
    <w:rsid w:val="4C6053E9"/>
    <w:rsid w:val="4C6917F4"/>
    <w:rsid w:val="4C6C7643"/>
    <w:rsid w:val="4C6D0675"/>
    <w:rsid w:val="4C6E2263"/>
    <w:rsid w:val="4C6E3A44"/>
    <w:rsid w:val="4C6F14B1"/>
    <w:rsid w:val="4C6F1B13"/>
    <w:rsid w:val="4C72198F"/>
    <w:rsid w:val="4C7320C4"/>
    <w:rsid w:val="4C7463E4"/>
    <w:rsid w:val="4C765B3F"/>
    <w:rsid w:val="4C773EF4"/>
    <w:rsid w:val="4C791FDA"/>
    <w:rsid w:val="4C7E14C5"/>
    <w:rsid w:val="4C7E5ECA"/>
    <w:rsid w:val="4C7F4C05"/>
    <w:rsid w:val="4C81364C"/>
    <w:rsid w:val="4C874106"/>
    <w:rsid w:val="4C876AA5"/>
    <w:rsid w:val="4C894478"/>
    <w:rsid w:val="4C8C0D78"/>
    <w:rsid w:val="4C8F5E18"/>
    <w:rsid w:val="4C9325B4"/>
    <w:rsid w:val="4C941522"/>
    <w:rsid w:val="4C983450"/>
    <w:rsid w:val="4C9E266B"/>
    <w:rsid w:val="4CA42E12"/>
    <w:rsid w:val="4CAE74F1"/>
    <w:rsid w:val="4CB32A04"/>
    <w:rsid w:val="4CB46ECD"/>
    <w:rsid w:val="4CB53226"/>
    <w:rsid w:val="4CB72EE8"/>
    <w:rsid w:val="4CBA3B44"/>
    <w:rsid w:val="4CBA4705"/>
    <w:rsid w:val="4CBD21C1"/>
    <w:rsid w:val="4CC24854"/>
    <w:rsid w:val="4CC24A4D"/>
    <w:rsid w:val="4CC80839"/>
    <w:rsid w:val="4CC92A62"/>
    <w:rsid w:val="4CCA5448"/>
    <w:rsid w:val="4CD62599"/>
    <w:rsid w:val="4CD7255D"/>
    <w:rsid w:val="4CDD0CB7"/>
    <w:rsid w:val="4CDD1EEE"/>
    <w:rsid w:val="4CDE10FF"/>
    <w:rsid w:val="4CE1141F"/>
    <w:rsid w:val="4CE41650"/>
    <w:rsid w:val="4CE4267B"/>
    <w:rsid w:val="4CE76602"/>
    <w:rsid w:val="4CE97173"/>
    <w:rsid w:val="4CEA3662"/>
    <w:rsid w:val="4CEC16A7"/>
    <w:rsid w:val="4CEE135A"/>
    <w:rsid w:val="4CF67E0B"/>
    <w:rsid w:val="4CF77697"/>
    <w:rsid w:val="4CF77F78"/>
    <w:rsid w:val="4CFA2D60"/>
    <w:rsid w:val="4CFC020F"/>
    <w:rsid w:val="4CFE1749"/>
    <w:rsid w:val="4CFE64DA"/>
    <w:rsid w:val="4D004D83"/>
    <w:rsid w:val="4D031F0A"/>
    <w:rsid w:val="4D066BA0"/>
    <w:rsid w:val="4D0723D3"/>
    <w:rsid w:val="4D097FC5"/>
    <w:rsid w:val="4D0E00FB"/>
    <w:rsid w:val="4D100832"/>
    <w:rsid w:val="4D11465A"/>
    <w:rsid w:val="4D142553"/>
    <w:rsid w:val="4D174BB8"/>
    <w:rsid w:val="4D176606"/>
    <w:rsid w:val="4D200409"/>
    <w:rsid w:val="4D216065"/>
    <w:rsid w:val="4D337E8B"/>
    <w:rsid w:val="4D3B4C5E"/>
    <w:rsid w:val="4D3C18C6"/>
    <w:rsid w:val="4D491AB8"/>
    <w:rsid w:val="4D492E20"/>
    <w:rsid w:val="4D4B4149"/>
    <w:rsid w:val="4D5361DC"/>
    <w:rsid w:val="4D554BD9"/>
    <w:rsid w:val="4D592C1A"/>
    <w:rsid w:val="4D5C3A86"/>
    <w:rsid w:val="4D5C62B2"/>
    <w:rsid w:val="4D5D5A21"/>
    <w:rsid w:val="4D5F3E64"/>
    <w:rsid w:val="4D654B30"/>
    <w:rsid w:val="4D697381"/>
    <w:rsid w:val="4D6A2D77"/>
    <w:rsid w:val="4D6A5343"/>
    <w:rsid w:val="4D707E8E"/>
    <w:rsid w:val="4D782C68"/>
    <w:rsid w:val="4D7A56D4"/>
    <w:rsid w:val="4D7D1266"/>
    <w:rsid w:val="4D7D3718"/>
    <w:rsid w:val="4D7E7583"/>
    <w:rsid w:val="4D811778"/>
    <w:rsid w:val="4D834FBA"/>
    <w:rsid w:val="4D85618A"/>
    <w:rsid w:val="4D87770A"/>
    <w:rsid w:val="4D8A3758"/>
    <w:rsid w:val="4D8C1C25"/>
    <w:rsid w:val="4D9016E7"/>
    <w:rsid w:val="4D9059F8"/>
    <w:rsid w:val="4D9127AD"/>
    <w:rsid w:val="4D995538"/>
    <w:rsid w:val="4D9D3B92"/>
    <w:rsid w:val="4DA32DFA"/>
    <w:rsid w:val="4DA540A3"/>
    <w:rsid w:val="4DA8297D"/>
    <w:rsid w:val="4DA83E22"/>
    <w:rsid w:val="4DA866FE"/>
    <w:rsid w:val="4DA90D9B"/>
    <w:rsid w:val="4DAA5874"/>
    <w:rsid w:val="4DAB7510"/>
    <w:rsid w:val="4DB00EC2"/>
    <w:rsid w:val="4DB84B33"/>
    <w:rsid w:val="4DBB61FD"/>
    <w:rsid w:val="4DBD060B"/>
    <w:rsid w:val="4DBD4881"/>
    <w:rsid w:val="4DBF38E5"/>
    <w:rsid w:val="4DBF5181"/>
    <w:rsid w:val="4DC10797"/>
    <w:rsid w:val="4DCF1F9B"/>
    <w:rsid w:val="4DD1139E"/>
    <w:rsid w:val="4DD37EE8"/>
    <w:rsid w:val="4DD52B4E"/>
    <w:rsid w:val="4DDE0D3C"/>
    <w:rsid w:val="4DE2673E"/>
    <w:rsid w:val="4DE40197"/>
    <w:rsid w:val="4DE46FA5"/>
    <w:rsid w:val="4DE5008E"/>
    <w:rsid w:val="4DE76D02"/>
    <w:rsid w:val="4DE8772D"/>
    <w:rsid w:val="4DEB42BC"/>
    <w:rsid w:val="4DEC4FB0"/>
    <w:rsid w:val="4DEE69C2"/>
    <w:rsid w:val="4DEF1326"/>
    <w:rsid w:val="4DF10806"/>
    <w:rsid w:val="4DF168F3"/>
    <w:rsid w:val="4DF17729"/>
    <w:rsid w:val="4DF3199D"/>
    <w:rsid w:val="4DF32876"/>
    <w:rsid w:val="4DF6220C"/>
    <w:rsid w:val="4DFB4EFC"/>
    <w:rsid w:val="4E0217A5"/>
    <w:rsid w:val="4E027067"/>
    <w:rsid w:val="4E030D89"/>
    <w:rsid w:val="4E04170E"/>
    <w:rsid w:val="4E057429"/>
    <w:rsid w:val="4E075D8A"/>
    <w:rsid w:val="4E08265E"/>
    <w:rsid w:val="4E09587E"/>
    <w:rsid w:val="4E0C2035"/>
    <w:rsid w:val="4E141D71"/>
    <w:rsid w:val="4E282476"/>
    <w:rsid w:val="4E286CD9"/>
    <w:rsid w:val="4E2924BD"/>
    <w:rsid w:val="4E2A5767"/>
    <w:rsid w:val="4E2B78E7"/>
    <w:rsid w:val="4E2D366F"/>
    <w:rsid w:val="4E2F7F1B"/>
    <w:rsid w:val="4E3633D0"/>
    <w:rsid w:val="4E383AAE"/>
    <w:rsid w:val="4E3B5151"/>
    <w:rsid w:val="4E3E320B"/>
    <w:rsid w:val="4E3E4C88"/>
    <w:rsid w:val="4E407611"/>
    <w:rsid w:val="4E413EDB"/>
    <w:rsid w:val="4E474820"/>
    <w:rsid w:val="4E4A1E01"/>
    <w:rsid w:val="4E573AEA"/>
    <w:rsid w:val="4E597CC9"/>
    <w:rsid w:val="4E5A002D"/>
    <w:rsid w:val="4E5E09D4"/>
    <w:rsid w:val="4E5E2CEC"/>
    <w:rsid w:val="4E625FD6"/>
    <w:rsid w:val="4E634D92"/>
    <w:rsid w:val="4E634E15"/>
    <w:rsid w:val="4E681EDB"/>
    <w:rsid w:val="4E6B5F8F"/>
    <w:rsid w:val="4E6D2A23"/>
    <w:rsid w:val="4E6E7DFC"/>
    <w:rsid w:val="4E6F529B"/>
    <w:rsid w:val="4E7007A6"/>
    <w:rsid w:val="4E7317BD"/>
    <w:rsid w:val="4E742665"/>
    <w:rsid w:val="4E7567CD"/>
    <w:rsid w:val="4E7662A6"/>
    <w:rsid w:val="4E7A31F3"/>
    <w:rsid w:val="4E7B299D"/>
    <w:rsid w:val="4E7B6D4B"/>
    <w:rsid w:val="4E7B727F"/>
    <w:rsid w:val="4E7C3149"/>
    <w:rsid w:val="4E7C7406"/>
    <w:rsid w:val="4E7D26BB"/>
    <w:rsid w:val="4E872FA3"/>
    <w:rsid w:val="4E886DB6"/>
    <w:rsid w:val="4E890517"/>
    <w:rsid w:val="4E8F63B5"/>
    <w:rsid w:val="4E923FFB"/>
    <w:rsid w:val="4E925050"/>
    <w:rsid w:val="4E951088"/>
    <w:rsid w:val="4E957A50"/>
    <w:rsid w:val="4E9648EB"/>
    <w:rsid w:val="4E992DCF"/>
    <w:rsid w:val="4E9D737D"/>
    <w:rsid w:val="4EA05E0D"/>
    <w:rsid w:val="4EA35C88"/>
    <w:rsid w:val="4EA41CFB"/>
    <w:rsid w:val="4EA66CC1"/>
    <w:rsid w:val="4EA75805"/>
    <w:rsid w:val="4EAB28C8"/>
    <w:rsid w:val="4EB106AF"/>
    <w:rsid w:val="4EBB08CE"/>
    <w:rsid w:val="4EBE269F"/>
    <w:rsid w:val="4EC00FAD"/>
    <w:rsid w:val="4EC654C2"/>
    <w:rsid w:val="4EC82299"/>
    <w:rsid w:val="4EC831FB"/>
    <w:rsid w:val="4ECD674B"/>
    <w:rsid w:val="4ED07F2C"/>
    <w:rsid w:val="4ED50BCA"/>
    <w:rsid w:val="4ED52AC4"/>
    <w:rsid w:val="4ED9373E"/>
    <w:rsid w:val="4EDB6988"/>
    <w:rsid w:val="4EDD0D1B"/>
    <w:rsid w:val="4EE30F83"/>
    <w:rsid w:val="4EE56220"/>
    <w:rsid w:val="4EE65467"/>
    <w:rsid w:val="4EE860C3"/>
    <w:rsid w:val="4EEB6F36"/>
    <w:rsid w:val="4EEE1127"/>
    <w:rsid w:val="4EEE5361"/>
    <w:rsid w:val="4EEF3D8A"/>
    <w:rsid w:val="4EF0262C"/>
    <w:rsid w:val="4EF06002"/>
    <w:rsid w:val="4EF153AB"/>
    <w:rsid w:val="4EF376C5"/>
    <w:rsid w:val="4EF73CA5"/>
    <w:rsid w:val="4EF75092"/>
    <w:rsid w:val="4EFB1292"/>
    <w:rsid w:val="4EFB6CEC"/>
    <w:rsid w:val="4EFF411D"/>
    <w:rsid w:val="4F010320"/>
    <w:rsid w:val="4F037FB0"/>
    <w:rsid w:val="4F0443BF"/>
    <w:rsid w:val="4F0951C6"/>
    <w:rsid w:val="4F0A2AFA"/>
    <w:rsid w:val="4F0A7BB2"/>
    <w:rsid w:val="4F0B166B"/>
    <w:rsid w:val="4F0C0A73"/>
    <w:rsid w:val="4F0E2270"/>
    <w:rsid w:val="4F2457BF"/>
    <w:rsid w:val="4F262241"/>
    <w:rsid w:val="4F26536A"/>
    <w:rsid w:val="4F2813B4"/>
    <w:rsid w:val="4F287734"/>
    <w:rsid w:val="4F2B08C2"/>
    <w:rsid w:val="4F2B48D9"/>
    <w:rsid w:val="4F2B6CBD"/>
    <w:rsid w:val="4F3008C4"/>
    <w:rsid w:val="4F3231AE"/>
    <w:rsid w:val="4F3251D4"/>
    <w:rsid w:val="4F3644F2"/>
    <w:rsid w:val="4F3970C2"/>
    <w:rsid w:val="4F3B684E"/>
    <w:rsid w:val="4F41077D"/>
    <w:rsid w:val="4F453FE8"/>
    <w:rsid w:val="4F4834C8"/>
    <w:rsid w:val="4F4A0ACC"/>
    <w:rsid w:val="4F4C2F0A"/>
    <w:rsid w:val="4F516206"/>
    <w:rsid w:val="4F5D1D53"/>
    <w:rsid w:val="4F5D57FF"/>
    <w:rsid w:val="4F5D698E"/>
    <w:rsid w:val="4F5E5365"/>
    <w:rsid w:val="4F5E7072"/>
    <w:rsid w:val="4F5F13B4"/>
    <w:rsid w:val="4F5F200B"/>
    <w:rsid w:val="4F613AE6"/>
    <w:rsid w:val="4F61766E"/>
    <w:rsid w:val="4F6308FB"/>
    <w:rsid w:val="4F706D3D"/>
    <w:rsid w:val="4F727A65"/>
    <w:rsid w:val="4F757C8F"/>
    <w:rsid w:val="4F777802"/>
    <w:rsid w:val="4F8021B5"/>
    <w:rsid w:val="4F802FB7"/>
    <w:rsid w:val="4F836AB1"/>
    <w:rsid w:val="4F8528CF"/>
    <w:rsid w:val="4F874970"/>
    <w:rsid w:val="4F876B84"/>
    <w:rsid w:val="4F881420"/>
    <w:rsid w:val="4F8A5C65"/>
    <w:rsid w:val="4F8C1883"/>
    <w:rsid w:val="4F9046EA"/>
    <w:rsid w:val="4F961491"/>
    <w:rsid w:val="4F9843DC"/>
    <w:rsid w:val="4F9B705D"/>
    <w:rsid w:val="4F9D034C"/>
    <w:rsid w:val="4F9E7C95"/>
    <w:rsid w:val="4FA8000F"/>
    <w:rsid w:val="4FA934EC"/>
    <w:rsid w:val="4FAA3E3A"/>
    <w:rsid w:val="4FB37B2E"/>
    <w:rsid w:val="4FBB56A4"/>
    <w:rsid w:val="4FBF2D7C"/>
    <w:rsid w:val="4FC0105E"/>
    <w:rsid w:val="4FC0356F"/>
    <w:rsid w:val="4FC14171"/>
    <w:rsid w:val="4FC62A8C"/>
    <w:rsid w:val="4FC62B53"/>
    <w:rsid w:val="4FC648D4"/>
    <w:rsid w:val="4FC751DB"/>
    <w:rsid w:val="4FC75C4D"/>
    <w:rsid w:val="4FC7684A"/>
    <w:rsid w:val="4FC83DA3"/>
    <w:rsid w:val="4FC92A34"/>
    <w:rsid w:val="4FCA1F46"/>
    <w:rsid w:val="4FCF3305"/>
    <w:rsid w:val="4FCF6C8C"/>
    <w:rsid w:val="4FD111E2"/>
    <w:rsid w:val="4FD3586D"/>
    <w:rsid w:val="4FDA0431"/>
    <w:rsid w:val="4FDB6161"/>
    <w:rsid w:val="4FDC5AEF"/>
    <w:rsid w:val="4FDD2611"/>
    <w:rsid w:val="4FDD4276"/>
    <w:rsid w:val="4FE20E9A"/>
    <w:rsid w:val="4FE20F0D"/>
    <w:rsid w:val="4FE377A2"/>
    <w:rsid w:val="4FE51552"/>
    <w:rsid w:val="4FE522EB"/>
    <w:rsid w:val="4FE97370"/>
    <w:rsid w:val="4FE974BB"/>
    <w:rsid w:val="4FEA477C"/>
    <w:rsid w:val="4FF56416"/>
    <w:rsid w:val="4FF7192C"/>
    <w:rsid w:val="4FF85EF1"/>
    <w:rsid w:val="4FFB1B06"/>
    <w:rsid w:val="500638CC"/>
    <w:rsid w:val="50091DB4"/>
    <w:rsid w:val="500B6CCE"/>
    <w:rsid w:val="500D4F24"/>
    <w:rsid w:val="500E3FBA"/>
    <w:rsid w:val="500E49B8"/>
    <w:rsid w:val="500F024B"/>
    <w:rsid w:val="50137FA4"/>
    <w:rsid w:val="50234620"/>
    <w:rsid w:val="50265850"/>
    <w:rsid w:val="50274B98"/>
    <w:rsid w:val="50281D8A"/>
    <w:rsid w:val="502C0F9F"/>
    <w:rsid w:val="50316053"/>
    <w:rsid w:val="50320DE0"/>
    <w:rsid w:val="50331BD4"/>
    <w:rsid w:val="50386D31"/>
    <w:rsid w:val="503C42E3"/>
    <w:rsid w:val="503D2902"/>
    <w:rsid w:val="50401009"/>
    <w:rsid w:val="50475C05"/>
    <w:rsid w:val="504F18E6"/>
    <w:rsid w:val="504F34BC"/>
    <w:rsid w:val="50504C4B"/>
    <w:rsid w:val="50560494"/>
    <w:rsid w:val="50592634"/>
    <w:rsid w:val="505B2C8F"/>
    <w:rsid w:val="505D1640"/>
    <w:rsid w:val="505F108C"/>
    <w:rsid w:val="505F6A46"/>
    <w:rsid w:val="50612680"/>
    <w:rsid w:val="50634326"/>
    <w:rsid w:val="506C501E"/>
    <w:rsid w:val="506F1C21"/>
    <w:rsid w:val="507550B4"/>
    <w:rsid w:val="507726C4"/>
    <w:rsid w:val="507A7A7F"/>
    <w:rsid w:val="508408E5"/>
    <w:rsid w:val="50873EA2"/>
    <w:rsid w:val="508C18CD"/>
    <w:rsid w:val="508F20BC"/>
    <w:rsid w:val="508F4521"/>
    <w:rsid w:val="508F62B2"/>
    <w:rsid w:val="5092161B"/>
    <w:rsid w:val="509260B7"/>
    <w:rsid w:val="50956600"/>
    <w:rsid w:val="509930DC"/>
    <w:rsid w:val="509A0A12"/>
    <w:rsid w:val="509A695A"/>
    <w:rsid w:val="509B28BD"/>
    <w:rsid w:val="509C6E7C"/>
    <w:rsid w:val="509D186C"/>
    <w:rsid w:val="50A73D42"/>
    <w:rsid w:val="50AA5672"/>
    <w:rsid w:val="50AD5C09"/>
    <w:rsid w:val="50B33234"/>
    <w:rsid w:val="50B6378B"/>
    <w:rsid w:val="50BC2798"/>
    <w:rsid w:val="50C01BEA"/>
    <w:rsid w:val="50C01C8E"/>
    <w:rsid w:val="50C404D6"/>
    <w:rsid w:val="50C47BF6"/>
    <w:rsid w:val="50C547C7"/>
    <w:rsid w:val="50C92989"/>
    <w:rsid w:val="50D34D47"/>
    <w:rsid w:val="50D40B6F"/>
    <w:rsid w:val="50D71570"/>
    <w:rsid w:val="50DB781E"/>
    <w:rsid w:val="50E528E2"/>
    <w:rsid w:val="50E8209B"/>
    <w:rsid w:val="50E95AFF"/>
    <w:rsid w:val="50EA7FC8"/>
    <w:rsid w:val="50EE7BA5"/>
    <w:rsid w:val="50F636AD"/>
    <w:rsid w:val="50F8366E"/>
    <w:rsid w:val="50FC5DCA"/>
    <w:rsid w:val="50FD0E5F"/>
    <w:rsid w:val="510D018E"/>
    <w:rsid w:val="51126B41"/>
    <w:rsid w:val="51151AB2"/>
    <w:rsid w:val="511526DD"/>
    <w:rsid w:val="511E1CED"/>
    <w:rsid w:val="51213E33"/>
    <w:rsid w:val="51236146"/>
    <w:rsid w:val="51243EBA"/>
    <w:rsid w:val="512529EA"/>
    <w:rsid w:val="512642E3"/>
    <w:rsid w:val="51265293"/>
    <w:rsid w:val="512B4074"/>
    <w:rsid w:val="512B678F"/>
    <w:rsid w:val="512C3C9C"/>
    <w:rsid w:val="512E6117"/>
    <w:rsid w:val="512F2E4B"/>
    <w:rsid w:val="513300B5"/>
    <w:rsid w:val="513A1F56"/>
    <w:rsid w:val="514119C9"/>
    <w:rsid w:val="5144252E"/>
    <w:rsid w:val="514A0E70"/>
    <w:rsid w:val="514C1A5E"/>
    <w:rsid w:val="514C1AFA"/>
    <w:rsid w:val="514E50C5"/>
    <w:rsid w:val="514E7974"/>
    <w:rsid w:val="5150748B"/>
    <w:rsid w:val="51540ADE"/>
    <w:rsid w:val="515456AD"/>
    <w:rsid w:val="515624D1"/>
    <w:rsid w:val="51591D59"/>
    <w:rsid w:val="515B42F0"/>
    <w:rsid w:val="515D544A"/>
    <w:rsid w:val="515E7E17"/>
    <w:rsid w:val="51610208"/>
    <w:rsid w:val="516161FF"/>
    <w:rsid w:val="5162104E"/>
    <w:rsid w:val="51694D9C"/>
    <w:rsid w:val="516F6160"/>
    <w:rsid w:val="51707D17"/>
    <w:rsid w:val="5171059A"/>
    <w:rsid w:val="51751E31"/>
    <w:rsid w:val="517708DF"/>
    <w:rsid w:val="517739F7"/>
    <w:rsid w:val="517D58EB"/>
    <w:rsid w:val="51860E58"/>
    <w:rsid w:val="51891830"/>
    <w:rsid w:val="518A4E7D"/>
    <w:rsid w:val="518B5A51"/>
    <w:rsid w:val="518F52BE"/>
    <w:rsid w:val="51915922"/>
    <w:rsid w:val="519C7309"/>
    <w:rsid w:val="51A276B2"/>
    <w:rsid w:val="51A309BD"/>
    <w:rsid w:val="51A76AA2"/>
    <w:rsid w:val="51A81F5C"/>
    <w:rsid w:val="51AE31F7"/>
    <w:rsid w:val="51B120A1"/>
    <w:rsid w:val="51B25C2B"/>
    <w:rsid w:val="51B45BE0"/>
    <w:rsid w:val="51B521E2"/>
    <w:rsid w:val="51B63857"/>
    <w:rsid w:val="51B9743C"/>
    <w:rsid w:val="51BB24A6"/>
    <w:rsid w:val="51C07EE1"/>
    <w:rsid w:val="51C15031"/>
    <w:rsid w:val="51C34CE7"/>
    <w:rsid w:val="51C9671C"/>
    <w:rsid w:val="51CA5FD7"/>
    <w:rsid w:val="51CD5CBE"/>
    <w:rsid w:val="51CE7508"/>
    <w:rsid w:val="51CF62E9"/>
    <w:rsid w:val="51D01BB0"/>
    <w:rsid w:val="51D32BA9"/>
    <w:rsid w:val="51D83EE9"/>
    <w:rsid w:val="51E126C0"/>
    <w:rsid w:val="51E31518"/>
    <w:rsid w:val="51E66DCB"/>
    <w:rsid w:val="51EB7AD9"/>
    <w:rsid w:val="51EC1875"/>
    <w:rsid w:val="51EE409B"/>
    <w:rsid w:val="51F40E90"/>
    <w:rsid w:val="51F51E2B"/>
    <w:rsid w:val="51F873A1"/>
    <w:rsid w:val="51F93489"/>
    <w:rsid w:val="51F93626"/>
    <w:rsid w:val="51FD121A"/>
    <w:rsid w:val="51FE0D21"/>
    <w:rsid w:val="52027303"/>
    <w:rsid w:val="52034393"/>
    <w:rsid w:val="5205391C"/>
    <w:rsid w:val="52077EC2"/>
    <w:rsid w:val="520A3733"/>
    <w:rsid w:val="52107F50"/>
    <w:rsid w:val="521B6B05"/>
    <w:rsid w:val="521C0338"/>
    <w:rsid w:val="521E4495"/>
    <w:rsid w:val="52224B08"/>
    <w:rsid w:val="5223686A"/>
    <w:rsid w:val="522474D1"/>
    <w:rsid w:val="52250AF4"/>
    <w:rsid w:val="522D2378"/>
    <w:rsid w:val="522D3709"/>
    <w:rsid w:val="52376B7A"/>
    <w:rsid w:val="5245198C"/>
    <w:rsid w:val="52482495"/>
    <w:rsid w:val="524D3D00"/>
    <w:rsid w:val="524E7B83"/>
    <w:rsid w:val="525525B2"/>
    <w:rsid w:val="525550FF"/>
    <w:rsid w:val="525746B1"/>
    <w:rsid w:val="52582A79"/>
    <w:rsid w:val="525A1DA3"/>
    <w:rsid w:val="525E7FE6"/>
    <w:rsid w:val="52604A83"/>
    <w:rsid w:val="52626C9C"/>
    <w:rsid w:val="526574A4"/>
    <w:rsid w:val="52663835"/>
    <w:rsid w:val="52684DE7"/>
    <w:rsid w:val="52737372"/>
    <w:rsid w:val="52770A93"/>
    <w:rsid w:val="5277558F"/>
    <w:rsid w:val="52810DB4"/>
    <w:rsid w:val="52815D31"/>
    <w:rsid w:val="528531AE"/>
    <w:rsid w:val="52856581"/>
    <w:rsid w:val="528916DA"/>
    <w:rsid w:val="528A1949"/>
    <w:rsid w:val="528D7B81"/>
    <w:rsid w:val="528F113D"/>
    <w:rsid w:val="5291343D"/>
    <w:rsid w:val="52933E44"/>
    <w:rsid w:val="52993C79"/>
    <w:rsid w:val="529B2FE1"/>
    <w:rsid w:val="529C1D54"/>
    <w:rsid w:val="529F5A31"/>
    <w:rsid w:val="529F6534"/>
    <w:rsid w:val="52A54925"/>
    <w:rsid w:val="52A67362"/>
    <w:rsid w:val="52A926BD"/>
    <w:rsid w:val="52A93160"/>
    <w:rsid w:val="52AA4110"/>
    <w:rsid w:val="52AB21FE"/>
    <w:rsid w:val="52AD057D"/>
    <w:rsid w:val="52B14A27"/>
    <w:rsid w:val="52B644A4"/>
    <w:rsid w:val="52B801CD"/>
    <w:rsid w:val="52B951A5"/>
    <w:rsid w:val="52BB55BA"/>
    <w:rsid w:val="52C312A0"/>
    <w:rsid w:val="52C862A1"/>
    <w:rsid w:val="52CB5987"/>
    <w:rsid w:val="52CE2C63"/>
    <w:rsid w:val="52CE2DDD"/>
    <w:rsid w:val="52D02B47"/>
    <w:rsid w:val="52D53948"/>
    <w:rsid w:val="52DA054A"/>
    <w:rsid w:val="52DD331B"/>
    <w:rsid w:val="52DD731C"/>
    <w:rsid w:val="52DD7C89"/>
    <w:rsid w:val="52DF055B"/>
    <w:rsid w:val="52E02B93"/>
    <w:rsid w:val="52E26FB5"/>
    <w:rsid w:val="52E333FA"/>
    <w:rsid w:val="52E409A0"/>
    <w:rsid w:val="52E44A95"/>
    <w:rsid w:val="52E62152"/>
    <w:rsid w:val="52EB68D4"/>
    <w:rsid w:val="52EF34E3"/>
    <w:rsid w:val="52EF6FF4"/>
    <w:rsid w:val="52F521BB"/>
    <w:rsid w:val="52F73C02"/>
    <w:rsid w:val="52F77380"/>
    <w:rsid w:val="52FC57FA"/>
    <w:rsid w:val="52FD664D"/>
    <w:rsid w:val="52FE6EDD"/>
    <w:rsid w:val="52FF410C"/>
    <w:rsid w:val="530006B3"/>
    <w:rsid w:val="53033AD0"/>
    <w:rsid w:val="53041041"/>
    <w:rsid w:val="53047471"/>
    <w:rsid w:val="53047DAF"/>
    <w:rsid w:val="5309146E"/>
    <w:rsid w:val="530A06B6"/>
    <w:rsid w:val="530B336F"/>
    <w:rsid w:val="530C20A6"/>
    <w:rsid w:val="530C2AF2"/>
    <w:rsid w:val="530C6B66"/>
    <w:rsid w:val="530E7B20"/>
    <w:rsid w:val="53105D18"/>
    <w:rsid w:val="53155E7E"/>
    <w:rsid w:val="53176CCB"/>
    <w:rsid w:val="531943A0"/>
    <w:rsid w:val="531F0332"/>
    <w:rsid w:val="53243C74"/>
    <w:rsid w:val="53273676"/>
    <w:rsid w:val="53325163"/>
    <w:rsid w:val="53327EB0"/>
    <w:rsid w:val="5335671F"/>
    <w:rsid w:val="53370F6D"/>
    <w:rsid w:val="533776F1"/>
    <w:rsid w:val="533A39C3"/>
    <w:rsid w:val="533B1D40"/>
    <w:rsid w:val="533B78BD"/>
    <w:rsid w:val="533E0372"/>
    <w:rsid w:val="53425B20"/>
    <w:rsid w:val="53467E07"/>
    <w:rsid w:val="534772E6"/>
    <w:rsid w:val="534802B1"/>
    <w:rsid w:val="53480944"/>
    <w:rsid w:val="534A6631"/>
    <w:rsid w:val="5350703E"/>
    <w:rsid w:val="53537847"/>
    <w:rsid w:val="53563500"/>
    <w:rsid w:val="5359468A"/>
    <w:rsid w:val="536567B2"/>
    <w:rsid w:val="536646DE"/>
    <w:rsid w:val="53664854"/>
    <w:rsid w:val="53672472"/>
    <w:rsid w:val="53680AC8"/>
    <w:rsid w:val="53685359"/>
    <w:rsid w:val="536A1DB0"/>
    <w:rsid w:val="536A1E14"/>
    <w:rsid w:val="536B3DED"/>
    <w:rsid w:val="536E12E9"/>
    <w:rsid w:val="536F204E"/>
    <w:rsid w:val="536F2700"/>
    <w:rsid w:val="53717C00"/>
    <w:rsid w:val="537614A3"/>
    <w:rsid w:val="5381491A"/>
    <w:rsid w:val="53845D49"/>
    <w:rsid w:val="538553C6"/>
    <w:rsid w:val="538A46D6"/>
    <w:rsid w:val="538F76A0"/>
    <w:rsid w:val="53936CE0"/>
    <w:rsid w:val="53961389"/>
    <w:rsid w:val="539B68A4"/>
    <w:rsid w:val="53A039CC"/>
    <w:rsid w:val="53A1505A"/>
    <w:rsid w:val="53A835D6"/>
    <w:rsid w:val="53AB489D"/>
    <w:rsid w:val="53B045E6"/>
    <w:rsid w:val="53B37937"/>
    <w:rsid w:val="53BB7119"/>
    <w:rsid w:val="53BF6414"/>
    <w:rsid w:val="53C30A9C"/>
    <w:rsid w:val="53C47A52"/>
    <w:rsid w:val="53C9733C"/>
    <w:rsid w:val="53CB3E7A"/>
    <w:rsid w:val="53CF5D85"/>
    <w:rsid w:val="53D06FB7"/>
    <w:rsid w:val="53D219C1"/>
    <w:rsid w:val="53D518F2"/>
    <w:rsid w:val="53D55002"/>
    <w:rsid w:val="53D91FF4"/>
    <w:rsid w:val="53E16250"/>
    <w:rsid w:val="53E1729A"/>
    <w:rsid w:val="53E32E7C"/>
    <w:rsid w:val="53E36980"/>
    <w:rsid w:val="53F02B95"/>
    <w:rsid w:val="53F1098B"/>
    <w:rsid w:val="53F44384"/>
    <w:rsid w:val="53F454B4"/>
    <w:rsid w:val="53F771DC"/>
    <w:rsid w:val="53F90856"/>
    <w:rsid w:val="53FA5808"/>
    <w:rsid w:val="53FD5927"/>
    <w:rsid w:val="53FE29C8"/>
    <w:rsid w:val="53FF4EF0"/>
    <w:rsid w:val="54022434"/>
    <w:rsid w:val="54057A13"/>
    <w:rsid w:val="54063E08"/>
    <w:rsid w:val="540809B8"/>
    <w:rsid w:val="54097AA5"/>
    <w:rsid w:val="540F116B"/>
    <w:rsid w:val="541031E1"/>
    <w:rsid w:val="541133B3"/>
    <w:rsid w:val="541211FA"/>
    <w:rsid w:val="54123586"/>
    <w:rsid w:val="541521E5"/>
    <w:rsid w:val="5419499E"/>
    <w:rsid w:val="541A79BD"/>
    <w:rsid w:val="541B0A55"/>
    <w:rsid w:val="541C14B4"/>
    <w:rsid w:val="541E0A8B"/>
    <w:rsid w:val="54212E82"/>
    <w:rsid w:val="54222625"/>
    <w:rsid w:val="5425433B"/>
    <w:rsid w:val="542A472B"/>
    <w:rsid w:val="542A7C08"/>
    <w:rsid w:val="542C7AE6"/>
    <w:rsid w:val="54316E7E"/>
    <w:rsid w:val="54325BF5"/>
    <w:rsid w:val="543437E8"/>
    <w:rsid w:val="54356DFB"/>
    <w:rsid w:val="54390906"/>
    <w:rsid w:val="543B6782"/>
    <w:rsid w:val="543D3532"/>
    <w:rsid w:val="543D5972"/>
    <w:rsid w:val="544002D6"/>
    <w:rsid w:val="54410E60"/>
    <w:rsid w:val="544A2ED3"/>
    <w:rsid w:val="544B17C4"/>
    <w:rsid w:val="544C43CD"/>
    <w:rsid w:val="544E1A86"/>
    <w:rsid w:val="544E306D"/>
    <w:rsid w:val="545267BB"/>
    <w:rsid w:val="5456289A"/>
    <w:rsid w:val="545802D5"/>
    <w:rsid w:val="54581D68"/>
    <w:rsid w:val="545946F2"/>
    <w:rsid w:val="545B1B67"/>
    <w:rsid w:val="545C6E4D"/>
    <w:rsid w:val="54626929"/>
    <w:rsid w:val="546C68A1"/>
    <w:rsid w:val="546C71A8"/>
    <w:rsid w:val="546D33A2"/>
    <w:rsid w:val="546F547E"/>
    <w:rsid w:val="54721176"/>
    <w:rsid w:val="547332B0"/>
    <w:rsid w:val="54762E34"/>
    <w:rsid w:val="54764B1C"/>
    <w:rsid w:val="547809C4"/>
    <w:rsid w:val="547D7C5E"/>
    <w:rsid w:val="547E66F4"/>
    <w:rsid w:val="548124AB"/>
    <w:rsid w:val="54842AD7"/>
    <w:rsid w:val="54865742"/>
    <w:rsid w:val="548679E0"/>
    <w:rsid w:val="548B35F8"/>
    <w:rsid w:val="54917752"/>
    <w:rsid w:val="54924591"/>
    <w:rsid w:val="54930039"/>
    <w:rsid w:val="549B0CC1"/>
    <w:rsid w:val="549B3CD1"/>
    <w:rsid w:val="549D711F"/>
    <w:rsid w:val="549F43BB"/>
    <w:rsid w:val="54A12B05"/>
    <w:rsid w:val="54A73DD1"/>
    <w:rsid w:val="54A81002"/>
    <w:rsid w:val="54A822B8"/>
    <w:rsid w:val="54A83DD4"/>
    <w:rsid w:val="54A96B0F"/>
    <w:rsid w:val="54AB3AA3"/>
    <w:rsid w:val="54AB6E14"/>
    <w:rsid w:val="54AD706E"/>
    <w:rsid w:val="54AF6DEB"/>
    <w:rsid w:val="54B61AE0"/>
    <w:rsid w:val="54BA36B0"/>
    <w:rsid w:val="54BB59D1"/>
    <w:rsid w:val="54BC5921"/>
    <w:rsid w:val="54BD445E"/>
    <w:rsid w:val="54C22731"/>
    <w:rsid w:val="54C65FBD"/>
    <w:rsid w:val="54CD346C"/>
    <w:rsid w:val="54CE081A"/>
    <w:rsid w:val="54CE41B8"/>
    <w:rsid w:val="54D04A51"/>
    <w:rsid w:val="54D31DFA"/>
    <w:rsid w:val="54D70490"/>
    <w:rsid w:val="54D74E94"/>
    <w:rsid w:val="54DA765E"/>
    <w:rsid w:val="54DB0B02"/>
    <w:rsid w:val="54DC5DD3"/>
    <w:rsid w:val="54DD4302"/>
    <w:rsid w:val="54DF52BA"/>
    <w:rsid w:val="54E07E3B"/>
    <w:rsid w:val="54E17914"/>
    <w:rsid w:val="54E4751C"/>
    <w:rsid w:val="54E4755B"/>
    <w:rsid w:val="54E54A60"/>
    <w:rsid w:val="54ED55E8"/>
    <w:rsid w:val="54F05E95"/>
    <w:rsid w:val="54F25B32"/>
    <w:rsid w:val="54F73313"/>
    <w:rsid w:val="54F80955"/>
    <w:rsid w:val="54FA7D9D"/>
    <w:rsid w:val="54FB6CEC"/>
    <w:rsid w:val="54FB751C"/>
    <w:rsid w:val="54FF14AD"/>
    <w:rsid w:val="5503025C"/>
    <w:rsid w:val="550347F3"/>
    <w:rsid w:val="55043171"/>
    <w:rsid w:val="55064379"/>
    <w:rsid w:val="550D3D56"/>
    <w:rsid w:val="551111D3"/>
    <w:rsid w:val="5513522A"/>
    <w:rsid w:val="55135E47"/>
    <w:rsid w:val="55155EFA"/>
    <w:rsid w:val="55166CB8"/>
    <w:rsid w:val="55193669"/>
    <w:rsid w:val="551C6D2D"/>
    <w:rsid w:val="551F0F81"/>
    <w:rsid w:val="551F371B"/>
    <w:rsid w:val="551F501B"/>
    <w:rsid w:val="55221A8A"/>
    <w:rsid w:val="55246B75"/>
    <w:rsid w:val="552736D5"/>
    <w:rsid w:val="552964FD"/>
    <w:rsid w:val="552D16A3"/>
    <w:rsid w:val="55337701"/>
    <w:rsid w:val="55362CA1"/>
    <w:rsid w:val="553956B9"/>
    <w:rsid w:val="553D297A"/>
    <w:rsid w:val="553F112D"/>
    <w:rsid w:val="5546582A"/>
    <w:rsid w:val="554A6A92"/>
    <w:rsid w:val="555170A7"/>
    <w:rsid w:val="55541E01"/>
    <w:rsid w:val="5557262C"/>
    <w:rsid w:val="555F1F43"/>
    <w:rsid w:val="55606069"/>
    <w:rsid w:val="5560739D"/>
    <w:rsid w:val="55607B68"/>
    <w:rsid w:val="5562105A"/>
    <w:rsid w:val="5562597B"/>
    <w:rsid w:val="55662589"/>
    <w:rsid w:val="55700A5F"/>
    <w:rsid w:val="55700F93"/>
    <w:rsid w:val="55710DD1"/>
    <w:rsid w:val="55723EA7"/>
    <w:rsid w:val="55786C24"/>
    <w:rsid w:val="558074DE"/>
    <w:rsid w:val="55813270"/>
    <w:rsid w:val="55820634"/>
    <w:rsid w:val="55854E31"/>
    <w:rsid w:val="5587536D"/>
    <w:rsid w:val="5588287D"/>
    <w:rsid w:val="558A0B4A"/>
    <w:rsid w:val="558B1A78"/>
    <w:rsid w:val="558E125E"/>
    <w:rsid w:val="55912028"/>
    <w:rsid w:val="55925193"/>
    <w:rsid w:val="55936A82"/>
    <w:rsid w:val="55952D6E"/>
    <w:rsid w:val="55966BB3"/>
    <w:rsid w:val="559B174B"/>
    <w:rsid w:val="559B1CE1"/>
    <w:rsid w:val="559B32D8"/>
    <w:rsid w:val="559B58F1"/>
    <w:rsid w:val="559E5974"/>
    <w:rsid w:val="55A1224B"/>
    <w:rsid w:val="55A374CE"/>
    <w:rsid w:val="55A44925"/>
    <w:rsid w:val="55A54824"/>
    <w:rsid w:val="55AC22DF"/>
    <w:rsid w:val="55AE2E0F"/>
    <w:rsid w:val="55B3140C"/>
    <w:rsid w:val="55B36A4A"/>
    <w:rsid w:val="55B95AEE"/>
    <w:rsid w:val="55B95C08"/>
    <w:rsid w:val="55BA27BB"/>
    <w:rsid w:val="55BC30D3"/>
    <w:rsid w:val="55C37B3E"/>
    <w:rsid w:val="55CE0CF4"/>
    <w:rsid w:val="55CF06BA"/>
    <w:rsid w:val="55D30693"/>
    <w:rsid w:val="55D63BA5"/>
    <w:rsid w:val="55D649F7"/>
    <w:rsid w:val="55D77818"/>
    <w:rsid w:val="55D946AC"/>
    <w:rsid w:val="55DE7799"/>
    <w:rsid w:val="55E06D52"/>
    <w:rsid w:val="55E22DA1"/>
    <w:rsid w:val="55E8285D"/>
    <w:rsid w:val="55EE6EEA"/>
    <w:rsid w:val="55F01EF1"/>
    <w:rsid w:val="55F318F5"/>
    <w:rsid w:val="55F55304"/>
    <w:rsid w:val="55F94F4F"/>
    <w:rsid w:val="55FD6C18"/>
    <w:rsid w:val="55FD7444"/>
    <w:rsid w:val="55FF2E28"/>
    <w:rsid w:val="5600627D"/>
    <w:rsid w:val="560100BF"/>
    <w:rsid w:val="560314E2"/>
    <w:rsid w:val="5606213E"/>
    <w:rsid w:val="560E0637"/>
    <w:rsid w:val="560E3FFD"/>
    <w:rsid w:val="560F7193"/>
    <w:rsid w:val="561109BA"/>
    <w:rsid w:val="56173474"/>
    <w:rsid w:val="561916A4"/>
    <w:rsid w:val="56192335"/>
    <w:rsid w:val="561B4D14"/>
    <w:rsid w:val="561D787B"/>
    <w:rsid w:val="56244952"/>
    <w:rsid w:val="562768A3"/>
    <w:rsid w:val="56342E74"/>
    <w:rsid w:val="56344CA4"/>
    <w:rsid w:val="5638226B"/>
    <w:rsid w:val="5641243B"/>
    <w:rsid w:val="56425B0E"/>
    <w:rsid w:val="564276D2"/>
    <w:rsid w:val="5643271B"/>
    <w:rsid w:val="56455CE2"/>
    <w:rsid w:val="56467123"/>
    <w:rsid w:val="564750BF"/>
    <w:rsid w:val="564A0873"/>
    <w:rsid w:val="564C53FD"/>
    <w:rsid w:val="5652470E"/>
    <w:rsid w:val="56580B05"/>
    <w:rsid w:val="56581C3B"/>
    <w:rsid w:val="56586B4A"/>
    <w:rsid w:val="56590152"/>
    <w:rsid w:val="56594010"/>
    <w:rsid w:val="565B68B3"/>
    <w:rsid w:val="565C0A3E"/>
    <w:rsid w:val="56610D5F"/>
    <w:rsid w:val="566329D6"/>
    <w:rsid w:val="566415A7"/>
    <w:rsid w:val="56643821"/>
    <w:rsid w:val="566638B6"/>
    <w:rsid w:val="56673E02"/>
    <w:rsid w:val="56710C12"/>
    <w:rsid w:val="56712DB3"/>
    <w:rsid w:val="5671702C"/>
    <w:rsid w:val="56736CFA"/>
    <w:rsid w:val="56746E1A"/>
    <w:rsid w:val="56750E1D"/>
    <w:rsid w:val="56760681"/>
    <w:rsid w:val="56762453"/>
    <w:rsid w:val="56815E2F"/>
    <w:rsid w:val="569445FC"/>
    <w:rsid w:val="569476F7"/>
    <w:rsid w:val="569604DE"/>
    <w:rsid w:val="56992208"/>
    <w:rsid w:val="569A02FF"/>
    <w:rsid w:val="569A065D"/>
    <w:rsid w:val="569D4ABF"/>
    <w:rsid w:val="56A25E7F"/>
    <w:rsid w:val="56A33C3A"/>
    <w:rsid w:val="56A604B6"/>
    <w:rsid w:val="56A71DB4"/>
    <w:rsid w:val="56AD5D62"/>
    <w:rsid w:val="56AE007E"/>
    <w:rsid w:val="56B14FB9"/>
    <w:rsid w:val="56B22A9C"/>
    <w:rsid w:val="56BD72CD"/>
    <w:rsid w:val="56C67E35"/>
    <w:rsid w:val="56C70877"/>
    <w:rsid w:val="56C937AB"/>
    <w:rsid w:val="56CA4B03"/>
    <w:rsid w:val="56CB32FA"/>
    <w:rsid w:val="56CB4B94"/>
    <w:rsid w:val="56D4291E"/>
    <w:rsid w:val="56D432A0"/>
    <w:rsid w:val="56DA1CFD"/>
    <w:rsid w:val="56DE35E0"/>
    <w:rsid w:val="56DE57CE"/>
    <w:rsid w:val="56DF00EC"/>
    <w:rsid w:val="56DF3523"/>
    <w:rsid w:val="56E071A4"/>
    <w:rsid w:val="56E11482"/>
    <w:rsid w:val="56E13D5F"/>
    <w:rsid w:val="56E6419C"/>
    <w:rsid w:val="56EE3BE2"/>
    <w:rsid w:val="56F0417C"/>
    <w:rsid w:val="56F07562"/>
    <w:rsid w:val="56F53544"/>
    <w:rsid w:val="56FD509A"/>
    <w:rsid w:val="56FE365E"/>
    <w:rsid w:val="56FE6C8C"/>
    <w:rsid w:val="570054E6"/>
    <w:rsid w:val="5704537A"/>
    <w:rsid w:val="570541CF"/>
    <w:rsid w:val="57077E79"/>
    <w:rsid w:val="57095C21"/>
    <w:rsid w:val="570A2504"/>
    <w:rsid w:val="570E3BC0"/>
    <w:rsid w:val="57102B76"/>
    <w:rsid w:val="57135740"/>
    <w:rsid w:val="57146987"/>
    <w:rsid w:val="571A5293"/>
    <w:rsid w:val="571B3E15"/>
    <w:rsid w:val="571E1362"/>
    <w:rsid w:val="572A5ABE"/>
    <w:rsid w:val="572A6F57"/>
    <w:rsid w:val="572A70DE"/>
    <w:rsid w:val="57301048"/>
    <w:rsid w:val="573071FD"/>
    <w:rsid w:val="573120DF"/>
    <w:rsid w:val="57341C37"/>
    <w:rsid w:val="57375309"/>
    <w:rsid w:val="57375FDD"/>
    <w:rsid w:val="57376FBF"/>
    <w:rsid w:val="57382C94"/>
    <w:rsid w:val="57394FA9"/>
    <w:rsid w:val="57461BB9"/>
    <w:rsid w:val="57465480"/>
    <w:rsid w:val="57477A9B"/>
    <w:rsid w:val="57487D89"/>
    <w:rsid w:val="57495948"/>
    <w:rsid w:val="5749689F"/>
    <w:rsid w:val="574B4E93"/>
    <w:rsid w:val="574D77D8"/>
    <w:rsid w:val="575027A6"/>
    <w:rsid w:val="57520C9E"/>
    <w:rsid w:val="5752654C"/>
    <w:rsid w:val="57533298"/>
    <w:rsid w:val="5755088D"/>
    <w:rsid w:val="57551FB5"/>
    <w:rsid w:val="575A0F05"/>
    <w:rsid w:val="575B40A7"/>
    <w:rsid w:val="575B65EA"/>
    <w:rsid w:val="575D45CB"/>
    <w:rsid w:val="575E4AE9"/>
    <w:rsid w:val="576025E5"/>
    <w:rsid w:val="57615BF2"/>
    <w:rsid w:val="57647A89"/>
    <w:rsid w:val="576540A4"/>
    <w:rsid w:val="576D1BC6"/>
    <w:rsid w:val="576D64B3"/>
    <w:rsid w:val="57706AA0"/>
    <w:rsid w:val="577B5BE9"/>
    <w:rsid w:val="577C4671"/>
    <w:rsid w:val="577C5143"/>
    <w:rsid w:val="57854D63"/>
    <w:rsid w:val="578D175A"/>
    <w:rsid w:val="578D51AA"/>
    <w:rsid w:val="579143B7"/>
    <w:rsid w:val="5792048E"/>
    <w:rsid w:val="5798565A"/>
    <w:rsid w:val="579C3E24"/>
    <w:rsid w:val="579D1FB7"/>
    <w:rsid w:val="57A02A28"/>
    <w:rsid w:val="57AB0995"/>
    <w:rsid w:val="57AB3A11"/>
    <w:rsid w:val="57AB5BED"/>
    <w:rsid w:val="57AF442F"/>
    <w:rsid w:val="57B042BB"/>
    <w:rsid w:val="57B13C22"/>
    <w:rsid w:val="57B54E3A"/>
    <w:rsid w:val="57B5534B"/>
    <w:rsid w:val="57B6401F"/>
    <w:rsid w:val="57B72A76"/>
    <w:rsid w:val="57BD3895"/>
    <w:rsid w:val="57BD798A"/>
    <w:rsid w:val="57C071C4"/>
    <w:rsid w:val="57C3426C"/>
    <w:rsid w:val="57C42404"/>
    <w:rsid w:val="57C52A9E"/>
    <w:rsid w:val="57C6613A"/>
    <w:rsid w:val="57C747CB"/>
    <w:rsid w:val="57CA743F"/>
    <w:rsid w:val="57CE1F93"/>
    <w:rsid w:val="57D058C5"/>
    <w:rsid w:val="57D24321"/>
    <w:rsid w:val="57D80763"/>
    <w:rsid w:val="57D97E31"/>
    <w:rsid w:val="57DA7C8D"/>
    <w:rsid w:val="57DB0AAA"/>
    <w:rsid w:val="57DC42D7"/>
    <w:rsid w:val="57DE3A69"/>
    <w:rsid w:val="57DE60DC"/>
    <w:rsid w:val="57E05F02"/>
    <w:rsid w:val="57E4372C"/>
    <w:rsid w:val="57EA3AB6"/>
    <w:rsid w:val="57ED0E32"/>
    <w:rsid w:val="57FD7DA8"/>
    <w:rsid w:val="5804431A"/>
    <w:rsid w:val="5805789F"/>
    <w:rsid w:val="580613B1"/>
    <w:rsid w:val="580B5442"/>
    <w:rsid w:val="580E252E"/>
    <w:rsid w:val="580F449C"/>
    <w:rsid w:val="581320E8"/>
    <w:rsid w:val="58182623"/>
    <w:rsid w:val="58185117"/>
    <w:rsid w:val="5819101C"/>
    <w:rsid w:val="581B7AC5"/>
    <w:rsid w:val="581D38E5"/>
    <w:rsid w:val="581F1F01"/>
    <w:rsid w:val="581F485B"/>
    <w:rsid w:val="5821783C"/>
    <w:rsid w:val="58221468"/>
    <w:rsid w:val="58270BBC"/>
    <w:rsid w:val="582A41B2"/>
    <w:rsid w:val="582F57CF"/>
    <w:rsid w:val="5837015B"/>
    <w:rsid w:val="583A5BE7"/>
    <w:rsid w:val="58412AE2"/>
    <w:rsid w:val="58423EB8"/>
    <w:rsid w:val="584371A6"/>
    <w:rsid w:val="58437842"/>
    <w:rsid w:val="5844469C"/>
    <w:rsid w:val="58496F00"/>
    <w:rsid w:val="584D3CDA"/>
    <w:rsid w:val="584E6287"/>
    <w:rsid w:val="585B050A"/>
    <w:rsid w:val="585B5D7A"/>
    <w:rsid w:val="585B646A"/>
    <w:rsid w:val="585F117C"/>
    <w:rsid w:val="58603347"/>
    <w:rsid w:val="58614C1E"/>
    <w:rsid w:val="586655C7"/>
    <w:rsid w:val="586B340D"/>
    <w:rsid w:val="587049D9"/>
    <w:rsid w:val="58712447"/>
    <w:rsid w:val="58736B47"/>
    <w:rsid w:val="587826C4"/>
    <w:rsid w:val="5878697E"/>
    <w:rsid w:val="587F3181"/>
    <w:rsid w:val="58813830"/>
    <w:rsid w:val="58814E6C"/>
    <w:rsid w:val="58835F29"/>
    <w:rsid w:val="58866108"/>
    <w:rsid w:val="588743D1"/>
    <w:rsid w:val="5887701A"/>
    <w:rsid w:val="588B57B8"/>
    <w:rsid w:val="588C6FFE"/>
    <w:rsid w:val="588F3C1F"/>
    <w:rsid w:val="589558A4"/>
    <w:rsid w:val="58975D1B"/>
    <w:rsid w:val="589D316B"/>
    <w:rsid w:val="589E4284"/>
    <w:rsid w:val="58A22786"/>
    <w:rsid w:val="58A408F5"/>
    <w:rsid w:val="58AE7B8D"/>
    <w:rsid w:val="58B36A7C"/>
    <w:rsid w:val="58B8154B"/>
    <w:rsid w:val="58B94751"/>
    <w:rsid w:val="58BA6201"/>
    <w:rsid w:val="58C0783A"/>
    <w:rsid w:val="58C27305"/>
    <w:rsid w:val="58C655F2"/>
    <w:rsid w:val="58CA5CC7"/>
    <w:rsid w:val="58D2576F"/>
    <w:rsid w:val="58D5662E"/>
    <w:rsid w:val="58DA5312"/>
    <w:rsid w:val="58E0496C"/>
    <w:rsid w:val="58E22736"/>
    <w:rsid w:val="58E301F0"/>
    <w:rsid w:val="58E426AC"/>
    <w:rsid w:val="58E50B67"/>
    <w:rsid w:val="58E53B8F"/>
    <w:rsid w:val="58E75358"/>
    <w:rsid w:val="58E854BC"/>
    <w:rsid w:val="58EC5A4F"/>
    <w:rsid w:val="58EF2A10"/>
    <w:rsid w:val="58F430FA"/>
    <w:rsid w:val="58FD40FC"/>
    <w:rsid w:val="590247F2"/>
    <w:rsid w:val="5908301E"/>
    <w:rsid w:val="590D4D95"/>
    <w:rsid w:val="590E20E1"/>
    <w:rsid w:val="590F75A0"/>
    <w:rsid w:val="59102EB9"/>
    <w:rsid w:val="59102F00"/>
    <w:rsid w:val="5913609A"/>
    <w:rsid w:val="59174CDC"/>
    <w:rsid w:val="59190EB5"/>
    <w:rsid w:val="591A2D62"/>
    <w:rsid w:val="59211361"/>
    <w:rsid w:val="59243238"/>
    <w:rsid w:val="592448C5"/>
    <w:rsid w:val="59245D09"/>
    <w:rsid w:val="59272B12"/>
    <w:rsid w:val="59277FD5"/>
    <w:rsid w:val="592F3E3E"/>
    <w:rsid w:val="592F7E8C"/>
    <w:rsid w:val="59301D1F"/>
    <w:rsid w:val="5931135E"/>
    <w:rsid w:val="59321DF7"/>
    <w:rsid w:val="593472A2"/>
    <w:rsid w:val="593776C9"/>
    <w:rsid w:val="59397966"/>
    <w:rsid w:val="594037CD"/>
    <w:rsid w:val="59413EAF"/>
    <w:rsid w:val="5946612F"/>
    <w:rsid w:val="59484507"/>
    <w:rsid w:val="594931FA"/>
    <w:rsid w:val="594C1AF4"/>
    <w:rsid w:val="594E22D8"/>
    <w:rsid w:val="595162CA"/>
    <w:rsid w:val="5952097E"/>
    <w:rsid w:val="595944F9"/>
    <w:rsid w:val="595A3177"/>
    <w:rsid w:val="595C3CF8"/>
    <w:rsid w:val="595F487C"/>
    <w:rsid w:val="59603EA6"/>
    <w:rsid w:val="59623797"/>
    <w:rsid w:val="596753DB"/>
    <w:rsid w:val="59691E69"/>
    <w:rsid w:val="596B105D"/>
    <w:rsid w:val="59702986"/>
    <w:rsid w:val="5970419B"/>
    <w:rsid w:val="59731AED"/>
    <w:rsid w:val="59791DCC"/>
    <w:rsid w:val="597B62DE"/>
    <w:rsid w:val="597E3492"/>
    <w:rsid w:val="59806D3E"/>
    <w:rsid w:val="5984088B"/>
    <w:rsid w:val="59864338"/>
    <w:rsid w:val="598A409B"/>
    <w:rsid w:val="598D0AA0"/>
    <w:rsid w:val="598D0BB5"/>
    <w:rsid w:val="5992558D"/>
    <w:rsid w:val="599350D6"/>
    <w:rsid w:val="59957F65"/>
    <w:rsid w:val="59971053"/>
    <w:rsid w:val="5997502B"/>
    <w:rsid w:val="59976928"/>
    <w:rsid w:val="59A40923"/>
    <w:rsid w:val="59AA271E"/>
    <w:rsid w:val="59B55D41"/>
    <w:rsid w:val="59B72657"/>
    <w:rsid w:val="59B870B4"/>
    <w:rsid w:val="59B9191B"/>
    <w:rsid w:val="59BE22B5"/>
    <w:rsid w:val="59BE7B81"/>
    <w:rsid w:val="59C0439F"/>
    <w:rsid w:val="59C11BCB"/>
    <w:rsid w:val="59C13C9B"/>
    <w:rsid w:val="59C32C77"/>
    <w:rsid w:val="59C95EDA"/>
    <w:rsid w:val="59D00AA0"/>
    <w:rsid w:val="59D327EC"/>
    <w:rsid w:val="59D32E16"/>
    <w:rsid w:val="59D85E82"/>
    <w:rsid w:val="59DD0E2D"/>
    <w:rsid w:val="59DE3567"/>
    <w:rsid w:val="59E03217"/>
    <w:rsid w:val="59E15C6E"/>
    <w:rsid w:val="59E91C3F"/>
    <w:rsid w:val="59EB082E"/>
    <w:rsid w:val="59EC42B0"/>
    <w:rsid w:val="59EF48AE"/>
    <w:rsid w:val="59F06194"/>
    <w:rsid w:val="59F41C5C"/>
    <w:rsid w:val="59F76DCD"/>
    <w:rsid w:val="59FC2AE1"/>
    <w:rsid w:val="59FD6A6F"/>
    <w:rsid w:val="5A04604B"/>
    <w:rsid w:val="5A061F53"/>
    <w:rsid w:val="5A122007"/>
    <w:rsid w:val="5A14455E"/>
    <w:rsid w:val="5A1552CD"/>
    <w:rsid w:val="5A1711E5"/>
    <w:rsid w:val="5A187B34"/>
    <w:rsid w:val="5A1F1B11"/>
    <w:rsid w:val="5A1F5027"/>
    <w:rsid w:val="5A203FC3"/>
    <w:rsid w:val="5A283389"/>
    <w:rsid w:val="5A2C6960"/>
    <w:rsid w:val="5A2E626A"/>
    <w:rsid w:val="5A2F0F0A"/>
    <w:rsid w:val="5A2F5D79"/>
    <w:rsid w:val="5A3364D0"/>
    <w:rsid w:val="5A3D6E92"/>
    <w:rsid w:val="5A3F64B8"/>
    <w:rsid w:val="5A404726"/>
    <w:rsid w:val="5A4A59F9"/>
    <w:rsid w:val="5A4E0FAE"/>
    <w:rsid w:val="5A5C3ECB"/>
    <w:rsid w:val="5A602790"/>
    <w:rsid w:val="5A606607"/>
    <w:rsid w:val="5A64338D"/>
    <w:rsid w:val="5A653B1A"/>
    <w:rsid w:val="5A664424"/>
    <w:rsid w:val="5A6A1FC9"/>
    <w:rsid w:val="5A6B6FE2"/>
    <w:rsid w:val="5A6C2ACC"/>
    <w:rsid w:val="5A70155F"/>
    <w:rsid w:val="5A7046D9"/>
    <w:rsid w:val="5A706992"/>
    <w:rsid w:val="5A716498"/>
    <w:rsid w:val="5A7A18FB"/>
    <w:rsid w:val="5A7C1C91"/>
    <w:rsid w:val="5A7E145D"/>
    <w:rsid w:val="5A7F3E34"/>
    <w:rsid w:val="5A86557B"/>
    <w:rsid w:val="5A8854CB"/>
    <w:rsid w:val="5A8B207A"/>
    <w:rsid w:val="5A8E1B47"/>
    <w:rsid w:val="5A901383"/>
    <w:rsid w:val="5A906557"/>
    <w:rsid w:val="5A913730"/>
    <w:rsid w:val="5A9231D4"/>
    <w:rsid w:val="5A955C5B"/>
    <w:rsid w:val="5A957096"/>
    <w:rsid w:val="5A976B04"/>
    <w:rsid w:val="5A9C4C47"/>
    <w:rsid w:val="5A9D6BB7"/>
    <w:rsid w:val="5A9E5C88"/>
    <w:rsid w:val="5AA51D8D"/>
    <w:rsid w:val="5AAA6741"/>
    <w:rsid w:val="5AAA6DD2"/>
    <w:rsid w:val="5AAB358B"/>
    <w:rsid w:val="5AAC72AC"/>
    <w:rsid w:val="5AAD44C0"/>
    <w:rsid w:val="5AAF1A14"/>
    <w:rsid w:val="5AAF5D1A"/>
    <w:rsid w:val="5AB033F9"/>
    <w:rsid w:val="5AB10154"/>
    <w:rsid w:val="5AB5459B"/>
    <w:rsid w:val="5AB67192"/>
    <w:rsid w:val="5ABB33A3"/>
    <w:rsid w:val="5ABC2D60"/>
    <w:rsid w:val="5ABC3616"/>
    <w:rsid w:val="5ABE2233"/>
    <w:rsid w:val="5ABE627B"/>
    <w:rsid w:val="5AC1557D"/>
    <w:rsid w:val="5AC65EE5"/>
    <w:rsid w:val="5ACA7749"/>
    <w:rsid w:val="5AD25FDA"/>
    <w:rsid w:val="5AD46999"/>
    <w:rsid w:val="5AD644CB"/>
    <w:rsid w:val="5AD778F5"/>
    <w:rsid w:val="5AD93468"/>
    <w:rsid w:val="5ADD177E"/>
    <w:rsid w:val="5ADD5A52"/>
    <w:rsid w:val="5ADF28B3"/>
    <w:rsid w:val="5ADF37A6"/>
    <w:rsid w:val="5ADF60B3"/>
    <w:rsid w:val="5AE0041B"/>
    <w:rsid w:val="5AE00745"/>
    <w:rsid w:val="5AE0602A"/>
    <w:rsid w:val="5AE273B3"/>
    <w:rsid w:val="5AE30F4C"/>
    <w:rsid w:val="5AE542E7"/>
    <w:rsid w:val="5AEA7395"/>
    <w:rsid w:val="5AEC1629"/>
    <w:rsid w:val="5AEC78D9"/>
    <w:rsid w:val="5AF102AB"/>
    <w:rsid w:val="5AF13525"/>
    <w:rsid w:val="5AF35799"/>
    <w:rsid w:val="5AF668AF"/>
    <w:rsid w:val="5AFA42E1"/>
    <w:rsid w:val="5B02603D"/>
    <w:rsid w:val="5B071789"/>
    <w:rsid w:val="5B0A770F"/>
    <w:rsid w:val="5B0C196B"/>
    <w:rsid w:val="5B0C432B"/>
    <w:rsid w:val="5B110D9A"/>
    <w:rsid w:val="5B1349C0"/>
    <w:rsid w:val="5B18653B"/>
    <w:rsid w:val="5B1B08CB"/>
    <w:rsid w:val="5B1C604D"/>
    <w:rsid w:val="5B2008E5"/>
    <w:rsid w:val="5B2068EC"/>
    <w:rsid w:val="5B2A2FE2"/>
    <w:rsid w:val="5B2B3F5A"/>
    <w:rsid w:val="5B2D152B"/>
    <w:rsid w:val="5B30062E"/>
    <w:rsid w:val="5B323407"/>
    <w:rsid w:val="5B390106"/>
    <w:rsid w:val="5B401381"/>
    <w:rsid w:val="5B462679"/>
    <w:rsid w:val="5B476A07"/>
    <w:rsid w:val="5B541439"/>
    <w:rsid w:val="5B571811"/>
    <w:rsid w:val="5B587F72"/>
    <w:rsid w:val="5B595AF8"/>
    <w:rsid w:val="5B5A274C"/>
    <w:rsid w:val="5B6329FB"/>
    <w:rsid w:val="5B7216C7"/>
    <w:rsid w:val="5B7A099B"/>
    <w:rsid w:val="5B7B5D7F"/>
    <w:rsid w:val="5B7C49D8"/>
    <w:rsid w:val="5B830C2E"/>
    <w:rsid w:val="5B846FB3"/>
    <w:rsid w:val="5B8567A7"/>
    <w:rsid w:val="5B8A2E95"/>
    <w:rsid w:val="5B8E373C"/>
    <w:rsid w:val="5B900344"/>
    <w:rsid w:val="5B975E60"/>
    <w:rsid w:val="5B983CEC"/>
    <w:rsid w:val="5B9A6FEE"/>
    <w:rsid w:val="5B9C75EC"/>
    <w:rsid w:val="5B9C7E1A"/>
    <w:rsid w:val="5B9D50D3"/>
    <w:rsid w:val="5BA35DE7"/>
    <w:rsid w:val="5BA74BDA"/>
    <w:rsid w:val="5BA74E8B"/>
    <w:rsid w:val="5BAD00DC"/>
    <w:rsid w:val="5BB21CA0"/>
    <w:rsid w:val="5BB273DA"/>
    <w:rsid w:val="5BB551DF"/>
    <w:rsid w:val="5BB60535"/>
    <w:rsid w:val="5BB6583F"/>
    <w:rsid w:val="5BC858DA"/>
    <w:rsid w:val="5BCA6111"/>
    <w:rsid w:val="5BCB6378"/>
    <w:rsid w:val="5BD14610"/>
    <w:rsid w:val="5BD26ED2"/>
    <w:rsid w:val="5BD43C43"/>
    <w:rsid w:val="5BD93777"/>
    <w:rsid w:val="5BD94A46"/>
    <w:rsid w:val="5BDB262A"/>
    <w:rsid w:val="5BDD466E"/>
    <w:rsid w:val="5BDE0228"/>
    <w:rsid w:val="5BDF5D95"/>
    <w:rsid w:val="5BE16174"/>
    <w:rsid w:val="5BE1641E"/>
    <w:rsid w:val="5BE26556"/>
    <w:rsid w:val="5BE444FC"/>
    <w:rsid w:val="5BEB7156"/>
    <w:rsid w:val="5BED78D1"/>
    <w:rsid w:val="5BED7FD6"/>
    <w:rsid w:val="5BF02ABB"/>
    <w:rsid w:val="5BF31D85"/>
    <w:rsid w:val="5BF4272F"/>
    <w:rsid w:val="5BF91BEC"/>
    <w:rsid w:val="5BFB5479"/>
    <w:rsid w:val="5BFE47AA"/>
    <w:rsid w:val="5BFE7528"/>
    <w:rsid w:val="5C104D69"/>
    <w:rsid w:val="5C107381"/>
    <w:rsid w:val="5C134349"/>
    <w:rsid w:val="5C1446CE"/>
    <w:rsid w:val="5C146D34"/>
    <w:rsid w:val="5C15734E"/>
    <w:rsid w:val="5C1D15B6"/>
    <w:rsid w:val="5C1D4D77"/>
    <w:rsid w:val="5C1D7892"/>
    <w:rsid w:val="5C20565C"/>
    <w:rsid w:val="5C2117DA"/>
    <w:rsid w:val="5C211B61"/>
    <w:rsid w:val="5C220D68"/>
    <w:rsid w:val="5C2310F1"/>
    <w:rsid w:val="5C253749"/>
    <w:rsid w:val="5C296D66"/>
    <w:rsid w:val="5C2D11F4"/>
    <w:rsid w:val="5C2E753A"/>
    <w:rsid w:val="5C3808D9"/>
    <w:rsid w:val="5C3C752E"/>
    <w:rsid w:val="5C3E6CC6"/>
    <w:rsid w:val="5C400434"/>
    <w:rsid w:val="5C424F5B"/>
    <w:rsid w:val="5C444C46"/>
    <w:rsid w:val="5C4468FC"/>
    <w:rsid w:val="5C47400A"/>
    <w:rsid w:val="5C4A4FBE"/>
    <w:rsid w:val="5C4A739E"/>
    <w:rsid w:val="5C4C1B24"/>
    <w:rsid w:val="5C50629D"/>
    <w:rsid w:val="5C513293"/>
    <w:rsid w:val="5C527A67"/>
    <w:rsid w:val="5C541529"/>
    <w:rsid w:val="5C551E68"/>
    <w:rsid w:val="5C5870B3"/>
    <w:rsid w:val="5C597258"/>
    <w:rsid w:val="5C5A65E6"/>
    <w:rsid w:val="5C5C2E59"/>
    <w:rsid w:val="5C5C7742"/>
    <w:rsid w:val="5C5F6C76"/>
    <w:rsid w:val="5C6500AD"/>
    <w:rsid w:val="5C6533C7"/>
    <w:rsid w:val="5C67044A"/>
    <w:rsid w:val="5C694114"/>
    <w:rsid w:val="5C6D579B"/>
    <w:rsid w:val="5C716447"/>
    <w:rsid w:val="5C7A5C27"/>
    <w:rsid w:val="5C7A74A1"/>
    <w:rsid w:val="5C7D0A61"/>
    <w:rsid w:val="5C7D66C0"/>
    <w:rsid w:val="5C840340"/>
    <w:rsid w:val="5C85078D"/>
    <w:rsid w:val="5C85263F"/>
    <w:rsid w:val="5C861C4C"/>
    <w:rsid w:val="5C8A2A54"/>
    <w:rsid w:val="5C8A69DA"/>
    <w:rsid w:val="5C8A71A7"/>
    <w:rsid w:val="5C8D53CF"/>
    <w:rsid w:val="5C8F68B1"/>
    <w:rsid w:val="5C91695B"/>
    <w:rsid w:val="5C9420E6"/>
    <w:rsid w:val="5C9478AC"/>
    <w:rsid w:val="5C9A34CC"/>
    <w:rsid w:val="5C9B34E1"/>
    <w:rsid w:val="5C9E225B"/>
    <w:rsid w:val="5C9F28B1"/>
    <w:rsid w:val="5CA104FA"/>
    <w:rsid w:val="5CA44DAA"/>
    <w:rsid w:val="5CA86739"/>
    <w:rsid w:val="5CAE1C47"/>
    <w:rsid w:val="5CAE37A0"/>
    <w:rsid w:val="5CB14213"/>
    <w:rsid w:val="5CB40AA7"/>
    <w:rsid w:val="5CB42AAF"/>
    <w:rsid w:val="5CB65073"/>
    <w:rsid w:val="5CBB67B5"/>
    <w:rsid w:val="5CBE738E"/>
    <w:rsid w:val="5CC110A9"/>
    <w:rsid w:val="5CC147B2"/>
    <w:rsid w:val="5CC171F5"/>
    <w:rsid w:val="5CC25D60"/>
    <w:rsid w:val="5CC310E7"/>
    <w:rsid w:val="5CC70A62"/>
    <w:rsid w:val="5CC7704A"/>
    <w:rsid w:val="5CC9278F"/>
    <w:rsid w:val="5CCC4209"/>
    <w:rsid w:val="5CCD5FD5"/>
    <w:rsid w:val="5CCD686F"/>
    <w:rsid w:val="5CD705D6"/>
    <w:rsid w:val="5CDA0799"/>
    <w:rsid w:val="5CDB13FE"/>
    <w:rsid w:val="5CDB79FF"/>
    <w:rsid w:val="5CE20741"/>
    <w:rsid w:val="5CE30767"/>
    <w:rsid w:val="5CE423B5"/>
    <w:rsid w:val="5CE6080E"/>
    <w:rsid w:val="5CEC2ADB"/>
    <w:rsid w:val="5CF01CB0"/>
    <w:rsid w:val="5CF0704E"/>
    <w:rsid w:val="5CF35572"/>
    <w:rsid w:val="5CF676B7"/>
    <w:rsid w:val="5CFA0B70"/>
    <w:rsid w:val="5CFB39C4"/>
    <w:rsid w:val="5CFC28AF"/>
    <w:rsid w:val="5CFF2EF6"/>
    <w:rsid w:val="5D00393E"/>
    <w:rsid w:val="5D045CAA"/>
    <w:rsid w:val="5D057922"/>
    <w:rsid w:val="5D0735C5"/>
    <w:rsid w:val="5D0B0D8D"/>
    <w:rsid w:val="5D0E02EB"/>
    <w:rsid w:val="5D1279DD"/>
    <w:rsid w:val="5D134916"/>
    <w:rsid w:val="5D141093"/>
    <w:rsid w:val="5D176DD0"/>
    <w:rsid w:val="5D185166"/>
    <w:rsid w:val="5D1D02BF"/>
    <w:rsid w:val="5D1D7F16"/>
    <w:rsid w:val="5D1F679E"/>
    <w:rsid w:val="5D23024D"/>
    <w:rsid w:val="5D243678"/>
    <w:rsid w:val="5D2A62F0"/>
    <w:rsid w:val="5D2B171B"/>
    <w:rsid w:val="5D2C2F80"/>
    <w:rsid w:val="5D2C3730"/>
    <w:rsid w:val="5D31224A"/>
    <w:rsid w:val="5D37576C"/>
    <w:rsid w:val="5D3A0585"/>
    <w:rsid w:val="5D3A0E49"/>
    <w:rsid w:val="5D3C1AF3"/>
    <w:rsid w:val="5D3C49B2"/>
    <w:rsid w:val="5D3D20A1"/>
    <w:rsid w:val="5D473087"/>
    <w:rsid w:val="5D481BA3"/>
    <w:rsid w:val="5D484E73"/>
    <w:rsid w:val="5D486570"/>
    <w:rsid w:val="5D4A2BEF"/>
    <w:rsid w:val="5D5249CA"/>
    <w:rsid w:val="5D597FAB"/>
    <w:rsid w:val="5D5A2D5F"/>
    <w:rsid w:val="5D5D04DD"/>
    <w:rsid w:val="5D5E4222"/>
    <w:rsid w:val="5D5F564C"/>
    <w:rsid w:val="5D5F6AD3"/>
    <w:rsid w:val="5D727050"/>
    <w:rsid w:val="5D744879"/>
    <w:rsid w:val="5D7458F0"/>
    <w:rsid w:val="5D770A85"/>
    <w:rsid w:val="5D77525C"/>
    <w:rsid w:val="5D792777"/>
    <w:rsid w:val="5D7A4678"/>
    <w:rsid w:val="5D8524AF"/>
    <w:rsid w:val="5D8869F1"/>
    <w:rsid w:val="5D8B2E87"/>
    <w:rsid w:val="5D8B3440"/>
    <w:rsid w:val="5D8B3B17"/>
    <w:rsid w:val="5D8D63F4"/>
    <w:rsid w:val="5D9446CB"/>
    <w:rsid w:val="5D951CDB"/>
    <w:rsid w:val="5D976B4F"/>
    <w:rsid w:val="5D9868FD"/>
    <w:rsid w:val="5D993C34"/>
    <w:rsid w:val="5D9D4922"/>
    <w:rsid w:val="5D9F1AEA"/>
    <w:rsid w:val="5DA3526B"/>
    <w:rsid w:val="5DA376A8"/>
    <w:rsid w:val="5DA8045C"/>
    <w:rsid w:val="5DA94E76"/>
    <w:rsid w:val="5DAD4E72"/>
    <w:rsid w:val="5DAD7945"/>
    <w:rsid w:val="5DAE54C1"/>
    <w:rsid w:val="5DAF4133"/>
    <w:rsid w:val="5DB05D4D"/>
    <w:rsid w:val="5DB52780"/>
    <w:rsid w:val="5DB54169"/>
    <w:rsid w:val="5DB92612"/>
    <w:rsid w:val="5DBD1991"/>
    <w:rsid w:val="5DBF7D1E"/>
    <w:rsid w:val="5DC875FF"/>
    <w:rsid w:val="5DCA3230"/>
    <w:rsid w:val="5DD00896"/>
    <w:rsid w:val="5DD10D47"/>
    <w:rsid w:val="5DE109BC"/>
    <w:rsid w:val="5DE13381"/>
    <w:rsid w:val="5DE25AAC"/>
    <w:rsid w:val="5DE54594"/>
    <w:rsid w:val="5DE75A14"/>
    <w:rsid w:val="5DE80DFD"/>
    <w:rsid w:val="5DE856B1"/>
    <w:rsid w:val="5DF379D6"/>
    <w:rsid w:val="5DF716CE"/>
    <w:rsid w:val="5DF82048"/>
    <w:rsid w:val="5DF870B9"/>
    <w:rsid w:val="5DF91DD7"/>
    <w:rsid w:val="5DFE181B"/>
    <w:rsid w:val="5E012051"/>
    <w:rsid w:val="5E041DD7"/>
    <w:rsid w:val="5E0A1257"/>
    <w:rsid w:val="5E153768"/>
    <w:rsid w:val="5E153E1C"/>
    <w:rsid w:val="5E172CF8"/>
    <w:rsid w:val="5E187818"/>
    <w:rsid w:val="5E1E0494"/>
    <w:rsid w:val="5E2467F1"/>
    <w:rsid w:val="5E2501F9"/>
    <w:rsid w:val="5E250DF3"/>
    <w:rsid w:val="5E2843CC"/>
    <w:rsid w:val="5E2B5EA3"/>
    <w:rsid w:val="5E2F4AD8"/>
    <w:rsid w:val="5E300A06"/>
    <w:rsid w:val="5E382E94"/>
    <w:rsid w:val="5E3F459C"/>
    <w:rsid w:val="5E3F5FCD"/>
    <w:rsid w:val="5E4119E0"/>
    <w:rsid w:val="5E411A49"/>
    <w:rsid w:val="5E425209"/>
    <w:rsid w:val="5E4923CB"/>
    <w:rsid w:val="5E493479"/>
    <w:rsid w:val="5E4B68AA"/>
    <w:rsid w:val="5E4C1ECD"/>
    <w:rsid w:val="5E4C496A"/>
    <w:rsid w:val="5E4E23C7"/>
    <w:rsid w:val="5E4F7DEF"/>
    <w:rsid w:val="5E5066E0"/>
    <w:rsid w:val="5E51221D"/>
    <w:rsid w:val="5E52133C"/>
    <w:rsid w:val="5E564A4D"/>
    <w:rsid w:val="5E567573"/>
    <w:rsid w:val="5E580A71"/>
    <w:rsid w:val="5E582F39"/>
    <w:rsid w:val="5E5A4EE3"/>
    <w:rsid w:val="5E5D775C"/>
    <w:rsid w:val="5E614D91"/>
    <w:rsid w:val="5E64274D"/>
    <w:rsid w:val="5E6568A9"/>
    <w:rsid w:val="5E664364"/>
    <w:rsid w:val="5E6C29E8"/>
    <w:rsid w:val="5E6D02E2"/>
    <w:rsid w:val="5E747E76"/>
    <w:rsid w:val="5E767CFB"/>
    <w:rsid w:val="5E790050"/>
    <w:rsid w:val="5E7B1719"/>
    <w:rsid w:val="5E7C4B86"/>
    <w:rsid w:val="5E7D6667"/>
    <w:rsid w:val="5E7E1A10"/>
    <w:rsid w:val="5E7E73AD"/>
    <w:rsid w:val="5E7F6705"/>
    <w:rsid w:val="5E805B0E"/>
    <w:rsid w:val="5E813090"/>
    <w:rsid w:val="5E841AAF"/>
    <w:rsid w:val="5E851141"/>
    <w:rsid w:val="5E874B15"/>
    <w:rsid w:val="5E894F30"/>
    <w:rsid w:val="5E9A026D"/>
    <w:rsid w:val="5E9B77DB"/>
    <w:rsid w:val="5EA0239A"/>
    <w:rsid w:val="5EA04A3D"/>
    <w:rsid w:val="5EA65E1F"/>
    <w:rsid w:val="5EB05876"/>
    <w:rsid w:val="5EB61F99"/>
    <w:rsid w:val="5EBA6D5C"/>
    <w:rsid w:val="5EBB1191"/>
    <w:rsid w:val="5EC05ED7"/>
    <w:rsid w:val="5EC47E14"/>
    <w:rsid w:val="5ECC02AB"/>
    <w:rsid w:val="5ECD0FD0"/>
    <w:rsid w:val="5ECF301F"/>
    <w:rsid w:val="5ED04E75"/>
    <w:rsid w:val="5ED50CF2"/>
    <w:rsid w:val="5EDD02EF"/>
    <w:rsid w:val="5EDE08B6"/>
    <w:rsid w:val="5EE006A7"/>
    <w:rsid w:val="5EE13BC5"/>
    <w:rsid w:val="5EE1591D"/>
    <w:rsid w:val="5EEA57DD"/>
    <w:rsid w:val="5EEA6E7C"/>
    <w:rsid w:val="5EEC739F"/>
    <w:rsid w:val="5EF15AE1"/>
    <w:rsid w:val="5EF35FD0"/>
    <w:rsid w:val="5EF60194"/>
    <w:rsid w:val="5EF73F58"/>
    <w:rsid w:val="5EF745E5"/>
    <w:rsid w:val="5EFA35D5"/>
    <w:rsid w:val="5EFC3EA0"/>
    <w:rsid w:val="5F012BD5"/>
    <w:rsid w:val="5F02016A"/>
    <w:rsid w:val="5F03077F"/>
    <w:rsid w:val="5F082645"/>
    <w:rsid w:val="5F0A0360"/>
    <w:rsid w:val="5F0A1FE9"/>
    <w:rsid w:val="5F153FF6"/>
    <w:rsid w:val="5F1A2B43"/>
    <w:rsid w:val="5F1F1DDD"/>
    <w:rsid w:val="5F211548"/>
    <w:rsid w:val="5F2826F0"/>
    <w:rsid w:val="5F296FB5"/>
    <w:rsid w:val="5F30086E"/>
    <w:rsid w:val="5F336AC9"/>
    <w:rsid w:val="5F340E92"/>
    <w:rsid w:val="5F344AB5"/>
    <w:rsid w:val="5F371C0E"/>
    <w:rsid w:val="5F39337C"/>
    <w:rsid w:val="5F3C6450"/>
    <w:rsid w:val="5F41124F"/>
    <w:rsid w:val="5F4276BF"/>
    <w:rsid w:val="5F430734"/>
    <w:rsid w:val="5F472836"/>
    <w:rsid w:val="5F4F4971"/>
    <w:rsid w:val="5F500A5B"/>
    <w:rsid w:val="5F56394F"/>
    <w:rsid w:val="5F5F16D5"/>
    <w:rsid w:val="5F62287D"/>
    <w:rsid w:val="5F63408E"/>
    <w:rsid w:val="5F636F2C"/>
    <w:rsid w:val="5F660F42"/>
    <w:rsid w:val="5F6616A7"/>
    <w:rsid w:val="5F667FE6"/>
    <w:rsid w:val="5F686E19"/>
    <w:rsid w:val="5F6B562F"/>
    <w:rsid w:val="5F6C31FA"/>
    <w:rsid w:val="5F702023"/>
    <w:rsid w:val="5F744EB4"/>
    <w:rsid w:val="5F754951"/>
    <w:rsid w:val="5F774C26"/>
    <w:rsid w:val="5F7917A9"/>
    <w:rsid w:val="5F8E12F3"/>
    <w:rsid w:val="5F8F7B9B"/>
    <w:rsid w:val="5F9042C5"/>
    <w:rsid w:val="5F945832"/>
    <w:rsid w:val="5F975137"/>
    <w:rsid w:val="5F9A4677"/>
    <w:rsid w:val="5F9E0734"/>
    <w:rsid w:val="5FA050FC"/>
    <w:rsid w:val="5FA32311"/>
    <w:rsid w:val="5FA42A65"/>
    <w:rsid w:val="5FA53325"/>
    <w:rsid w:val="5FA65896"/>
    <w:rsid w:val="5FAB2F2D"/>
    <w:rsid w:val="5FAC7908"/>
    <w:rsid w:val="5FAF1FE2"/>
    <w:rsid w:val="5FB41987"/>
    <w:rsid w:val="5FB6588B"/>
    <w:rsid w:val="5FB837BB"/>
    <w:rsid w:val="5FBB27AF"/>
    <w:rsid w:val="5FC32A72"/>
    <w:rsid w:val="5FC65FD8"/>
    <w:rsid w:val="5FC876C9"/>
    <w:rsid w:val="5FD0258F"/>
    <w:rsid w:val="5FD42399"/>
    <w:rsid w:val="5FD960B1"/>
    <w:rsid w:val="5FDA6C53"/>
    <w:rsid w:val="5FDB5D9C"/>
    <w:rsid w:val="5FDC3632"/>
    <w:rsid w:val="5FDF68DB"/>
    <w:rsid w:val="5FE04E2A"/>
    <w:rsid w:val="5FE10A0D"/>
    <w:rsid w:val="5FE60904"/>
    <w:rsid w:val="5FE63376"/>
    <w:rsid w:val="5FEA4B19"/>
    <w:rsid w:val="5FEB7068"/>
    <w:rsid w:val="5FF54051"/>
    <w:rsid w:val="5FFC3E8B"/>
    <w:rsid w:val="5FFE4CB2"/>
    <w:rsid w:val="60004FA5"/>
    <w:rsid w:val="60006EB1"/>
    <w:rsid w:val="60023DB3"/>
    <w:rsid w:val="600307C8"/>
    <w:rsid w:val="600944DC"/>
    <w:rsid w:val="600E44D6"/>
    <w:rsid w:val="60125D5E"/>
    <w:rsid w:val="60140895"/>
    <w:rsid w:val="6016536B"/>
    <w:rsid w:val="60167545"/>
    <w:rsid w:val="60176035"/>
    <w:rsid w:val="601D4EA3"/>
    <w:rsid w:val="601E68D8"/>
    <w:rsid w:val="6020196D"/>
    <w:rsid w:val="60211E5F"/>
    <w:rsid w:val="60212327"/>
    <w:rsid w:val="6029768B"/>
    <w:rsid w:val="602B1E27"/>
    <w:rsid w:val="602B7C55"/>
    <w:rsid w:val="602C6A5E"/>
    <w:rsid w:val="602D4251"/>
    <w:rsid w:val="602D4614"/>
    <w:rsid w:val="602F26C5"/>
    <w:rsid w:val="603347DB"/>
    <w:rsid w:val="60337A55"/>
    <w:rsid w:val="6034503B"/>
    <w:rsid w:val="60390599"/>
    <w:rsid w:val="603F14F4"/>
    <w:rsid w:val="60411F93"/>
    <w:rsid w:val="60413181"/>
    <w:rsid w:val="6047001E"/>
    <w:rsid w:val="6048331F"/>
    <w:rsid w:val="60496FE1"/>
    <w:rsid w:val="604F2D48"/>
    <w:rsid w:val="60513FB3"/>
    <w:rsid w:val="605565DA"/>
    <w:rsid w:val="605702DB"/>
    <w:rsid w:val="605923CF"/>
    <w:rsid w:val="60594BB4"/>
    <w:rsid w:val="605E4AFF"/>
    <w:rsid w:val="605F0426"/>
    <w:rsid w:val="606176EC"/>
    <w:rsid w:val="60631027"/>
    <w:rsid w:val="60650397"/>
    <w:rsid w:val="60664924"/>
    <w:rsid w:val="607456B4"/>
    <w:rsid w:val="607724A6"/>
    <w:rsid w:val="60784FEA"/>
    <w:rsid w:val="607C3A08"/>
    <w:rsid w:val="607D122D"/>
    <w:rsid w:val="607D4B2B"/>
    <w:rsid w:val="607E0B2E"/>
    <w:rsid w:val="607F7878"/>
    <w:rsid w:val="608115B0"/>
    <w:rsid w:val="608353B1"/>
    <w:rsid w:val="60837AB0"/>
    <w:rsid w:val="60853362"/>
    <w:rsid w:val="608608EB"/>
    <w:rsid w:val="608708BD"/>
    <w:rsid w:val="60876DBA"/>
    <w:rsid w:val="608D3DAD"/>
    <w:rsid w:val="60904F4A"/>
    <w:rsid w:val="60945B6E"/>
    <w:rsid w:val="60975E23"/>
    <w:rsid w:val="609D4B06"/>
    <w:rsid w:val="60A21FD1"/>
    <w:rsid w:val="60A446DD"/>
    <w:rsid w:val="60A50852"/>
    <w:rsid w:val="60AB19F3"/>
    <w:rsid w:val="60AC3A49"/>
    <w:rsid w:val="60AE2EB4"/>
    <w:rsid w:val="60B24293"/>
    <w:rsid w:val="60B479E9"/>
    <w:rsid w:val="60B62D94"/>
    <w:rsid w:val="60B74F32"/>
    <w:rsid w:val="60B81BF4"/>
    <w:rsid w:val="60B840E3"/>
    <w:rsid w:val="60B854A4"/>
    <w:rsid w:val="60BF42C4"/>
    <w:rsid w:val="60C10CD0"/>
    <w:rsid w:val="60C369A7"/>
    <w:rsid w:val="60CC405A"/>
    <w:rsid w:val="60D175B1"/>
    <w:rsid w:val="60D5162B"/>
    <w:rsid w:val="60D727C2"/>
    <w:rsid w:val="60DA30A4"/>
    <w:rsid w:val="60DD2FE0"/>
    <w:rsid w:val="60DF5A98"/>
    <w:rsid w:val="60E17AF7"/>
    <w:rsid w:val="60E51CF6"/>
    <w:rsid w:val="60E557B4"/>
    <w:rsid w:val="60E63D10"/>
    <w:rsid w:val="60E71739"/>
    <w:rsid w:val="60F13402"/>
    <w:rsid w:val="60F44EB6"/>
    <w:rsid w:val="60F96CBB"/>
    <w:rsid w:val="60FB1D20"/>
    <w:rsid w:val="60FD7167"/>
    <w:rsid w:val="61026C2A"/>
    <w:rsid w:val="61033380"/>
    <w:rsid w:val="6106209D"/>
    <w:rsid w:val="61086D1D"/>
    <w:rsid w:val="61101DFF"/>
    <w:rsid w:val="61104237"/>
    <w:rsid w:val="61105616"/>
    <w:rsid w:val="61115930"/>
    <w:rsid w:val="61161422"/>
    <w:rsid w:val="61183358"/>
    <w:rsid w:val="6119451A"/>
    <w:rsid w:val="611D132E"/>
    <w:rsid w:val="611D2190"/>
    <w:rsid w:val="611E23BC"/>
    <w:rsid w:val="611F0C84"/>
    <w:rsid w:val="61204602"/>
    <w:rsid w:val="61237449"/>
    <w:rsid w:val="61252B94"/>
    <w:rsid w:val="61273E2A"/>
    <w:rsid w:val="61275CDE"/>
    <w:rsid w:val="612C0B27"/>
    <w:rsid w:val="612F3FD1"/>
    <w:rsid w:val="612F5A09"/>
    <w:rsid w:val="61353C56"/>
    <w:rsid w:val="613C62A8"/>
    <w:rsid w:val="6142334E"/>
    <w:rsid w:val="614A0784"/>
    <w:rsid w:val="61566A37"/>
    <w:rsid w:val="61592DCC"/>
    <w:rsid w:val="615A3745"/>
    <w:rsid w:val="61643D4E"/>
    <w:rsid w:val="616535C9"/>
    <w:rsid w:val="616546A4"/>
    <w:rsid w:val="6166305B"/>
    <w:rsid w:val="6166568C"/>
    <w:rsid w:val="61672200"/>
    <w:rsid w:val="616D5C95"/>
    <w:rsid w:val="616F5D84"/>
    <w:rsid w:val="61706A1C"/>
    <w:rsid w:val="61757246"/>
    <w:rsid w:val="61774286"/>
    <w:rsid w:val="617B7539"/>
    <w:rsid w:val="617F6265"/>
    <w:rsid w:val="61843426"/>
    <w:rsid w:val="618730F4"/>
    <w:rsid w:val="6188016F"/>
    <w:rsid w:val="61881C97"/>
    <w:rsid w:val="618D4930"/>
    <w:rsid w:val="618F4E52"/>
    <w:rsid w:val="61907B64"/>
    <w:rsid w:val="61970FE0"/>
    <w:rsid w:val="61980C0C"/>
    <w:rsid w:val="61AE0D6E"/>
    <w:rsid w:val="61B353C8"/>
    <w:rsid w:val="61B42C9C"/>
    <w:rsid w:val="61B828AF"/>
    <w:rsid w:val="61B926C3"/>
    <w:rsid w:val="61BC7B3A"/>
    <w:rsid w:val="61BE42DD"/>
    <w:rsid w:val="61C3703D"/>
    <w:rsid w:val="61C765BE"/>
    <w:rsid w:val="61C95675"/>
    <w:rsid w:val="61CC6120"/>
    <w:rsid w:val="61CC7F56"/>
    <w:rsid w:val="61D20069"/>
    <w:rsid w:val="61D41A35"/>
    <w:rsid w:val="61D41FC7"/>
    <w:rsid w:val="61DC274E"/>
    <w:rsid w:val="61DD55BB"/>
    <w:rsid w:val="61E215D8"/>
    <w:rsid w:val="61E45195"/>
    <w:rsid w:val="61E85022"/>
    <w:rsid w:val="61EA3DDC"/>
    <w:rsid w:val="61ED21E9"/>
    <w:rsid w:val="61EF39A1"/>
    <w:rsid w:val="61F574DD"/>
    <w:rsid w:val="61F72B8E"/>
    <w:rsid w:val="61F94425"/>
    <w:rsid w:val="61F95ACD"/>
    <w:rsid w:val="61FB5E29"/>
    <w:rsid w:val="61FF7154"/>
    <w:rsid w:val="620347E4"/>
    <w:rsid w:val="62083D9E"/>
    <w:rsid w:val="620A2179"/>
    <w:rsid w:val="62103685"/>
    <w:rsid w:val="62170AB2"/>
    <w:rsid w:val="62184C20"/>
    <w:rsid w:val="62186DA2"/>
    <w:rsid w:val="62192DE6"/>
    <w:rsid w:val="62194F3C"/>
    <w:rsid w:val="621A0BF2"/>
    <w:rsid w:val="621A5244"/>
    <w:rsid w:val="621A6074"/>
    <w:rsid w:val="621B356B"/>
    <w:rsid w:val="621B3775"/>
    <w:rsid w:val="621C0820"/>
    <w:rsid w:val="621D231F"/>
    <w:rsid w:val="621F2BA6"/>
    <w:rsid w:val="62206482"/>
    <w:rsid w:val="62222387"/>
    <w:rsid w:val="622377EF"/>
    <w:rsid w:val="62254DA1"/>
    <w:rsid w:val="6227050F"/>
    <w:rsid w:val="622E29E4"/>
    <w:rsid w:val="622E4811"/>
    <w:rsid w:val="623347D2"/>
    <w:rsid w:val="623475D4"/>
    <w:rsid w:val="623549B6"/>
    <w:rsid w:val="62361887"/>
    <w:rsid w:val="62364782"/>
    <w:rsid w:val="623A617E"/>
    <w:rsid w:val="62400A2C"/>
    <w:rsid w:val="62450D59"/>
    <w:rsid w:val="624951B1"/>
    <w:rsid w:val="624C2A3A"/>
    <w:rsid w:val="62516FD0"/>
    <w:rsid w:val="62567841"/>
    <w:rsid w:val="6257640A"/>
    <w:rsid w:val="625A54BE"/>
    <w:rsid w:val="625C01D8"/>
    <w:rsid w:val="625D031F"/>
    <w:rsid w:val="625E6DAD"/>
    <w:rsid w:val="6268296B"/>
    <w:rsid w:val="626969B1"/>
    <w:rsid w:val="626A02B4"/>
    <w:rsid w:val="626C2EA0"/>
    <w:rsid w:val="626D79F5"/>
    <w:rsid w:val="6271317F"/>
    <w:rsid w:val="6272673D"/>
    <w:rsid w:val="62740B85"/>
    <w:rsid w:val="627B43C3"/>
    <w:rsid w:val="627F3DCD"/>
    <w:rsid w:val="62853A29"/>
    <w:rsid w:val="628B76B9"/>
    <w:rsid w:val="628C3636"/>
    <w:rsid w:val="628D6CFB"/>
    <w:rsid w:val="628F36CA"/>
    <w:rsid w:val="6291617C"/>
    <w:rsid w:val="629B0B9A"/>
    <w:rsid w:val="629B1F57"/>
    <w:rsid w:val="629C2D1E"/>
    <w:rsid w:val="629E0C0B"/>
    <w:rsid w:val="629F78A3"/>
    <w:rsid w:val="62A3426D"/>
    <w:rsid w:val="62A77285"/>
    <w:rsid w:val="62AE2C69"/>
    <w:rsid w:val="62B075BE"/>
    <w:rsid w:val="62B62A13"/>
    <w:rsid w:val="62B81DBE"/>
    <w:rsid w:val="62B92C33"/>
    <w:rsid w:val="62BA4523"/>
    <w:rsid w:val="62BC34B2"/>
    <w:rsid w:val="62BC7199"/>
    <w:rsid w:val="62C10F0A"/>
    <w:rsid w:val="62C2435B"/>
    <w:rsid w:val="62C26058"/>
    <w:rsid w:val="62C866E9"/>
    <w:rsid w:val="62C92E9C"/>
    <w:rsid w:val="62CC2680"/>
    <w:rsid w:val="62D16174"/>
    <w:rsid w:val="62D35A14"/>
    <w:rsid w:val="62D4613E"/>
    <w:rsid w:val="62D86DAC"/>
    <w:rsid w:val="62D87306"/>
    <w:rsid w:val="62DA3C67"/>
    <w:rsid w:val="62E05973"/>
    <w:rsid w:val="62E17EFC"/>
    <w:rsid w:val="62E413A0"/>
    <w:rsid w:val="62E57ACE"/>
    <w:rsid w:val="62E82FD9"/>
    <w:rsid w:val="62E97EEC"/>
    <w:rsid w:val="62F03DFE"/>
    <w:rsid w:val="62F35EF6"/>
    <w:rsid w:val="62FF5273"/>
    <w:rsid w:val="63020AAA"/>
    <w:rsid w:val="63030C84"/>
    <w:rsid w:val="630A62E0"/>
    <w:rsid w:val="631666AA"/>
    <w:rsid w:val="631731D6"/>
    <w:rsid w:val="631739DB"/>
    <w:rsid w:val="63196625"/>
    <w:rsid w:val="631B30CA"/>
    <w:rsid w:val="631E73F1"/>
    <w:rsid w:val="631F6982"/>
    <w:rsid w:val="632336B9"/>
    <w:rsid w:val="63317709"/>
    <w:rsid w:val="63323611"/>
    <w:rsid w:val="63341771"/>
    <w:rsid w:val="633720DA"/>
    <w:rsid w:val="6338353F"/>
    <w:rsid w:val="633B546B"/>
    <w:rsid w:val="633E5A4C"/>
    <w:rsid w:val="633E7315"/>
    <w:rsid w:val="633F7083"/>
    <w:rsid w:val="63413E16"/>
    <w:rsid w:val="6344266C"/>
    <w:rsid w:val="634666E9"/>
    <w:rsid w:val="63480D04"/>
    <w:rsid w:val="634B1196"/>
    <w:rsid w:val="63540002"/>
    <w:rsid w:val="63572889"/>
    <w:rsid w:val="635738BB"/>
    <w:rsid w:val="635A282B"/>
    <w:rsid w:val="635D3BC4"/>
    <w:rsid w:val="63600921"/>
    <w:rsid w:val="63661BB4"/>
    <w:rsid w:val="636A59FF"/>
    <w:rsid w:val="636B582F"/>
    <w:rsid w:val="636D4C43"/>
    <w:rsid w:val="636F2016"/>
    <w:rsid w:val="637135B5"/>
    <w:rsid w:val="63733DB3"/>
    <w:rsid w:val="63780791"/>
    <w:rsid w:val="63790B8D"/>
    <w:rsid w:val="63823DD6"/>
    <w:rsid w:val="6391753D"/>
    <w:rsid w:val="6394356A"/>
    <w:rsid w:val="63966B11"/>
    <w:rsid w:val="6399746B"/>
    <w:rsid w:val="639D287F"/>
    <w:rsid w:val="63A45D52"/>
    <w:rsid w:val="63A560B5"/>
    <w:rsid w:val="63A80F19"/>
    <w:rsid w:val="63AB474F"/>
    <w:rsid w:val="63B15EF1"/>
    <w:rsid w:val="63B263C7"/>
    <w:rsid w:val="63B26FBE"/>
    <w:rsid w:val="63B5707C"/>
    <w:rsid w:val="63B66F0F"/>
    <w:rsid w:val="63BA6BC7"/>
    <w:rsid w:val="63C61B2C"/>
    <w:rsid w:val="63C84B2B"/>
    <w:rsid w:val="63CD62F6"/>
    <w:rsid w:val="63CE2375"/>
    <w:rsid w:val="63CF4A19"/>
    <w:rsid w:val="63D02AE2"/>
    <w:rsid w:val="63D24879"/>
    <w:rsid w:val="63D268C3"/>
    <w:rsid w:val="63D40BE9"/>
    <w:rsid w:val="63D42F55"/>
    <w:rsid w:val="63D66917"/>
    <w:rsid w:val="63D84A7F"/>
    <w:rsid w:val="63D946B2"/>
    <w:rsid w:val="63E05A97"/>
    <w:rsid w:val="63E116FA"/>
    <w:rsid w:val="63E31DB0"/>
    <w:rsid w:val="63E55AEA"/>
    <w:rsid w:val="63E60447"/>
    <w:rsid w:val="63EB7B9A"/>
    <w:rsid w:val="63F06731"/>
    <w:rsid w:val="63F21F91"/>
    <w:rsid w:val="63F27101"/>
    <w:rsid w:val="63F34DDC"/>
    <w:rsid w:val="63F51AB9"/>
    <w:rsid w:val="63F63117"/>
    <w:rsid w:val="63F6539E"/>
    <w:rsid w:val="63F65DA5"/>
    <w:rsid w:val="63F703E0"/>
    <w:rsid w:val="63F72E52"/>
    <w:rsid w:val="63FB7E15"/>
    <w:rsid w:val="64013039"/>
    <w:rsid w:val="640469A5"/>
    <w:rsid w:val="64085DF7"/>
    <w:rsid w:val="640C4494"/>
    <w:rsid w:val="640C488C"/>
    <w:rsid w:val="64102431"/>
    <w:rsid w:val="64134393"/>
    <w:rsid w:val="64144C61"/>
    <w:rsid w:val="64267F26"/>
    <w:rsid w:val="642736EA"/>
    <w:rsid w:val="642F3120"/>
    <w:rsid w:val="643240D1"/>
    <w:rsid w:val="64336717"/>
    <w:rsid w:val="64344BED"/>
    <w:rsid w:val="64372A43"/>
    <w:rsid w:val="643767A9"/>
    <w:rsid w:val="643928C7"/>
    <w:rsid w:val="643A15A3"/>
    <w:rsid w:val="643B0739"/>
    <w:rsid w:val="643B19FD"/>
    <w:rsid w:val="64420EAC"/>
    <w:rsid w:val="6447182A"/>
    <w:rsid w:val="644D695C"/>
    <w:rsid w:val="645136D0"/>
    <w:rsid w:val="6452220B"/>
    <w:rsid w:val="64536C11"/>
    <w:rsid w:val="645829CD"/>
    <w:rsid w:val="645C44E6"/>
    <w:rsid w:val="645D1082"/>
    <w:rsid w:val="645D3635"/>
    <w:rsid w:val="64605D8F"/>
    <w:rsid w:val="646A4041"/>
    <w:rsid w:val="646D4CCF"/>
    <w:rsid w:val="646F2203"/>
    <w:rsid w:val="647065E9"/>
    <w:rsid w:val="647066A3"/>
    <w:rsid w:val="64726D4B"/>
    <w:rsid w:val="6473717D"/>
    <w:rsid w:val="64743A76"/>
    <w:rsid w:val="6478209C"/>
    <w:rsid w:val="64800ED8"/>
    <w:rsid w:val="64800F7E"/>
    <w:rsid w:val="64820C79"/>
    <w:rsid w:val="64847D9D"/>
    <w:rsid w:val="648C066D"/>
    <w:rsid w:val="648D0A5A"/>
    <w:rsid w:val="648E7FF9"/>
    <w:rsid w:val="648F637B"/>
    <w:rsid w:val="6493311D"/>
    <w:rsid w:val="649435E9"/>
    <w:rsid w:val="64977B2A"/>
    <w:rsid w:val="649916D0"/>
    <w:rsid w:val="64993806"/>
    <w:rsid w:val="649960C9"/>
    <w:rsid w:val="649E17EC"/>
    <w:rsid w:val="649E2A09"/>
    <w:rsid w:val="64A13D73"/>
    <w:rsid w:val="64A5243A"/>
    <w:rsid w:val="64A80F2E"/>
    <w:rsid w:val="64A85846"/>
    <w:rsid w:val="64AA76C9"/>
    <w:rsid w:val="64AB7433"/>
    <w:rsid w:val="64AD4298"/>
    <w:rsid w:val="64AE3448"/>
    <w:rsid w:val="64B0380B"/>
    <w:rsid w:val="64B17C82"/>
    <w:rsid w:val="64C2747B"/>
    <w:rsid w:val="64C377D7"/>
    <w:rsid w:val="64C461AA"/>
    <w:rsid w:val="64C67C01"/>
    <w:rsid w:val="64D06D5E"/>
    <w:rsid w:val="64D4310E"/>
    <w:rsid w:val="64D72578"/>
    <w:rsid w:val="64DE03F1"/>
    <w:rsid w:val="64E014FD"/>
    <w:rsid w:val="64E21788"/>
    <w:rsid w:val="64E6771A"/>
    <w:rsid w:val="64E82DDB"/>
    <w:rsid w:val="64EA1047"/>
    <w:rsid w:val="64EB28AD"/>
    <w:rsid w:val="64EB5452"/>
    <w:rsid w:val="64EC1A7B"/>
    <w:rsid w:val="64F32A21"/>
    <w:rsid w:val="64F531DE"/>
    <w:rsid w:val="64F56D85"/>
    <w:rsid w:val="64F732FD"/>
    <w:rsid w:val="64FA5724"/>
    <w:rsid w:val="64FC2208"/>
    <w:rsid w:val="64FF793A"/>
    <w:rsid w:val="650C783C"/>
    <w:rsid w:val="650D67C1"/>
    <w:rsid w:val="6510094A"/>
    <w:rsid w:val="65166A60"/>
    <w:rsid w:val="65186791"/>
    <w:rsid w:val="65190787"/>
    <w:rsid w:val="65191F4F"/>
    <w:rsid w:val="651D0C38"/>
    <w:rsid w:val="651D28F2"/>
    <w:rsid w:val="651F325A"/>
    <w:rsid w:val="652200FE"/>
    <w:rsid w:val="652560C2"/>
    <w:rsid w:val="652D2BC5"/>
    <w:rsid w:val="652F1780"/>
    <w:rsid w:val="652F6FFB"/>
    <w:rsid w:val="652F73C9"/>
    <w:rsid w:val="65313143"/>
    <w:rsid w:val="653230DF"/>
    <w:rsid w:val="65340E85"/>
    <w:rsid w:val="65373578"/>
    <w:rsid w:val="6538041E"/>
    <w:rsid w:val="653C0F1C"/>
    <w:rsid w:val="653D745B"/>
    <w:rsid w:val="653E1305"/>
    <w:rsid w:val="65436610"/>
    <w:rsid w:val="654736F1"/>
    <w:rsid w:val="6548195E"/>
    <w:rsid w:val="65482496"/>
    <w:rsid w:val="654C07BC"/>
    <w:rsid w:val="654F78D7"/>
    <w:rsid w:val="655172CC"/>
    <w:rsid w:val="65527F52"/>
    <w:rsid w:val="655377B9"/>
    <w:rsid w:val="6556067D"/>
    <w:rsid w:val="655D496D"/>
    <w:rsid w:val="655E5BA9"/>
    <w:rsid w:val="655F3FCF"/>
    <w:rsid w:val="65612D14"/>
    <w:rsid w:val="65672E61"/>
    <w:rsid w:val="656C253D"/>
    <w:rsid w:val="65706036"/>
    <w:rsid w:val="6571769D"/>
    <w:rsid w:val="6572775F"/>
    <w:rsid w:val="65743E6F"/>
    <w:rsid w:val="657B5AD9"/>
    <w:rsid w:val="6581447F"/>
    <w:rsid w:val="65814C80"/>
    <w:rsid w:val="65865617"/>
    <w:rsid w:val="658962E9"/>
    <w:rsid w:val="658A04EF"/>
    <w:rsid w:val="658C7A35"/>
    <w:rsid w:val="65900EFB"/>
    <w:rsid w:val="659029B2"/>
    <w:rsid w:val="65914462"/>
    <w:rsid w:val="65974381"/>
    <w:rsid w:val="65975F6C"/>
    <w:rsid w:val="6598362B"/>
    <w:rsid w:val="659B4BAC"/>
    <w:rsid w:val="659B64F4"/>
    <w:rsid w:val="65A1257A"/>
    <w:rsid w:val="65A27679"/>
    <w:rsid w:val="65A7039F"/>
    <w:rsid w:val="65A93FC3"/>
    <w:rsid w:val="65AC6566"/>
    <w:rsid w:val="65AF3D06"/>
    <w:rsid w:val="65B56CE6"/>
    <w:rsid w:val="65B87D54"/>
    <w:rsid w:val="65BF696D"/>
    <w:rsid w:val="65C30A95"/>
    <w:rsid w:val="65C62A05"/>
    <w:rsid w:val="65C94B78"/>
    <w:rsid w:val="65CA2E09"/>
    <w:rsid w:val="65CC633C"/>
    <w:rsid w:val="65D03D4E"/>
    <w:rsid w:val="65D25A21"/>
    <w:rsid w:val="65D438DF"/>
    <w:rsid w:val="65D804D4"/>
    <w:rsid w:val="65DB201A"/>
    <w:rsid w:val="65DC79DF"/>
    <w:rsid w:val="65DD7434"/>
    <w:rsid w:val="65DE2D83"/>
    <w:rsid w:val="65E522EE"/>
    <w:rsid w:val="65E92E35"/>
    <w:rsid w:val="65E93283"/>
    <w:rsid w:val="65EC2CA0"/>
    <w:rsid w:val="65F04169"/>
    <w:rsid w:val="65F0542D"/>
    <w:rsid w:val="65F3177A"/>
    <w:rsid w:val="65F545D3"/>
    <w:rsid w:val="65FD4393"/>
    <w:rsid w:val="66016A35"/>
    <w:rsid w:val="6607546E"/>
    <w:rsid w:val="660900FF"/>
    <w:rsid w:val="66095615"/>
    <w:rsid w:val="660D7C28"/>
    <w:rsid w:val="660E0201"/>
    <w:rsid w:val="66120B56"/>
    <w:rsid w:val="66156B02"/>
    <w:rsid w:val="661C4948"/>
    <w:rsid w:val="66235DFA"/>
    <w:rsid w:val="663767EE"/>
    <w:rsid w:val="66380938"/>
    <w:rsid w:val="663C6AA0"/>
    <w:rsid w:val="66446429"/>
    <w:rsid w:val="66447A96"/>
    <w:rsid w:val="66475AAA"/>
    <w:rsid w:val="66507B10"/>
    <w:rsid w:val="665564A7"/>
    <w:rsid w:val="665878CE"/>
    <w:rsid w:val="6659676F"/>
    <w:rsid w:val="665E177C"/>
    <w:rsid w:val="666146FB"/>
    <w:rsid w:val="66681132"/>
    <w:rsid w:val="666A0A00"/>
    <w:rsid w:val="66724804"/>
    <w:rsid w:val="66745695"/>
    <w:rsid w:val="6675381F"/>
    <w:rsid w:val="66772930"/>
    <w:rsid w:val="667C4781"/>
    <w:rsid w:val="66854C7C"/>
    <w:rsid w:val="668556E9"/>
    <w:rsid w:val="668632D3"/>
    <w:rsid w:val="66865C75"/>
    <w:rsid w:val="66892453"/>
    <w:rsid w:val="66892DE0"/>
    <w:rsid w:val="668A39D1"/>
    <w:rsid w:val="668F111E"/>
    <w:rsid w:val="669017ED"/>
    <w:rsid w:val="66926A76"/>
    <w:rsid w:val="66927653"/>
    <w:rsid w:val="66967BFD"/>
    <w:rsid w:val="669C4DCC"/>
    <w:rsid w:val="669D2C71"/>
    <w:rsid w:val="66AD1518"/>
    <w:rsid w:val="66AD608A"/>
    <w:rsid w:val="66B0166B"/>
    <w:rsid w:val="66B061A1"/>
    <w:rsid w:val="66B12608"/>
    <w:rsid w:val="66B27859"/>
    <w:rsid w:val="66B67E04"/>
    <w:rsid w:val="66B90AD3"/>
    <w:rsid w:val="66B950D3"/>
    <w:rsid w:val="66BA2173"/>
    <w:rsid w:val="66BC7876"/>
    <w:rsid w:val="66BD6F6D"/>
    <w:rsid w:val="66BF2EFA"/>
    <w:rsid w:val="66BF4946"/>
    <w:rsid w:val="66C077BB"/>
    <w:rsid w:val="66C1719F"/>
    <w:rsid w:val="66C47A3B"/>
    <w:rsid w:val="66C776A0"/>
    <w:rsid w:val="66CA41A9"/>
    <w:rsid w:val="66D30FB3"/>
    <w:rsid w:val="66D505D9"/>
    <w:rsid w:val="66D72437"/>
    <w:rsid w:val="66D95E81"/>
    <w:rsid w:val="66DB1ED6"/>
    <w:rsid w:val="66DF01F9"/>
    <w:rsid w:val="66E654B5"/>
    <w:rsid w:val="66E73ECB"/>
    <w:rsid w:val="66E925CA"/>
    <w:rsid w:val="66E95DF9"/>
    <w:rsid w:val="66F1395B"/>
    <w:rsid w:val="66F8182E"/>
    <w:rsid w:val="66FB1304"/>
    <w:rsid w:val="66FE6EEC"/>
    <w:rsid w:val="66FF4398"/>
    <w:rsid w:val="6701301C"/>
    <w:rsid w:val="67055D64"/>
    <w:rsid w:val="67060007"/>
    <w:rsid w:val="670E4CDF"/>
    <w:rsid w:val="67100C19"/>
    <w:rsid w:val="67106FDE"/>
    <w:rsid w:val="67157F19"/>
    <w:rsid w:val="671D60B8"/>
    <w:rsid w:val="671E5B69"/>
    <w:rsid w:val="671F124A"/>
    <w:rsid w:val="671F12E2"/>
    <w:rsid w:val="67214F96"/>
    <w:rsid w:val="672343A0"/>
    <w:rsid w:val="672630DB"/>
    <w:rsid w:val="67297BA0"/>
    <w:rsid w:val="672C019F"/>
    <w:rsid w:val="672D6FC5"/>
    <w:rsid w:val="672E2F10"/>
    <w:rsid w:val="672E7743"/>
    <w:rsid w:val="673A1828"/>
    <w:rsid w:val="673A192D"/>
    <w:rsid w:val="673D02C9"/>
    <w:rsid w:val="673E57DB"/>
    <w:rsid w:val="67443F88"/>
    <w:rsid w:val="67454D3F"/>
    <w:rsid w:val="67524396"/>
    <w:rsid w:val="67545E9E"/>
    <w:rsid w:val="67565EE9"/>
    <w:rsid w:val="67586055"/>
    <w:rsid w:val="675E35C3"/>
    <w:rsid w:val="675E403E"/>
    <w:rsid w:val="67602797"/>
    <w:rsid w:val="676545A9"/>
    <w:rsid w:val="676B2636"/>
    <w:rsid w:val="676B49E6"/>
    <w:rsid w:val="676C1640"/>
    <w:rsid w:val="676D7343"/>
    <w:rsid w:val="676E61F9"/>
    <w:rsid w:val="67707FBC"/>
    <w:rsid w:val="67731E62"/>
    <w:rsid w:val="67742911"/>
    <w:rsid w:val="6777636A"/>
    <w:rsid w:val="677A33C6"/>
    <w:rsid w:val="677F5E1A"/>
    <w:rsid w:val="677F6A03"/>
    <w:rsid w:val="677F7313"/>
    <w:rsid w:val="67802F07"/>
    <w:rsid w:val="67803125"/>
    <w:rsid w:val="6780735B"/>
    <w:rsid w:val="67881586"/>
    <w:rsid w:val="678A3707"/>
    <w:rsid w:val="678B0D66"/>
    <w:rsid w:val="678C6669"/>
    <w:rsid w:val="67910965"/>
    <w:rsid w:val="67911B25"/>
    <w:rsid w:val="67944916"/>
    <w:rsid w:val="6796457A"/>
    <w:rsid w:val="67985878"/>
    <w:rsid w:val="679E0C43"/>
    <w:rsid w:val="679E6A3F"/>
    <w:rsid w:val="67A0477C"/>
    <w:rsid w:val="67A119A3"/>
    <w:rsid w:val="67AF5DBB"/>
    <w:rsid w:val="67B26A7A"/>
    <w:rsid w:val="67B5333C"/>
    <w:rsid w:val="67B87A1D"/>
    <w:rsid w:val="67BB3850"/>
    <w:rsid w:val="67BC19DA"/>
    <w:rsid w:val="67BD2ABE"/>
    <w:rsid w:val="67BE6040"/>
    <w:rsid w:val="67BE76F3"/>
    <w:rsid w:val="67C27E19"/>
    <w:rsid w:val="67C3251E"/>
    <w:rsid w:val="67C615EF"/>
    <w:rsid w:val="67C73CEC"/>
    <w:rsid w:val="67C77DD1"/>
    <w:rsid w:val="67CC6757"/>
    <w:rsid w:val="67CD7A01"/>
    <w:rsid w:val="67D13436"/>
    <w:rsid w:val="67D20811"/>
    <w:rsid w:val="67D475DE"/>
    <w:rsid w:val="67D57E78"/>
    <w:rsid w:val="67D70F6D"/>
    <w:rsid w:val="67D93DCB"/>
    <w:rsid w:val="67D945AD"/>
    <w:rsid w:val="67DC7650"/>
    <w:rsid w:val="67DE059D"/>
    <w:rsid w:val="67E13275"/>
    <w:rsid w:val="67E14C80"/>
    <w:rsid w:val="67E426FF"/>
    <w:rsid w:val="67E61E87"/>
    <w:rsid w:val="67E86B03"/>
    <w:rsid w:val="67EA0ED0"/>
    <w:rsid w:val="67F0366C"/>
    <w:rsid w:val="67F24B68"/>
    <w:rsid w:val="67F32717"/>
    <w:rsid w:val="67F35E60"/>
    <w:rsid w:val="67F51925"/>
    <w:rsid w:val="67F53A8C"/>
    <w:rsid w:val="67F73D7C"/>
    <w:rsid w:val="67FA4765"/>
    <w:rsid w:val="67FB5771"/>
    <w:rsid w:val="67FE3B34"/>
    <w:rsid w:val="680026E4"/>
    <w:rsid w:val="6800525F"/>
    <w:rsid w:val="680232F3"/>
    <w:rsid w:val="68061187"/>
    <w:rsid w:val="68100BB4"/>
    <w:rsid w:val="68101ADD"/>
    <w:rsid w:val="68154ADA"/>
    <w:rsid w:val="68155C24"/>
    <w:rsid w:val="68166C2B"/>
    <w:rsid w:val="681A142A"/>
    <w:rsid w:val="681B0A27"/>
    <w:rsid w:val="681F3379"/>
    <w:rsid w:val="681F6961"/>
    <w:rsid w:val="68221422"/>
    <w:rsid w:val="68227B87"/>
    <w:rsid w:val="682327AF"/>
    <w:rsid w:val="682447EF"/>
    <w:rsid w:val="682806EC"/>
    <w:rsid w:val="682F4D7C"/>
    <w:rsid w:val="68307E9C"/>
    <w:rsid w:val="68313DE8"/>
    <w:rsid w:val="68314313"/>
    <w:rsid w:val="68354D1C"/>
    <w:rsid w:val="68365B92"/>
    <w:rsid w:val="683977BF"/>
    <w:rsid w:val="683C5625"/>
    <w:rsid w:val="68415A66"/>
    <w:rsid w:val="68431575"/>
    <w:rsid w:val="68432B8D"/>
    <w:rsid w:val="68474B9B"/>
    <w:rsid w:val="68477E3B"/>
    <w:rsid w:val="684C3E79"/>
    <w:rsid w:val="684E4E9E"/>
    <w:rsid w:val="684F20E6"/>
    <w:rsid w:val="684F3DBD"/>
    <w:rsid w:val="68512696"/>
    <w:rsid w:val="685443B0"/>
    <w:rsid w:val="6856795A"/>
    <w:rsid w:val="68594E33"/>
    <w:rsid w:val="685A2F3E"/>
    <w:rsid w:val="685E2F1E"/>
    <w:rsid w:val="686103AB"/>
    <w:rsid w:val="68610A2F"/>
    <w:rsid w:val="68632D3D"/>
    <w:rsid w:val="68645A2B"/>
    <w:rsid w:val="68663870"/>
    <w:rsid w:val="686A0962"/>
    <w:rsid w:val="686A2243"/>
    <w:rsid w:val="686C3BF8"/>
    <w:rsid w:val="686D2262"/>
    <w:rsid w:val="686D424F"/>
    <w:rsid w:val="68740FFC"/>
    <w:rsid w:val="687A48E4"/>
    <w:rsid w:val="687E7DA4"/>
    <w:rsid w:val="687E7FF6"/>
    <w:rsid w:val="68805514"/>
    <w:rsid w:val="688207EF"/>
    <w:rsid w:val="688218AC"/>
    <w:rsid w:val="6885041A"/>
    <w:rsid w:val="6885295A"/>
    <w:rsid w:val="68883775"/>
    <w:rsid w:val="688950D3"/>
    <w:rsid w:val="688A77B5"/>
    <w:rsid w:val="688C12B0"/>
    <w:rsid w:val="688F164F"/>
    <w:rsid w:val="68913280"/>
    <w:rsid w:val="689155D8"/>
    <w:rsid w:val="689240BB"/>
    <w:rsid w:val="68942181"/>
    <w:rsid w:val="689457B2"/>
    <w:rsid w:val="68953FFC"/>
    <w:rsid w:val="68955DDB"/>
    <w:rsid w:val="689562C5"/>
    <w:rsid w:val="689708BA"/>
    <w:rsid w:val="68991AA9"/>
    <w:rsid w:val="689A11BB"/>
    <w:rsid w:val="689C2752"/>
    <w:rsid w:val="689C3DEF"/>
    <w:rsid w:val="68A21DDD"/>
    <w:rsid w:val="68A95D9A"/>
    <w:rsid w:val="68AB0975"/>
    <w:rsid w:val="68AF2B87"/>
    <w:rsid w:val="68B22125"/>
    <w:rsid w:val="68B4589D"/>
    <w:rsid w:val="68B659B5"/>
    <w:rsid w:val="68B7217C"/>
    <w:rsid w:val="68B84882"/>
    <w:rsid w:val="68BA4B01"/>
    <w:rsid w:val="68BA7AE7"/>
    <w:rsid w:val="68C00356"/>
    <w:rsid w:val="68C912C9"/>
    <w:rsid w:val="68CF02E3"/>
    <w:rsid w:val="68D30AE4"/>
    <w:rsid w:val="68DC62ED"/>
    <w:rsid w:val="68DE6DBF"/>
    <w:rsid w:val="68E15ED2"/>
    <w:rsid w:val="68E52704"/>
    <w:rsid w:val="68E53C2F"/>
    <w:rsid w:val="68E65F29"/>
    <w:rsid w:val="68E720D2"/>
    <w:rsid w:val="68E73D24"/>
    <w:rsid w:val="68E74488"/>
    <w:rsid w:val="68E93B64"/>
    <w:rsid w:val="68E95A38"/>
    <w:rsid w:val="68EF5239"/>
    <w:rsid w:val="68F00594"/>
    <w:rsid w:val="68F00CAE"/>
    <w:rsid w:val="68F06E30"/>
    <w:rsid w:val="68F152FA"/>
    <w:rsid w:val="68F16981"/>
    <w:rsid w:val="68F56889"/>
    <w:rsid w:val="68F5786B"/>
    <w:rsid w:val="68FB4DA6"/>
    <w:rsid w:val="68FB51B4"/>
    <w:rsid w:val="68FF5BA9"/>
    <w:rsid w:val="69045739"/>
    <w:rsid w:val="690813E9"/>
    <w:rsid w:val="690B01D3"/>
    <w:rsid w:val="691503C6"/>
    <w:rsid w:val="691748FA"/>
    <w:rsid w:val="691A3663"/>
    <w:rsid w:val="691C59D4"/>
    <w:rsid w:val="6922593A"/>
    <w:rsid w:val="69291B3F"/>
    <w:rsid w:val="692A24D1"/>
    <w:rsid w:val="692B521A"/>
    <w:rsid w:val="692D02D0"/>
    <w:rsid w:val="69310196"/>
    <w:rsid w:val="69316E2F"/>
    <w:rsid w:val="693351DA"/>
    <w:rsid w:val="693521AA"/>
    <w:rsid w:val="69392FEA"/>
    <w:rsid w:val="693D75FC"/>
    <w:rsid w:val="69454412"/>
    <w:rsid w:val="69476D47"/>
    <w:rsid w:val="69490749"/>
    <w:rsid w:val="694E2071"/>
    <w:rsid w:val="69506B21"/>
    <w:rsid w:val="6952251B"/>
    <w:rsid w:val="69543319"/>
    <w:rsid w:val="69560395"/>
    <w:rsid w:val="69561719"/>
    <w:rsid w:val="69564A0A"/>
    <w:rsid w:val="6957403C"/>
    <w:rsid w:val="695A71B2"/>
    <w:rsid w:val="695E7D36"/>
    <w:rsid w:val="69624325"/>
    <w:rsid w:val="69642752"/>
    <w:rsid w:val="696A3588"/>
    <w:rsid w:val="69704C54"/>
    <w:rsid w:val="69766163"/>
    <w:rsid w:val="697A3B33"/>
    <w:rsid w:val="697A4C5B"/>
    <w:rsid w:val="69844827"/>
    <w:rsid w:val="69854DC3"/>
    <w:rsid w:val="699070FD"/>
    <w:rsid w:val="699130F1"/>
    <w:rsid w:val="69921FE2"/>
    <w:rsid w:val="699328B2"/>
    <w:rsid w:val="69987CEA"/>
    <w:rsid w:val="699A0297"/>
    <w:rsid w:val="699B44CE"/>
    <w:rsid w:val="69A02736"/>
    <w:rsid w:val="69A654EF"/>
    <w:rsid w:val="69A66FA3"/>
    <w:rsid w:val="69A908A3"/>
    <w:rsid w:val="69A931B6"/>
    <w:rsid w:val="69AB6435"/>
    <w:rsid w:val="69AE1CE0"/>
    <w:rsid w:val="69B46D76"/>
    <w:rsid w:val="69B6031A"/>
    <w:rsid w:val="69C05AB1"/>
    <w:rsid w:val="69C07848"/>
    <w:rsid w:val="69C13086"/>
    <w:rsid w:val="69C26BB0"/>
    <w:rsid w:val="69C405E6"/>
    <w:rsid w:val="69CB28C5"/>
    <w:rsid w:val="69D07EC2"/>
    <w:rsid w:val="69D248CB"/>
    <w:rsid w:val="69D44760"/>
    <w:rsid w:val="69D6590B"/>
    <w:rsid w:val="69D72D64"/>
    <w:rsid w:val="69D73760"/>
    <w:rsid w:val="69D878E6"/>
    <w:rsid w:val="69DC1454"/>
    <w:rsid w:val="69DD3A07"/>
    <w:rsid w:val="69DD5635"/>
    <w:rsid w:val="69E33ACD"/>
    <w:rsid w:val="69E5578F"/>
    <w:rsid w:val="69E91B8F"/>
    <w:rsid w:val="69EC4E2E"/>
    <w:rsid w:val="69F024E0"/>
    <w:rsid w:val="69F27DBA"/>
    <w:rsid w:val="69F424CD"/>
    <w:rsid w:val="69F539F0"/>
    <w:rsid w:val="69F55297"/>
    <w:rsid w:val="69F83CA4"/>
    <w:rsid w:val="69F8414E"/>
    <w:rsid w:val="69FB602A"/>
    <w:rsid w:val="69FF79C8"/>
    <w:rsid w:val="6A011D4B"/>
    <w:rsid w:val="6A061940"/>
    <w:rsid w:val="6A0621E4"/>
    <w:rsid w:val="6A067BE7"/>
    <w:rsid w:val="6A082508"/>
    <w:rsid w:val="6A0C2C92"/>
    <w:rsid w:val="6A1566E1"/>
    <w:rsid w:val="6A16686A"/>
    <w:rsid w:val="6A1A781D"/>
    <w:rsid w:val="6A1D3330"/>
    <w:rsid w:val="6A20381C"/>
    <w:rsid w:val="6A2133C5"/>
    <w:rsid w:val="6A232341"/>
    <w:rsid w:val="6A27451F"/>
    <w:rsid w:val="6A276733"/>
    <w:rsid w:val="6A281E09"/>
    <w:rsid w:val="6A2A4B66"/>
    <w:rsid w:val="6A302A33"/>
    <w:rsid w:val="6A32519F"/>
    <w:rsid w:val="6A370BDF"/>
    <w:rsid w:val="6A382A7B"/>
    <w:rsid w:val="6A3907CF"/>
    <w:rsid w:val="6A390EE0"/>
    <w:rsid w:val="6A3910E4"/>
    <w:rsid w:val="6A392BFF"/>
    <w:rsid w:val="6A451FD3"/>
    <w:rsid w:val="6A496CC4"/>
    <w:rsid w:val="6A4A18BE"/>
    <w:rsid w:val="6A4D6D76"/>
    <w:rsid w:val="6A520EC7"/>
    <w:rsid w:val="6A5633C6"/>
    <w:rsid w:val="6A5C70F1"/>
    <w:rsid w:val="6A5D7C16"/>
    <w:rsid w:val="6A5F6EB5"/>
    <w:rsid w:val="6A615F37"/>
    <w:rsid w:val="6A6176EB"/>
    <w:rsid w:val="6A644634"/>
    <w:rsid w:val="6A651391"/>
    <w:rsid w:val="6A660562"/>
    <w:rsid w:val="6A675B93"/>
    <w:rsid w:val="6A6A4D80"/>
    <w:rsid w:val="6A6C1108"/>
    <w:rsid w:val="6A6C57D7"/>
    <w:rsid w:val="6A73705D"/>
    <w:rsid w:val="6A7649A8"/>
    <w:rsid w:val="6A78119C"/>
    <w:rsid w:val="6A7F6FB2"/>
    <w:rsid w:val="6A800992"/>
    <w:rsid w:val="6A8075FD"/>
    <w:rsid w:val="6A850518"/>
    <w:rsid w:val="6A8931B9"/>
    <w:rsid w:val="6A8C6F98"/>
    <w:rsid w:val="6A8F0AF3"/>
    <w:rsid w:val="6A9E5673"/>
    <w:rsid w:val="6AA02737"/>
    <w:rsid w:val="6AA3163C"/>
    <w:rsid w:val="6AA34953"/>
    <w:rsid w:val="6AA5554A"/>
    <w:rsid w:val="6AA721AC"/>
    <w:rsid w:val="6AA7288B"/>
    <w:rsid w:val="6AA76348"/>
    <w:rsid w:val="6AAA1A75"/>
    <w:rsid w:val="6AAB6823"/>
    <w:rsid w:val="6AAC4C97"/>
    <w:rsid w:val="6AAC7513"/>
    <w:rsid w:val="6AB003A2"/>
    <w:rsid w:val="6AB26656"/>
    <w:rsid w:val="6AB27CA0"/>
    <w:rsid w:val="6AB32D26"/>
    <w:rsid w:val="6AB347EF"/>
    <w:rsid w:val="6AB64C6C"/>
    <w:rsid w:val="6AB8060B"/>
    <w:rsid w:val="6ABC5B16"/>
    <w:rsid w:val="6ABD3DD4"/>
    <w:rsid w:val="6ABF1B64"/>
    <w:rsid w:val="6AC12BBC"/>
    <w:rsid w:val="6AC1440B"/>
    <w:rsid w:val="6AC214E0"/>
    <w:rsid w:val="6AC3023C"/>
    <w:rsid w:val="6AC34E92"/>
    <w:rsid w:val="6AC47D7E"/>
    <w:rsid w:val="6AC53B73"/>
    <w:rsid w:val="6ACD110E"/>
    <w:rsid w:val="6AD35A00"/>
    <w:rsid w:val="6AD75BAC"/>
    <w:rsid w:val="6ADD79C3"/>
    <w:rsid w:val="6AE14BC8"/>
    <w:rsid w:val="6AEB5977"/>
    <w:rsid w:val="6AEE1092"/>
    <w:rsid w:val="6AEE1440"/>
    <w:rsid w:val="6AF307F0"/>
    <w:rsid w:val="6AF4260D"/>
    <w:rsid w:val="6AF87E20"/>
    <w:rsid w:val="6B043933"/>
    <w:rsid w:val="6B0B7D2A"/>
    <w:rsid w:val="6B1147EB"/>
    <w:rsid w:val="6B121A77"/>
    <w:rsid w:val="6B1D545D"/>
    <w:rsid w:val="6B204B91"/>
    <w:rsid w:val="6B236A2F"/>
    <w:rsid w:val="6B2444B2"/>
    <w:rsid w:val="6B277DD0"/>
    <w:rsid w:val="6B2D0FBA"/>
    <w:rsid w:val="6B322639"/>
    <w:rsid w:val="6B332137"/>
    <w:rsid w:val="6B356873"/>
    <w:rsid w:val="6B387AE9"/>
    <w:rsid w:val="6B394067"/>
    <w:rsid w:val="6B411533"/>
    <w:rsid w:val="6B422065"/>
    <w:rsid w:val="6B447497"/>
    <w:rsid w:val="6B484EE5"/>
    <w:rsid w:val="6B4F7541"/>
    <w:rsid w:val="6B510C18"/>
    <w:rsid w:val="6B553147"/>
    <w:rsid w:val="6B587492"/>
    <w:rsid w:val="6B5A751F"/>
    <w:rsid w:val="6B5F5B41"/>
    <w:rsid w:val="6B6256FF"/>
    <w:rsid w:val="6B634B7C"/>
    <w:rsid w:val="6B676399"/>
    <w:rsid w:val="6B6A01E8"/>
    <w:rsid w:val="6B6A4927"/>
    <w:rsid w:val="6B7222B3"/>
    <w:rsid w:val="6B732331"/>
    <w:rsid w:val="6B757386"/>
    <w:rsid w:val="6B7A023C"/>
    <w:rsid w:val="6B7B2CAC"/>
    <w:rsid w:val="6B7C404D"/>
    <w:rsid w:val="6B7E6B1A"/>
    <w:rsid w:val="6B8011A1"/>
    <w:rsid w:val="6B816380"/>
    <w:rsid w:val="6B820946"/>
    <w:rsid w:val="6B8717EC"/>
    <w:rsid w:val="6B892550"/>
    <w:rsid w:val="6B8B1CE3"/>
    <w:rsid w:val="6B8B502E"/>
    <w:rsid w:val="6B9257D9"/>
    <w:rsid w:val="6B93672D"/>
    <w:rsid w:val="6B94089F"/>
    <w:rsid w:val="6B9C0E3B"/>
    <w:rsid w:val="6B9E0035"/>
    <w:rsid w:val="6BA02F31"/>
    <w:rsid w:val="6BA36FAE"/>
    <w:rsid w:val="6BA532BB"/>
    <w:rsid w:val="6BA730DD"/>
    <w:rsid w:val="6BA8020C"/>
    <w:rsid w:val="6BA90FEA"/>
    <w:rsid w:val="6BAA7FF5"/>
    <w:rsid w:val="6BAB152C"/>
    <w:rsid w:val="6BAB4A25"/>
    <w:rsid w:val="6BAE2AE4"/>
    <w:rsid w:val="6BB02B85"/>
    <w:rsid w:val="6BB24496"/>
    <w:rsid w:val="6BB6138B"/>
    <w:rsid w:val="6BB724F9"/>
    <w:rsid w:val="6BB92E50"/>
    <w:rsid w:val="6BBB1A00"/>
    <w:rsid w:val="6BBB1BDB"/>
    <w:rsid w:val="6BC14C51"/>
    <w:rsid w:val="6BCB402C"/>
    <w:rsid w:val="6BCD6899"/>
    <w:rsid w:val="6BD62546"/>
    <w:rsid w:val="6BD82554"/>
    <w:rsid w:val="6BE70839"/>
    <w:rsid w:val="6BE76BCE"/>
    <w:rsid w:val="6BEF736A"/>
    <w:rsid w:val="6BF74D6F"/>
    <w:rsid w:val="6BF97B12"/>
    <w:rsid w:val="6C033779"/>
    <w:rsid w:val="6C036A0A"/>
    <w:rsid w:val="6C07549F"/>
    <w:rsid w:val="6C07619B"/>
    <w:rsid w:val="6C08440B"/>
    <w:rsid w:val="6C08642A"/>
    <w:rsid w:val="6C0A5E92"/>
    <w:rsid w:val="6C1059E9"/>
    <w:rsid w:val="6C121D9B"/>
    <w:rsid w:val="6C133F75"/>
    <w:rsid w:val="6C1950AE"/>
    <w:rsid w:val="6C1A43A6"/>
    <w:rsid w:val="6C1A4644"/>
    <w:rsid w:val="6C1D1A2F"/>
    <w:rsid w:val="6C1E4198"/>
    <w:rsid w:val="6C222A1C"/>
    <w:rsid w:val="6C273D40"/>
    <w:rsid w:val="6C2746DF"/>
    <w:rsid w:val="6C2E2ABB"/>
    <w:rsid w:val="6C326C27"/>
    <w:rsid w:val="6C3C789E"/>
    <w:rsid w:val="6C4161D1"/>
    <w:rsid w:val="6C436CE3"/>
    <w:rsid w:val="6C452E81"/>
    <w:rsid w:val="6C481094"/>
    <w:rsid w:val="6C494760"/>
    <w:rsid w:val="6C4D151F"/>
    <w:rsid w:val="6C502005"/>
    <w:rsid w:val="6C50228A"/>
    <w:rsid w:val="6C533D6A"/>
    <w:rsid w:val="6C53599D"/>
    <w:rsid w:val="6C53701B"/>
    <w:rsid w:val="6C546860"/>
    <w:rsid w:val="6C556FEC"/>
    <w:rsid w:val="6C5F51DE"/>
    <w:rsid w:val="6C60526C"/>
    <w:rsid w:val="6C6118E9"/>
    <w:rsid w:val="6C636C38"/>
    <w:rsid w:val="6C650B5E"/>
    <w:rsid w:val="6C660225"/>
    <w:rsid w:val="6C6B7E14"/>
    <w:rsid w:val="6C6E270F"/>
    <w:rsid w:val="6C6F14D2"/>
    <w:rsid w:val="6C746789"/>
    <w:rsid w:val="6C7B1DB1"/>
    <w:rsid w:val="6C802747"/>
    <w:rsid w:val="6C836C9B"/>
    <w:rsid w:val="6C840C26"/>
    <w:rsid w:val="6C851955"/>
    <w:rsid w:val="6C92196C"/>
    <w:rsid w:val="6C96181E"/>
    <w:rsid w:val="6C984684"/>
    <w:rsid w:val="6C9857C5"/>
    <w:rsid w:val="6C990CAD"/>
    <w:rsid w:val="6CAB51D1"/>
    <w:rsid w:val="6CAD612C"/>
    <w:rsid w:val="6CAF2F11"/>
    <w:rsid w:val="6CAF6D27"/>
    <w:rsid w:val="6CB46DC3"/>
    <w:rsid w:val="6CB5516F"/>
    <w:rsid w:val="6CB867E1"/>
    <w:rsid w:val="6CBD38C1"/>
    <w:rsid w:val="6CBE6788"/>
    <w:rsid w:val="6CBF6126"/>
    <w:rsid w:val="6CC50804"/>
    <w:rsid w:val="6CC561BF"/>
    <w:rsid w:val="6CCB0792"/>
    <w:rsid w:val="6CCE66C9"/>
    <w:rsid w:val="6CD04EAA"/>
    <w:rsid w:val="6CD81373"/>
    <w:rsid w:val="6CDE0735"/>
    <w:rsid w:val="6CDF5218"/>
    <w:rsid w:val="6CE50AFB"/>
    <w:rsid w:val="6CE51F68"/>
    <w:rsid w:val="6CE53F30"/>
    <w:rsid w:val="6CE80400"/>
    <w:rsid w:val="6CE90C52"/>
    <w:rsid w:val="6CEA0269"/>
    <w:rsid w:val="6CEA65B7"/>
    <w:rsid w:val="6CF203A6"/>
    <w:rsid w:val="6CF5420C"/>
    <w:rsid w:val="6CF762DC"/>
    <w:rsid w:val="6D0132DA"/>
    <w:rsid w:val="6D1704E6"/>
    <w:rsid w:val="6D1864DE"/>
    <w:rsid w:val="6D194152"/>
    <w:rsid w:val="6D194946"/>
    <w:rsid w:val="6D1A6897"/>
    <w:rsid w:val="6D1B4850"/>
    <w:rsid w:val="6D1D5048"/>
    <w:rsid w:val="6D225645"/>
    <w:rsid w:val="6D227426"/>
    <w:rsid w:val="6D2401D7"/>
    <w:rsid w:val="6D2567CC"/>
    <w:rsid w:val="6D283DF5"/>
    <w:rsid w:val="6D2B33F8"/>
    <w:rsid w:val="6D2C407D"/>
    <w:rsid w:val="6D303907"/>
    <w:rsid w:val="6D350B32"/>
    <w:rsid w:val="6D364611"/>
    <w:rsid w:val="6D3C79F4"/>
    <w:rsid w:val="6D3F2237"/>
    <w:rsid w:val="6D472078"/>
    <w:rsid w:val="6D4A2108"/>
    <w:rsid w:val="6D4D3D3F"/>
    <w:rsid w:val="6D4E4854"/>
    <w:rsid w:val="6D4F7ED4"/>
    <w:rsid w:val="6D55067A"/>
    <w:rsid w:val="6D57224A"/>
    <w:rsid w:val="6D5843F5"/>
    <w:rsid w:val="6D587A49"/>
    <w:rsid w:val="6D595386"/>
    <w:rsid w:val="6D5B6BD7"/>
    <w:rsid w:val="6D5B6DAA"/>
    <w:rsid w:val="6D5C7A88"/>
    <w:rsid w:val="6D5E7F4A"/>
    <w:rsid w:val="6D60248D"/>
    <w:rsid w:val="6D631D79"/>
    <w:rsid w:val="6D675196"/>
    <w:rsid w:val="6D6B56E5"/>
    <w:rsid w:val="6D6C549F"/>
    <w:rsid w:val="6D716C0D"/>
    <w:rsid w:val="6D720331"/>
    <w:rsid w:val="6D777669"/>
    <w:rsid w:val="6D781AC5"/>
    <w:rsid w:val="6D7836AA"/>
    <w:rsid w:val="6D7A32A4"/>
    <w:rsid w:val="6D7A77B6"/>
    <w:rsid w:val="6D7E24CE"/>
    <w:rsid w:val="6D801CF9"/>
    <w:rsid w:val="6D876D17"/>
    <w:rsid w:val="6D8A5123"/>
    <w:rsid w:val="6D976F44"/>
    <w:rsid w:val="6D9B5FB4"/>
    <w:rsid w:val="6D9E6AEE"/>
    <w:rsid w:val="6D9F0997"/>
    <w:rsid w:val="6D9F21DA"/>
    <w:rsid w:val="6DA16C95"/>
    <w:rsid w:val="6DA51C08"/>
    <w:rsid w:val="6DA66731"/>
    <w:rsid w:val="6DAB42EE"/>
    <w:rsid w:val="6DAB5C2D"/>
    <w:rsid w:val="6DAB5C3B"/>
    <w:rsid w:val="6DAC0C93"/>
    <w:rsid w:val="6DAE0425"/>
    <w:rsid w:val="6DB231D0"/>
    <w:rsid w:val="6DB34098"/>
    <w:rsid w:val="6DB545B6"/>
    <w:rsid w:val="6DB81E36"/>
    <w:rsid w:val="6DBA002D"/>
    <w:rsid w:val="6DBE3C4E"/>
    <w:rsid w:val="6DC027D6"/>
    <w:rsid w:val="6DC22F84"/>
    <w:rsid w:val="6DC521CC"/>
    <w:rsid w:val="6DC7326F"/>
    <w:rsid w:val="6DC83329"/>
    <w:rsid w:val="6DCB41AC"/>
    <w:rsid w:val="6DCF102A"/>
    <w:rsid w:val="6DD107B3"/>
    <w:rsid w:val="6DD1283F"/>
    <w:rsid w:val="6DD2006C"/>
    <w:rsid w:val="6DD35615"/>
    <w:rsid w:val="6DDA1A5D"/>
    <w:rsid w:val="6DDA4056"/>
    <w:rsid w:val="6DDB4587"/>
    <w:rsid w:val="6DE00AD1"/>
    <w:rsid w:val="6DE02FB4"/>
    <w:rsid w:val="6DE151B8"/>
    <w:rsid w:val="6DE1564C"/>
    <w:rsid w:val="6DE34AB3"/>
    <w:rsid w:val="6DE413E2"/>
    <w:rsid w:val="6DE57EC8"/>
    <w:rsid w:val="6DEB2CA1"/>
    <w:rsid w:val="6DEE3106"/>
    <w:rsid w:val="6DEF5025"/>
    <w:rsid w:val="6DF051DD"/>
    <w:rsid w:val="6DF05F47"/>
    <w:rsid w:val="6DF0767F"/>
    <w:rsid w:val="6DF443F9"/>
    <w:rsid w:val="6DF5639D"/>
    <w:rsid w:val="6DFE5005"/>
    <w:rsid w:val="6DFF7448"/>
    <w:rsid w:val="6E027546"/>
    <w:rsid w:val="6E0825DD"/>
    <w:rsid w:val="6E08677A"/>
    <w:rsid w:val="6E0F3B96"/>
    <w:rsid w:val="6E154336"/>
    <w:rsid w:val="6E186F44"/>
    <w:rsid w:val="6E197355"/>
    <w:rsid w:val="6E1C2812"/>
    <w:rsid w:val="6E1C2BDD"/>
    <w:rsid w:val="6E210E13"/>
    <w:rsid w:val="6E2165E5"/>
    <w:rsid w:val="6E250483"/>
    <w:rsid w:val="6E27222B"/>
    <w:rsid w:val="6E272BEC"/>
    <w:rsid w:val="6E2E168F"/>
    <w:rsid w:val="6E2F58F1"/>
    <w:rsid w:val="6E367A4D"/>
    <w:rsid w:val="6E3726FB"/>
    <w:rsid w:val="6E3A5C83"/>
    <w:rsid w:val="6E3B7265"/>
    <w:rsid w:val="6E3C546C"/>
    <w:rsid w:val="6E3F2CC3"/>
    <w:rsid w:val="6E4C1BFC"/>
    <w:rsid w:val="6E4C1E42"/>
    <w:rsid w:val="6E4D50C8"/>
    <w:rsid w:val="6E4D6BFA"/>
    <w:rsid w:val="6E4F642E"/>
    <w:rsid w:val="6E50175B"/>
    <w:rsid w:val="6E505E1E"/>
    <w:rsid w:val="6E514CED"/>
    <w:rsid w:val="6E5C0805"/>
    <w:rsid w:val="6E5F6E82"/>
    <w:rsid w:val="6E600E3C"/>
    <w:rsid w:val="6E61151C"/>
    <w:rsid w:val="6E63482A"/>
    <w:rsid w:val="6E64161C"/>
    <w:rsid w:val="6E65368A"/>
    <w:rsid w:val="6E653F8B"/>
    <w:rsid w:val="6E675F3F"/>
    <w:rsid w:val="6E690B80"/>
    <w:rsid w:val="6E693E22"/>
    <w:rsid w:val="6E6A09D1"/>
    <w:rsid w:val="6E6B3B37"/>
    <w:rsid w:val="6E6F098E"/>
    <w:rsid w:val="6E792D77"/>
    <w:rsid w:val="6E7C7707"/>
    <w:rsid w:val="6E860AB7"/>
    <w:rsid w:val="6E8B430C"/>
    <w:rsid w:val="6E8B61EB"/>
    <w:rsid w:val="6E93503B"/>
    <w:rsid w:val="6E961FE8"/>
    <w:rsid w:val="6E9749BB"/>
    <w:rsid w:val="6E9915C9"/>
    <w:rsid w:val="6E9A0160"/>
    <w:rsid w:val="6E9B1621"/>
    <w:rsid w:val="6E9D4BB2"/>
    <w:rsid w:val="6E9F22E0"/>
    <w:rsid w:val="6EA17281"/>
    <w:rsid w:val="6EA61B17"/>
    <w:rsid w:val="6EA70D1D"/>
    <w:rsid w:val="6EA84085"/>
    <w:rsid w:val="6EAA3085"/>
    <w:rsid w:val="6EAE0D67"/>
    <w:rsid w:val="6EB3654F"/>
    <w:rsid w:val="6EB45A62"/>
    <w:rsid w:val="6EB467F3"/>
    <w:rsid w:val="6EB563D5"/>
    <w:rsid w:val="6EB75EAC"/>
    <w:rsid w:val="6EB93255"/>
    <w:rsid w:val="6EBF0D93"/>
    <w:rsid w:val="6EC14AFB"/>
    <w:rsid w:val="6EC176CD"/>
    <w:rsid w:val="6EC45EC5"/>
    <w:rsid w:val="6ED10D60"/>
    <w:rsid w:val="6ED2072F"/>
    <w:rsid w:val="6ED20CB6"/>
    <w:rsid w:val="6ED26EAA"/>
    <w:rsid w:val="6ED34A58"/>
    <w:rsid w:val="6ED92677"/>
    <w:rsid w:val="6EDD2D2B"/>
    <w:rsid w:val="6EDE6E89"/>
    <w:rsid w:val="6EE56F38"/>
    <w:rsid w:val="6EE9608C"/>
    <w:rsid w:val="6EE96DD9"/>
    <w:rsid w:val="6EEA2014"/>
    <w:rsid w:val="6EEB29A3"/>
    <w:rsid w:val="6EEB6BE4"/>
    <w:rsid w:val="6EED415C"/>
    <w:rsid w:val="6EED5896"/>
    <w:rsid w:val="6EED6276"/>
    <w:rsid w:val="6EEE4702"/>
    <w:rsid w:val="6EEF5F94"/>
    <w:rsid w:val="6EEF761E"/>
    <w:rsid w:val="6EF05C72"/>
    <w:rsid w:val="6EF136C1"/>
    <w:rsid w:val="6EF26A5A"/>
    <w:rsid w:val="6EFB4EBB"/>
    <w:rsid w:val="6F0346CB"/>
    <w:rsid w:val="6F0C753D"/>
    <w:rsid w:val="6F1538CE"/>
    <w:rsid w:val="6F1954CC"/>
    <w:rsid w:val="6F1A7F61"/>
    <w:rsid w:val="6F1C1CD5"/>
    <w:rsid w:val="6F1C2781"/>
    <w:rsid w:val="6F1F2D15"/>
    <w:rsid w:val="6F2129A1"/>
    <w:rsid w:val="6F225983"/>
    <w:rsid w:val="6F236534"/>
    <w:rsid w:val="6F2506F4"/>
    <w:rsid w:val="6F2570F3"/>
    <w:rsid w:val="6F261BBB"/>
    <w:rsid w:val="6F264BAB"/>
    <w:rsid w:val="6F2A2BB5"/>
    <w:rsid w:val="6F2C65A7"/>
    <w:rsid w:val="6F3327D7"/>
    <w:rsid w:val="6F332C98"/>
    <w:rsid w:val="6F3E70A5"/>
    <w:rsid w:val="6F434F45"/>
    <w:rsid w:val="6F5237E2"/>
    <w:rsid w:val="6F540277"/>
    <w:rsid w:val="6F541B3E"/>
    <w:rsid w:val="6F542F02"/>
    <w:rsid w:val="6F550940"/>
    <w:rsid w:val="6F566255"/>
    <w:rsid w:val="6F57078A"/>
    <w:rsid w:val="6F5E1CF1"/>
    <w:rsid w:val="6F6172D8"/>
    <w:rsid w:val="6F6307CF"/>
    <w:rsid w:val="6F6507D5"/>
    <w:rsid w:val="6F676083"/>
    <w:rsid w:val="6F6B4706"/>
    <w:rsid w:val="6F7468D8"/>
    <w:rsid w:val="6F750687"/>
    <w:rsid w:val="6F785C22"/>
    <w:rsid w:val="6F7C64DA"/>
    <w:rsid w:val="6F7E6BAB"/>
    <w:rsid w:val="6F8509EC"/>
    <w:rsid w:val="6F8D2563"/>
    <w:rsid w:val="6F8D4AF5"/>
    <w:rsid w:val="6F920BC2"/>
    <w:rsid w:val="6FA47234"/>
    <w:rsid w:val="6FA67264"/>
    <w:rsid w:val="6FAA0932"/>
    <w:rsid w:val="6FAA2439"/>
    <w:rsid w:val="6FB03C18"/>
    <w:rsid w:val="6FB10CC4"/>
    <w:rsid w:val="6FB3008B"/>
    <w:rsid w:val="6FB7357B"/>
    <w:rsid w:val="6FB91FC8"/>
    <w:rsid w:val="6FBA08D9"/>
    <w:rsid w:val="6FBC25F2"/>
    <w:rsid w:val="6FBE473C"/>
    <w:rsid w:val="6FC27C7F"/>
    <w:rsid w:val="6FC67209"/>
    <w:rsid w:val="6FC75AD6"/>
    <w:rsid w:val="6FCA4A6F"/>
    <w:rsid w:val="6FCC562F"/>
    <w:rsid w:val="6FCE4AA3"/>
    <w:rsid w:val="6FD23FDE"/>
    <w:rsid w:val="6FDA77FB"/>
    <w:rsid w:val="6FDD10CB"/>
    <w:rsid w:val="6FDE06AE"/>
    <w:rsid w:val="6FDE3749"/>
    <w:rsid w:val="6FDE45BC"/>
    <w:rsid w:val="6FDF1772"/>
    <w:rsid w:val="6FE359B2"/>
    <w:rsid w:val="6FE41412"/>
    <w:rsid w:val="6FE50B0F"/>
    <w:rsid w:val="6FE81497"/>
    <w:rsid w:val="6FE868A8"/>
    <w:rsid w:val="6FE93B71"/>
    <w:rsid w:val="6FEA059A"/>
    <w:rsid w:val="6FEC5C83"/>
    <w:rsid w:val="6FED6868"/>
    <w:rsid w:val="6FF232D9"/>
    <w:rsid w:val="6FF40790"/>
    <w:rsid w:val="6FF50D4B"/>
    <w:rsid w:val="6FF5248F"/>
    <w:rsid w:val="6FF62F16"/>
    <w:rsid w:val="6FFA1B28"/>
    <w:rsid w:val="6FFC5590"/>
    <w:rsid w:val="700013D3"/>
    <w:rsid w:val="700646E8"/>
    <w:rsid w:val="70080CAD"/>
    <w:rsid w:val="700840C8"/>
    <w:rsid w:val="700A1A36"/>
    <w:rsid w:val="700C177C"/>
    <w:rsid w:val="700D7206"/>
    <w:rsid w:val="7010232D"/>
    <w:rsid w:val="70130B6C"/>
    <w:rsid w:val="701B6405"/>
    <w:rsid w:val="701C2DDA"/>
    <w:rsid w:val="70246EF2"/>
    <w:rsid w:val="70263B78"/>
    <w:rsid w:val="70266B2C"/>
    <w:rsid w:val="7027027D"/>
    <w:rsid w:val="70280550"/>
    <w:rsid w:val="70283ED9"/>
    <w:rsid w:val="702C7654"/>
    <w:rsid w:val="702E0C27"/>
    <w:rsid w:val="702E79AC"/>
    <w:rsid w:val="70345BDF"/>
    <w:rsid w:val="70373FD5"/>
    <w:rsid w:val="7039618A"/>
    <w:rsid w:val="703E6F3D"/>
    <w:rsid w:val="703F0C3A"/>
    <w:rsid w:val="70415F4C"/>
    <w:rsid w:val="70441092"/>
    <w:rsid w:val="70456BB9"/>
    <w:rsid w:val="70483220"/>
    <w:rsid w:val="704A33B7"/>
    <w:rsid w:val="70546618"/>
    <w:rsid w:val="705574F3"/>
    <w:rsid w:val="70566757"/>
    <w:rsid w:val="70583641"/>
    <w:rsid w:val="705852C4"/>
    <w:rsid w:val="705E2896"/>
    <w:rsid w:val="70621041"/>
    <w:rsid w:val="70627906"/>
    <w:rsid w:val="70644CD0"/>
    <w:rsid w:val="70667C79"/>
    <w:rsid w:val="706759F6"/>
    <w:rsid w:val="706A1909"/>
    <w:rsid w:val="706B238B"/>
    <w:rsid w:val="706D0631"/>
    <w:rsid w:val="706D1DD0"/>
    <w:rsid w:val="706F01E9"/>
    <w:rsid w:val="706F68DD"/>
    <w:rsid w:val="707031FD"/>
    <w:rsid w:val="7070671A"/>
    <w:rsid w:val="7074570A"/>
    <w:rsid w:val="707565DD"/>
    <w:rsid w:val="707B177D"/>
    <w:rsid w:val="707B6BBE"/>
    <w:rsid w:val="707C4450"/>
    <w:rsid w:val="707E4B0A"/>
    <w:rsid w:val="707F12A0"/>
    <w:rsid w:val="707F766C"/>
    <w:rsid w:val="708318C9"/>
    <w:rsid w:val="70842F5A"/>
    <w:rsid w:val="708443DF"/>
    <w:rsid w:val="70856B87"/>
    <w:rsid w:val="708827A0"/>
    <w:rsid w:val="70886206"/>
    <w:rsid w:val="708D336F"/>
    <w:rsid w:val="708F6587"/>
    <w:rsid w:val="70960A52"/>
    <w:rsid w:val="709A06CE"/>
    <w:rsid w:val="709B7C9D"/>
    <w:rsid w:val="70A13461"/>
    <w:rsid w:val="70A317EE"/>
    <w:rsid w:val="70A40EDD"/>
    <w:rsid w:val="70A72860"/>
    <w:rsid w:val="70A8188A"/>
    <w:rsid w:val="70AC56C6"/>
    <w:rsid w:val="70AD6E32"/>
    <w:rsid w:val="70B054F5"/>
    <w:rsid w:val="70B616CD"/>
    <w:rsid w:val="70B62B99"/>
    <w:rsid w:val="70B7104C"/>
    <w:rsid w:val="70C51823"/>
    <w:rsid w:val="70C64896"/>
    <w:rsid w:val="70C86C6B"/>
    <w:rsid w:val="70C916AC"/>
    <w:rsid w:val="70CB3E79"/>
    <w:rsid w:val="70D20B3F"/>
    <w:rsid w:val="70D23371"/>
    <w:rsid w:val="70D33FEF"/>
    <w:rsid w:val="70D527EE"/>
    <w:rsid w:val="70DF365E"/>
    <w:rsid w:val="70E2447A"/>
    <w:rsid w:val="70E33021"/>
    <w:rsid w:val="70E43574"/>
    <w:rsid w:val="70EC7D25"/>
    <w:rsid w:val="70F069B9"/>
    <w:rsid w:val="70F30500"/>
    <w:rsid w:val="70F72C6F"/>
    <w:rsid w:val="70FF70E1"/>
    <w:rsid w:val="71027586"/>
    <w:rsid w:val="71054372"/>
    <w:rsid w:val="710572E9"/>
    <w:rsid w:val="710743E8"/>
    <w:rsid w:val="710A2AAA"/>
    <w:rsid w:val="710C6159"/>
    <w:rsid w:val="710E1465"/>
    <w:rsid w:val="710F27AA"/>
    <w:rsid w:val="71100D42"/>
    <w:rsid w:val="71126227"/>
    <w:rsid w:val="711326D3"/>
    <w:rsid w:val="71180156"/>
    <w:rsid w:val="7118675B"/>
    <w:rsid w:val="711E7897"/>
    <w:rsid w:val="71210EA9"/>
    <w:rsid w:val="712B774D"/>
    <w:rsid w:val="712F1D48"/>
    <w:rsid w:val="712F5422"/>
    <w:rsid w:val="712F61E0"/>
    <w:rsid w:val="712F6D9D"/>
    <w:rsid w:val="71352D3F"/>
    <w:rsid w:val="713752CB"/>
    <w:rsid w:val="71391932"/>
    <w:rsid w:val="71407B8A"/>
    <w:rsid w:val="71420B57"/>
    <w:rsid w:val="7147064D"/>
    <w:rsid w:val="71481BAA"/>
    <w:rsid w:val="714E33CE"/>
    <w:rsid w:val="714F35A2"/>
    <w:rsid w:val="714F36F0"/>
    <w:rsid w:val="714F4285"/>
    <w:rsid w:val="714F7F21"/>
    <w:rsid w:val="71533C69"/>
    <w:rsid w:val="71540266"/>
    <w:rsid w:val="715852E1"/>
    <w:rsid w:val="71596561"/>
    <w:rsid w:val="715B5300"/>
    <w:rsid w:val="715C6CAF"/>
    <w:rsid w:val="715D3905"/>
    <w:rsid w:val="71617052"/>
    <w:rsid w:val="71622571"/>
    <w:rsid w:val="71634C6E"/>
    <w:rsid w:val="716466D4"/>
    <w:rsid w:val="71651EAF"/>
    <w:rsid w:val="716630DE"/>
    <w:rsid w:val="716D3E7C"/>
    <w:rsid w:val="716F77EF"/>
    <w:rsid w:val="7170506B"/>
    <w:rsid w:val="71774A2E"/>
    <w:rsid w:val="717B3625"/>
    <w:rsid w:val="717C08DF"/>
    <w:rsid w:val="717C420B"/>
    <w:rsid w:val="71841222"/>
    <w:rsid w:val="7187035C"/>
    <w:rsid w:val="718908EC"/>
    <w:rsid w:val="718C6275"/>
    <w:rsid w:val="71957714"/>
    <w:rsid w:val="719B76B8"/>
    <w:rsid w:val="719D4145"/>
    <w:rsid w:val="719F0C19"/>
    <w:rsid w:val="719F7A76"/>
    <w:rsid w:val="71A05462"/>
    <w:rsid w:val="71A434E0"/>
    <w:rsid w:val="71A844E6"/>
    <w:rsid w:val="71B130A5"/>
    <w:rsid w:val="71B52EF4"/>
    <w:rsid w:val="71B539F1"/>
    <w:rsid w:val="71B55022"/>
    <w:rsid w:val="71B72A98"/>
    <w:rsid w:val="71BB5FC7"/>
    <w:rsid w:val="71BE0BB5"/>
    <w:rsid w:val="71BE1591"/>
    <w:rsid w:val="71BF6534"/>
    <w:rsid w:val="71C24AAE"/>
    <w:rsid w:val="71C664AB"/>
    <w:rsid w:val="71C801BC"/>
    <w:rsid w:val="71C83BBA"/>
    <w:rsid w:val="71C90000"/>
    <w:rsid w:val="71CD6033"/>
    <w:rsid w:val="71CF085E"/>
    <w:rsid w:val="71D122C0"/>
    <w:rsid w:val="71D27F8A"/>
    <w:rsid w:val="71DC182C"/>
    <w:rsid w:val="71E10BB1"/>
    <w:rsid w:val="71E13287"/>
    <w:rsid w:val="71E66A82"/>
    <w:rsid w:val="71E85021"/>
    <w:rsid w:val="71EC54EE"/>
    <w:rsid w:val="71EF2D37"/>
    <w:rsid w:val="71F118FE"/>
    <w:rsid w:val="71F2258F"/>
    <w:rsid w:val="71F56D0F"/>
    <w:rsid w:val="71FA16C7"/>
    <w:rsid w:val="71FE64E3"/>
    <w:rsid w:val="71FF0F1B"/>
    <w:rsid w:val="71FF5976"/>
    <w:rsid w:val="72010BF9"/>
    <w:rsid w:val="72017AD9"/>
    <w:rsid w:val="72077C35"/>
    <w:rsid w:val="720A42AD"/>
    <w:rsid w:val="720A56CE"/>
    <w:rsid w:val="7212395D"/>
    <w:rsid w:val="7212616F"/>
    <w:rsid w:val="7224514D"/>
    <w:rsid w:val="722600BB"/>
    <w:rsid w:val="72276327"/>
    <w:rsid w:val="722A5EF0"/>
    <w:rsid w:val="722B78FA"/>
    <w:rsid w:val="722C7483"/>
    <w:rsid w:val="722E0C05"/>
    <w:rsid w:val="72324FEC"/>
    <w:rsid w:val="72333A1F"/>
    <w:rsid w:val="723F777B"/>
    <w:rsid w:val="72411708"/>
    <w:rsid w:val="72442564"/>
    <w:rsid w:val="72447865"/>
    <w:rsid w:val="72457E8D"/>
    <w:rsid w:val="72457F98"/>
    <w:rsid w:val="724663D8"/>
    <w:rsid w:val="72475C92"/>
    <w:rsid w:val="724E21BA"/>
    <w:rsid w:val="724F5DE5"/>
    <w:rsid w:val="72553024"/>
    <w:rsid w:val="72557775"/>
    <w:rsid w:val="72570758"/>
    <w:rsid w:val="725D759A"/>
    <w:rsid w:val="725F3645"/>
    <w:rsid w:val="726248CA"/>
    <w:rsid w:val="726575FD"/>
    <w:rsid w:val="72681D6A"/>
    <w:rsid w:val="7268749B"/>
    <w:rsid w:val="726D24F6"/>
    <w:rsid w:val="7270370F"/>
    <w:rsid w:val="72724396"/>
    <w:rsid w:val="72730CF5"/>
    <w:rsid w:val="72752C01"/>
    <w:rsid w:val="727541D8"/>
    <w:rsid w:val="7277124E"/>
    <w:rsid w:val="727C30E2"/>
    <w:rsid w:val="728833D7"/>
    <w:rsid w:val="728B4436"/>
    <w:rsid w:val="728D51D9"/>
    <w:rsid w:val="728E4A21"/>
    <w:rsid w:val="729212A3"/>
    <w:rsid w:val="72981DDD"/>
    <w:rsid w:val="72A52114"/>
    <w:rsid w:val="72AB5DF6"/>
    <w:rsid w:val="72B36A47"/>
    <w:rsid w:val="72B712E1"/>
    <w:rsid w:val="72C21DFC"/>
    <w:rsid w:val="72C25F5E"/>
    <w:rsid w:val="72D24B8B"/>
    <w:rsid w:val="72D25F2D"/>
    <w:rsid w:val="72D5092E"/>
    <w:rsid w:val="72D51844"/>
    <w:rsid w:val="72D90744"/>
    <w:rsid w:val="72DC1023"/>
    <w:rsid w:val="72E50BEF"/>
    <w:rsid w:val="72E60B5F"/>
    <w:rsid w:val="72E8175A"/>
    <w:rsid w:val="72F2569E"/>
    <w:rsid w:val="72F402C2"/>
    <w:rsid w:val="72F46E73"/>
    <w:rsid w:val="72F66407"/>
    <w:rsid w:val="73002D57"/>
    <w:rsid w:val="730067ED"/>
    <w:rsid w:val="73030EE2"/>
    <w:rsid w:val="73067D00"/>
    <w:rsid w:val="730A60D4"/>
    <w:rsid w:val="731220FB"/>
    <w:rsid w:val="73122968"/>
    <w:rsid w:val="731824C1"/>
    <w:rsid w:val="73186149"/>
    <w:rsid w:val="731C27A2"/>
    <w:rsid w:val="731E10E0"/>
    <w:rsid w:val="731F5D5E"/>
    <w:rsid w:val="73221932"/>
    <w:rsid w:val="73233684"/>
    <w:rsid w:val="73250726"/>
    <w:rsid w:val="73282D51"/>
    <w:rsid w:val="732B5C91"/>
    <w:rsid w:val="732E05E8"/>
    <w:rsid w:val="732E0E4D"/>
    <w:rsid w:val="7332206E"/>
    <w:rsid w:val="733319B2"/>
    <w:rsid w:val="733422B4"/>
    <w:rsid w:val="733575C0"/>
    <w:rsid w:val="733C44B8"/>
    <w:rsid w:val="733D306D"/>
    <w:rsid w:val="734141FA"/>
    <w:rsid w:val="7343402B"/>
    <w:rsid w:val="734411AD"/>
    <w:rsid w:val="73472959"/>
    <w:rsid w:val="73491A73"/>
    <w:rsid w:val="734D15E6"/>
    <w:rsid w:val="73530519"/>
    <w:rsid w:val="73554857"/>
    <w:rsid w:val="73554CD6"/>
    <w:rsid w:val="73572BAA"/>
    <w:rsid w:val="735875A6"/>
    <w:rsid w:val="7359099C"/>
    <w:rsid w:val="735D210B"/>
    <w:rsid w:val="73603C4B"/>
    <w:rsid w:val="73623733"/>
    <w:rsid w:val="736275DA"/>
    <w:rsid w:val="736A2E65"/>
    <w:rsid w:val="736B2D4B"/>
    <w:rsid w:val="736D1D60"/>
    <w:rsid w:val="73712764"/>
    <w:rsid w:val="73715787"/>
    <w:rsid w:val="73721E3E"/>
    <w:rsid w:val="73750BED"/>
    <w:rsid w:val="73751AEA"/>
    <w:rsid w:val="73784DDF"/>
    <w:rsid w:val="737A4ACE"/>
    <w:rsid w:val="737D457A"/>
    <w:rsid w:val="73800F62"/>
    <w:rsid w:val="73852C47"/>
    <w:rsid w:val="738A3DA1"/>
    <w:rsid w:val="738B5ED5"/>
    <w:rsid w:val="73902C9C"/>
    <w:rsid w:val="73917B3D"/>
    <w:rsid w:val="7393158B"/>
    <w:rsid w:val="73972590"/>
    <w:rsid w:val="739961CA"/>
    <w:rsid w:val="73996C6C"/>
    <w:rsid w:val="739A2F3C"/>
    <w:rsid w:val="739A3D3E"/>
    <w:rsid w:val="73A148D8"/>
    <w:rsid w:val="73A208A1"/>
    <w:rsid w:val="73A33717"/>
    <w:rsid w:val="73A826FF"/>
    <w:rsid w:val="73A96571"/>
    <w:rsid w:val="73AA77E2"/>
    <w:rsid w:val="73AE07D5"/>
    <w:rsid w:val="73AE45FB"/>
    <w:rsid w:val="73AE6208"/>
    <w:rsid w:val="73B80D95"/>
    <w:rsid w:val="73B9241A"/>
    <w:rsid w:val="73BB55BE"/>
    <w:rsid w:val="73BB6568"/>
    <w:rsid w:val="73C51AD5"/>
    <w:rsid w:val="73CE5AAE"/>
    <w:rsid w:val="73D0576A"/>
    <w:rsid w:val="73D0584F"/>
    <w:rsid w:val="73D148CB"/>
    <w:rsid w:val="73D32DC9"/>
    <w:rsid w:val="73D55AAB"/>
    <w:rsid w:val="73D56FE9"/>
    <w:rsid w:val="73D627D8"/>
    <w:rsid w:val="73D7244A"/>
    <w:rsid w:val="73D83B22"/>
    <w:rsid w:val="73D948E6"/>
    <w:rsid w:val="73DE712F"/>
    <w:rsid w:val="73E163CB"/>
    <w:rsid w:val="73E37418"/>
    <w:rsid w:val="73E519BA"/>
    <w:rsid w:val="73EB034C"/>
    <w:rsid w:val="73EE6D96"/>
    <w:rsid w:val="73F02686"/>
    <w:rsid w:val="73F15A65"/>
    <w:rsid w:val="73F306FB"/>
    <w:rsid w:val="73FC4BF8"/>
    <w:rsid w:val="73FD35AC"/>
    <w:rsid w:val="740064C1"/>
    <w:rsid w:val="74017DF2"/>
    <w:rsid w:val="74032A6C"/>
    <w:rsid w:val="74044112"/>
    <w:rsid w:val="74051104"/>
    <w:rsid w:val="74060918"/>
    <w:rsid w:val="740D1562"/>
    <w:rsid w:val="740F42E8"/>
    <w:rsid w:val="74103605"/>
    <w:rsid w:val="74117383"/>
    <w:rsid w:val="74141C3D"/>
    <w:rsid w:val="741E424D"/>
    <w:rsid w:val="741E793C"/>
    <w:rsid w:val="74223A17"/>
    <w:rsid w:val="742E0EA6"/>
    <w:rsid w:val="74313D0D"/>
    <w:rsid w:val="74354F46"/>
    <w:rsid w:val="74363933"/>
    <w:rsid w:val="74373814"/>
    <w:rsid w:val="743A4723"/>
    <w:rsid w:val="743E4429"/>
    <w:rsid w:val="744038E7"/>
    <w:rsid w:val="7440527A"/>
    <w:rsid w:val="7443642C"/>
    <w:rsid w:val="74436740"/>
    <w:rsid w:val="7445399E"/>
    <w:rsid w:val="74474F38"/>
    <w:rsid w:val="74477746"/>
    <w:rsid w:val="744F4FD4"/>
    <w:rsid w:val="745B3055"/>
    <w:rsid w:val="745E3944"/>
    <w:rsid w:val="745F13FF"/>
    <w:rsid w:val="74631466"/>
    <w:rsid w:val="74642DF1"/>
    <w:rsid w:val="74667DB8"/>
    <w:rsid w:val="746A606A"/>
    <w:rsid w:val="746C771D"/>
    <w:rsid w:val="74736378"/>
    <w:rsid w:val="74740CBC"/>
    <w:rsid w:val="74742E76"/>
    <w:rsid w:val="7475647A"/>
    <w:rsid w:val="7476285A"/>
    <w:rsid w:val="74772E83"/>
    <w:rsid w:val="747A0186"/>
    <w:rsid w:val="747B6A10"/>
    <w:rsid w:val="74826D60"/>
    <w:rsid w:val="748727E9"/>
    <w:rsid w:val="748C16E8"/>
    <w:rsid w:val="74917CCC"/>
    <w:rsid w:val="74923922"/>
    <w:rsid w:val="74930198"/>
    <w:rsid w:val="749C613E"/>
    <w:rsid w:val="74A0040D"/>
    <w:rsid w:val="74A27775"/>
    <w:rsid w:val="74A74827"/>
    <w:rsid w:val="74A81AEC"/>
    <w:rsid w:val="74A93947"/>
    <w:rsid w:val="74AD4553"/>
    <w:rsid w:val="74AE236E"/>
    <w:rsid w:val="74B250D5"/>
    <w:rsid w:val="74B802F7"/>
    <w:rsid w:val="74BB1AEC"/>
    <w:rsid w:val="74BD3048"/>
    <w:rsid w:val="74BE4BFA"/>
    <w:rsid w:val="74BF7845"/>
    <w:rsid w:val="74C01D82"/>
    <w:rsid w:val="74C2203C"/>
    <w:rsid w:val="74C31383"/>
    <w:rsid w:val="74CA4DEA"/>
    <w:rsid w:val="74D04575"/>
    <w:rsid w:val="74D10B0A"/>
    <w:rsid w:val="74D52299"/>
    <w:rsid w:val="74DB5349"/>
    <w:rsid w:val="74E47D79"/>
    <w:rsid w:val="74E930EC"/>
    <w:rsid w:val="74EC4735"/>
    <w:rsid w:val="74F207C1"/>
    <w:rsid w:val="74FC4C89"/>
    <w:rsid w:val="74FC4FB0"/>
    <w:rsid w:val="74FC5162"/>
    <w:rsid w:val="75046B8D"/>
    <w:rsid w:val="7505523B"/>
    <w:rsid w:val="7509007F"/>
    <w:rsid w:val="750A463E"/>
    <w:rsid w:val="750B4E9D"/>
    <w:rsid w:val="750E0BC6"/>
    <w:rsid w:val="750E2631"/>
    <w:rsid w:val="7515723B"/>
    <w:rsid w:val="751F4029"/>
    <w:rsid w:val="75206FE0"/>
    <w:rsid w:val="75233776"/>
    <w:rsid w:val="75235687"/>
    <w:rsid w:val="752B34A7"/>
    <w:rsid w:val="75306F58"/>
    <w:rsid w:val="7532416C"/>
    <w:rsid w:val="753618B5"/>
    <w:rsid w:val="75377B41"/>
    <w:rsid w:val="75385ADD"/>
    <w:rsid w:val="753F23DB"/>
    <w:rsid w:val="753F2BC5"/>
    <w:rsid w:val="7547428E"/>
    <w:rsid w:val="754B54EB"/>
    <w:rsid w:val="754D4A59"/>
    <w:rsid w:val="754E4880"/>
    <w:rsid w:val="755306E6"/>
    <w:rsid w:val="755660AB"/>
    <w:rsid w:val="755E1E92"/>
    <w:rsid w:val="756101C4"/>
    <w:rsid w:val="75634925"/>
    <w:rsid w:val="756361BB"/>
    <w:rsid w:val="756535E7"/>
    <w:rsid w:val="7567681E"/>
    <w:rsid w:val="75677E76"/>
    <w:rsid w:val="756F49C5"/>
    <w:rsid w:val="757157C8"/>
    <w:rsid w:val="75722601"/>
    <w:rsid w:val="75760FC6"/>
    <w:rsid w:val="757A3626"/>
    <w:rsid w:val="757C043B"/>
    <w:rsid w:val="757F1AF6"/>
    <w:rsid w:val="758640B7"/>
    <w:rsid w:val="758D4185"/>
    <w:rsid w:val="7590225E"/>
    <w:rsid w:val="75947039"/>
    <w:rsid w:val="759744E5"/>
    <w:rsid w:val="75992D41"/>
    <w:rsid w:val="759B0397"/>
    <w:rsid w:val="759F22CE"/>
    <w:rsid w:val="75A01F0B"/>
    <w:rsid w:val="75A3597A"/>
    <w:rsid w:val="75A378FB"/>
    <w:rsid w:val="75A63358"/>
    <w:rsid w:val="75A941F3"/>
    <w:rsid w:val="75AB360D"/>
    <w:rsid w:val="75AF650A"/>
    <w:rsid w:val="75B1229C"/>
    <w:rsid w:val="75B157A1"/>
    <w:rsid w:val="75B37B4A"/>
    <w:rsid w:val="75B645D9"/>
    <w:rsid w:val="75B82343"/>
    <w:rsid w:val="75BE2190"/>
    <w:rsid w:val="75BF5E54"/>
    <w:rsid w:val="75DC432C"/>
    <w:rsid w:val="75DC6398"/>
    <w:rsid w:val="75DC7AFE"/>
    <w:rsid w:val="75DD7DA9"/>
    <w:rsid w:val="75E006E8"/>
    <w:rsid w:val="75E25463"/>
    <w:rsid w:val="75E44E88"/>
    <w:rsid w:val="75E55A02"/>
    <w:rsid w:val="75EF0734"/>
    <w:rsid w:val="75F05887"/>
    <w:rsid w:val="75F5246F"/>
    <w:rsid w:val="75F74140"/>
    <w:rsid w:val="75F75C43"/>
    <w:rsid w:val="75F84008"/>
    <w:rsid w:val="75FD0EA6"/>
    <w:rsid w:val="76002125"/>
    <w:rsid w:val="76005892"/>
    <w:rsid w:val="76035454"/>
    <w:rsid w:val="76044F60"/>
    <w:rsid w:val="760557C0"/>
    <w:rsid w:val="760A40D0"/>
    <w:rsid w:val="760A5604"/>
    <w:rsid w:val="760A6ABA"/>
    <w:rsid w:val="76154E6E"/>
    <w:rsid w:val="761639DE"/>
    <w:rsid w:val="76190D38"/>
    <w:rsid w:val="761D02D8"/>
    <w:rsid w:val="761D0F20"/>
    <w:rsid w:val="76290E65"/>
    <w:rsid w:val="762D4531"/>
    <w:rsid w:val="762F69E0"/>
    <w:rsid w:val="76340C85"/>
    <w:rsid w:val="7635099D"/>
    <w:rsid w:val="76395184"/>
    <w:rsid w:val="763C1D0B"/>
    <w:rsid w:val="763D3966"/>
    <w:rsid w:val="763E5A2A"/>
    <w:rsid w:val="764350A3"/>
    <w:rsid w:val="764C4305"/>
    <w:rsid w:val="764C7205"/>
    <w:rsid w:val="765446EC"/>
    <w:rsid w:val="76577920"/>
    <w:rsid w:val="76593E6C"/>
    <w:rsid w:val="765B36D8"/>
    <w:rsid w:val="765D449F"/>
    <w:rsid w:val="76665808"/>
    <w:rsid w:val="766A5D82"/>
    <w:rsid w:val="766D228D"/>
    <w:rsid w:val="766D3087"/>
    <w:rsid w:val="767233EC"/>
    <w:rsid w:val="76726B57"/>
    <w:rsid w:val="767843B7"/>
    <w:rsid w:val="767855FA"/>
    <w:rsid w:val="767B62DC"/>
    <w:rsid w:val="76803C15"/>
    <w:rsid w:val="7683161E"/>
    <w:rsid w:val="76856B55"/>
    <w:rsid w:val="7686465C"/>
    <w:rsid w:val="768B3279"/>
    <w:rsid w:val="768D00F1"/>
    <w:rsid w:val="768D1949"/>
    <w:rsid w:val="768D5012"/>
    <w:rsid w:val="76927038"/>
    <w:rsid w:val="76933BA6"/>
    <w:rsid w:val="769934A1"/>
    <w:rsid w:val="769A1D3E"/>
    <w:rsid w:val="769B1A14"/>
    <w:rsid w:val="769D4BD9"/>
    <w:rsid w:val="769E516D"/>
    <w:rsid w:val="76A724B9"/>
    <w:rsid w:val="76A83AE5"/>
    <w:rsid w:val="76A87EE7"/>
    <w:rsid w:val="76B73316"/>
    <w:rsid w:val="76BA0491"/>
    <w:rsid w:val="76BF0FEF"/>
    <w:rsid w:val="76C60BFB"/>
    <w:rsid w:val="76C726C5"/>
    <w:rsid w:val="76C92DCC"/>
    <w:rsid w:val="76CC564C"/>
    <w:rsid w:val="76CF58C5"/>
    <w:rsid w:val="76D56126"/>
    <w:rsid w:val="76D77E1F"/>
    <w:rsid w:val="76D8187D"/>
    <w:rsid w:val="76DF29BC"/>
    <w:rsid w:val="76DF632D"/>
    <w:rsid w:val="76E02B4C"/>
    <w:rsid w:val="76E17612"/>
    <w:rsid w:val="76E220A3"/>
    <w:rsid w:val="76E67EDB"/>
    <w:rsid w:val="76E91B7E"/>
    <w:rsid w:val="76E96BB4"/>
    <w:rsid w:val="76EB7DA5"/>
    <w:rsid w:val="76EC179A"/>
    <w:rsid w:val="76FD4963"/>
    <w:rsid w:val="76FD6929"/>
    <w:rsid w:val="77055B01"/>
    <w:rsid w:val="77112582"/>
    <w:rsid w:val="771322A7"/>
    <w:rsid w:val="771738B4"/>
    <w:rsid w:val="771938D5"/>
    <w:rsid w:val="7719775E"/>
    <w:rsid w:val="771A2B7A"/>
    <w:rsid w:val="77297C58"/>
    <w:rsid w:val="772A74C8"/>
    <w:rsid w:val="772C1462"/>
    <w:rsid w:val="77316AE1"/>
    <w:rsid w:val="77336B35"/>
    <w:rsid w:val="773405BF"/>
    <w:rsid w:val="773909EC"/>
    <w:rsid w:val="773A1EE6"/>
    <w:rsid w:val="773A4655"/>
    <w:rsid w:val="77411DC1"/>
    <w:rsid w:val="774223F1"/>
    <w:rsid w:val="774356CF"/>
    <w:rsid w:val="774B22AC"/>
    <w:rsid w:val="774C441B"/>
    <w:rsid w:val="774E456D"/>
    <w:rsid w:val="775043EC"/>
    <w:rsid w:val="775063A5"/>
    <w:rsid w:val="77535729"/>
    <w:rsid w:val="775473F3"/>
    <w:rsid w:val="775B44E0"/>
    <w:rsid w:val="775E18D9"/>
    <w:rsid w:val="775E5F13"/>
    <w:rsid w:val="776625FC"/>
    <w:rsid w:val="77721779"/>
    <w:rsid w:val="777440EE"/>
    <w:rsid w:val="77762421"/>
    <w:rsid w:val="77767EBD"/>
    <w:rsid w:val="777A0817"/>
    <w:rsid w:val="777B4D92"/>
    <w:rsid w:val="777E6178"/>
    <w:rsid w:val="778331E1"/>
    <w:rsid w:val="778779EC"/>
    <w:rsid w:val="77916C83"/>
    <w:rsid w:val="779761A9"/>
    <w:rsid w:val="779B2CFE"/>
    <w:rsid w:val="779B5D07"/>
    <w:rsid w:val="779C63B1"/>
    <w:rsid w:val="779E0885"/>
    <w:rsid w:val="77A03AB8"/>
    <w:rsid w:val="77A1120D"/>
    <w:rsid w:val="77A30DFC"/>
    <w:rsid w:val="77A726C9"/>
    <w:rsid w:val="77B131EA"/>
    <w:rsid w:val="77B1700B"/>
    <w:rsid w:val="77B232B3"/>
    <w:rsid w:val="77B313D8"/>
    <w:rsid w:val="77B344A2"/>
    <w:rsid w:val="77B35A27"/>
    <w:rsid w:val="77B56B1F"/>
    <w:rsid w:val="77B63F45"/>
    <w:rsid w:val="77BD5094"/>
    <w:rsid w:val="77BF0202"/>
    <w:rsid w:val="77C24F9A"/>
    <w:rsid w:val="77C70566"/>
    <w:rsid w:val="77C9046C"/>
    <w:rsid w:val="77E36A4E"/>
    <w:rsid w:val="77E429D6"/>
    <w:rsid w:val="77E506A5"/>
    <w:rsid w:val="77EB251D"/>
    <w:rsid w:val="77EC5C94"/>
    <w:rsid w:val="77EE286A"/>
    <w:rsid w:val="77F1210F"/>
    <w:rsid w:val="77FA7763"/>
    <w:rsid w:val="77FB1CEE"/>
    <w:rsid w:val="78070C99"/>
    <w:rsid w:val="780A1B1E"/>
    <w:rsid w:val="780F09F4"/>
    <w:rsid w:val="780F0FFA"/>
    <w:rsid w:val="780F78FE"/>
    <w:rsid w:val="78101807"/>
    <w:rsid w:val="78124A80"/>
    <w:rsid w:val="78131982"/>
    <w:rsid w:val="781333B6"/>
    <w:rsid w:val="781579E7"/>
    <w:rsid w:val="781B4170"/>
    <w:rsid w:val="781F4F85"/>
    <w:rsid w:val="78230D05"/>
    <w:rsid w:val="78235857"/>
    <w:rsid w:val="78267F33"/>
    <w:rsid w:val="78280593"/>
    <w:rsid w:val="7829798C"/>
    <w:rsid w:val="782A0839"/>
    <w:rsid w:val="782B4DA2"/>
    <w:rsid w:val="78300CA6"/>
    <w:rsid w:val="78310B3B"/>
    <w:rsid w:val="78340390"/>
    <w:rsid w:val="78385E9D"/>
    <w:rsid w:val="783A6FEA"/>
    <w:rsid w:val="783E3FCC"/>
    <w:rsid w:val="78417D04"/>
    <w:rsid w:val="78445337"/>
    <w:rsid w:val="78480E3D"/>
    <w:rsid w:val="784A3E0F"/>
    <w:rsid w:val="784D2CFA"/>
    <w:rsid w:val="7851205E"/>
    <w:rsid w:val="785372F0"/>
    <w:rsid w:val="7856764C"/>
    <w:rsid w:val="785A3180"/>
    <w:rsid w:val="7860049A"/>
    <w:rsid w:val="78613B13"/>
    <w:rsid w:val="786635EF"/>
    <w:rsid w:val="786A44D6"/>
    <w:rsid w:val="786B320D"/>
    <w:rsid w:val="786E6120"/>
    <w:rsid w:val="787353BE"/>
    <w:rsid w:val="78747D86"/>
    <w:rsid w:val="78754DD7"/>
    <w:rsid w:val="78771BD0"/>
    <w:rsid w:val="78781572"/>
    <w:rsid w:val="78790677"/>
    <w:rsid w:val="787965F3"/>
    <w:rsid w:val="787F176C"/>
    <w:rsid w:val="7881338A"/>
    <w:rsid w:val="78826B16"/>
    <w:rsid w:val="78833FE1"/>
    <w:rsid w:val="78877256"/>
    <w:rsid w:val="788C3FB4"/>
    <w:rsid w:val="788E11BA"/>
    <w:rsid w:val="78936104"/>
    <w:rsid w:val="789B4B28"/>
    <w:rsid w:val="789D08A6"/>
    <w:rsid w:val="78A05269"/>
    <w:rsid w:val="78A227C6"/>
    <w:rsid w:val="78A41BF3"/>
    <w:rsid w:val="78A90480"/>
    <w:rsid w:val="78AA5C59"/>
    <w:rsid w:val="78B1328A"/>
    <w:rsid w:val="78B14950"/>
    <w:rsid w:val="78B30637"/>
    <w:rsid w:val="78B501F4"/>
    <w:rsid w:val="78B66CC2"/>
    <w:rsid w:val="78B671B8"/>
    <w:rsid w:val="78B73EE8"/>
    <w:rsid w:val="78BA4095"/>
    <w:rsid w:val="78C21009"/>
    <w:rsid w:val="78C22420"/>
    <w:rsid w:val="78C2309D"/>
    <w:rsid w:val="78C239C0"/>
    <w:rsid w:val="78C63F09"/>
    <w:rsid w:val="78C806F8"/>
    <w:rsid w:val="78C81230"/>
    <w:rsid w:val="78CC7AE5"/>
    <w:rsid w:val="78D00D4B"/>
    <w:rsid w:val="78D07381"/>
    <w:rsid w:val="78D10AE9"/>
    <w:rsid w:val="78D71AEE"/>
    <w:rsid w:val="78D847E4"/>
    <w:rsid w:val="78D97B42"/>
    <w:rsid w:val="78DC4A85"/>
    <w:rsid w:val="78DE0DFC"/>
    <w:rsid w:val="78E1247A"/>
    <w:rsid w:val="78EC42EE"/>
    <w:rsid w:val="78F40D28"/>
    <w:rsid w:val="78F42AF0"/>
    <w:rsid w:val="78F65C67"/>
    <w:rsid w:val="78F71BA6"/>
    <w:rsid w:val="78F73C19"/>
    <w:rsid w:val="78FA573C"/>
    <w:rsid w:val="78FC5F2C"/>
    <w:rsid w:val="78FE26AF"/>
    <w:rsid w:val="79052ADB"/>
    <w:rsid w:val="790608CE"/>
    <w:rsid w:val="790B3B05"/>
    <w:rsid w:val="790F096B"/>
    <w:rsid w:val="791B2517"/>
    <w:rsid w:val="79282A52"/>
    <w:rsid w:val="792B2E42"/>
    <w:rsid w:val="792E5993"/>
    <w:rsid w:val="79333A8A"/>
    <w:rsid w:val="793752E4"/>
    <w:rsid w:val="7937717B"/>
    <w:rsid w:val="793864BE"/>
    <w:rsid w:val="793A0039"/>
    <w:rsid w:val="793A2722"/>
    <w:rsid w:val="793E7D0D"/>
    <w:rsid w:val="794175ED"/>
    <w:rsid w:val="79463ED5"/>
    <w:rsid w:val="7947494D"/>
    <w:rsid w:val="79481ADF"/>
    <w:rsid w:val="79501600"/>
    <w:rsid w:val="79505C78"/>
    <w:rsid w:val="795419D3"/>
    <w:rsid w:val="79553C82"/>
    <w:rsid w:val="79564821"/>
    <w:rsid w:val="79570833"/>
    <w:rsid w:val="79592B3C"/>
    <w:rsid w:val="795D4C35"/>
    <w:rsid w:val="79614029"/>
    <w:rsid w:val="79616ECC"/>
    <w:rsid w:val="796407D0"/>
    <w:rsid w:val="7968377E"/>
    <w:rsid w:val="796B0671"/>
    <w:rsid w:val="796F7743"/>
    <w:rsid w:val="7972356B"/>
    <w:rsid w:val="7978123C"/>
    <w:rsid w:val="797911CF"/>
    <w:rsid w:val="7985752E"/>
    <w:rsid w:val="798742A1"/>
    <w:rsid w:val="798D041D"/>
    <w:rsid w:val="798E3B72"/>
    <w:rsid w:val="79905A3F"/>
    <w:rsid w:val="79905D9D"/>
    <w:rsid w:val="79920D1C"/>
    <w:rsid w:val="79956041"/>
    <w:rsid w:val="7996054C"/>
    <w:rsid w:val="799C05A5"/>
    <w:rsid w:val="799D7ED3"/>
    <w:rsid w:val="799E145A"/>
    <w:rsid w:val="799E7624"/>
    <w:rsid w:val="79A03B6C"/>
    <w:rsid w:val="79A256A5"/>
    <w:rsid w:val="79A61E5F"/>
    <w:rsid w:val="79A64E3F"/>
    <w:rsid w:val="79AF3A53"/>
    <w:rsid w:val="79B35136"/>
    <w:rsid w:val="79C0676D"/>
    <w:rsid w:val="79C40EF1"/>
    <w:rsid w:val="79C82410"/>
    <w:rsid w:val="79D27030"/>
    <w:rsid w:val="79D45290"/>
    <w:rsid w:val="79D93286"/>
    <w:rsid w:val="79DB6FC6"/>
    <w:rsid w:val="79DE4599"/>
    <w:rsid w:val="79E46ABD"/>
    <w:rsid w:val="79F74E1F"/>
    <w:rsid w:val="79F90388"/>
    <w:rsid w:val="79FC04B9"/>
    <w:rsid w:val="7A002098"/>
    <w:rsid w:val="7A002518"/>
    <w:rsid w:val="7A003987"/>
    <w:rsid w:val="7A023C53"/>
    <w:rsid w:val="7A0659B1"/>
    <w:rsid w:val="7A077E01"/>
    <w:rsid w:val="7A095F18"/>
    <w:rsid w:val="7A0C7748"/>
    <w:rsid w:val="7A0F6BC5"/>
    <w:rsid w:val="7A107E2A"/>
    <w:rsid w:val="7A153CEF"/>
    <w:rsid w:val="7A1D5878"/>
    <w:rsid w:val="7A1F2D1C"/>
    <w:rsid w:val="7A2113DD"/>
    <w:rsid w:val="7A234A0C"/>
    <w:rsid w:val="7A25546A"/>
    <w:rsid w:val="7A255A0F"/>
    <w:rsid w:val="7A283B79"/>
    <w:rsid w:val="7A287E27"/>
    <w:rsid w:val="7A2C0667"/>
    <w:rsid w:val="7A2C28EA"/>
    <w:rsid w:val="7A2D2189"/>
    <w:rsid w:val="7A3140E6"/>
    <w:rsid w:val="7A364017"/>
    <w:rsid w:val="7A3915AE"/>
    <w:rsid w:val="7A3F6CFD"/>
    <w:rsid w:val="7A3F72A1"/>
    <w:rsid w:val="7A455E14"/>
    <w:rsid w:val="7A4672D9"/>
    <w:rsid w:val="7A4A4299"/>
    <w:rsid w:val="7A4B44B4"/>
    <w:rsid w:val="7A4F6746"/>
    <w:rsid w:val="7A547FAB"/>
    <w:rsid w:val="7A551757"/>
    <w:rsid w:val="7A5666CF"/>
    <w:rsid w:val="7A585F91"/>
    <w:rsid w:val="7A5B5339"/>
    <w:rsid w:val="7A5C39AF"/>
    <w:rsid w:val="7A5F4879"/>
    <w:rsid w:val="7A625E0E"/>
    <w:rsid w:val="7A6370D4"/>
    <w:rsid w:val="7A643550"/>
    <w:rsid w:val="7A6C1FDA"/>
    <w:rsid w:val="7A6C28BD"/>
    <w:rsid w:val="7A6D4434"/>
    <w:rsid w:val="7A707A16"/>
    <w:rsid w:val="7A711DA7"/>
    <w:rsid w:val="7A765D71"/>
    <w:rsid w:val="7A767B29"/>
    <w:rsid w:val="7A780887"/>
    <w:rsid w:val="7A781B02"/>
    <w:rsid w:val="7A785248"/>
    <w:rsid w:val="7A7B0D31"/>
    <w:rsid w:val="7A7D1D5F"/>
    <w:rsid w:val="7A815B39"/>
    <w:rsid w:val="7A8265E1"/>
    <w:rsid w:val="7A837D96"/>
    <w:rsid w:val="7A862E00"/>
    <w:rsid w:val="7A895F60"/>
    <w:rsid w:val="7A8C267F"/>
    <w:rsid w:val="7A9D5168"/>
    <w:rsid w:val="7A9E7ED5"/>
    <w:rsid w:val="7AAC229B"/>
    <w:rsid w:val="7AAC723D"/>
    <w:rsid w:val="7AB01D36"/>
    <w:rsid w:val="7AB01EFC"/>
    <w:rsid w:val="7AB11A94"/>
    <w:rsid w:val="7AB313AF"/>
    <w:rsid w:val="7AB53747"/>
    <w:rsid w:val="7ABC3D8F"/>
    <w:rsid w:val="7ABD6490"/>
    <w:rsid w:val="7AC02395"/>
    <w:rsid w:val="7AC378E5"/>
    <w:rsid w:val="7AC970B1"/>
    <w:rsid w:val="7ACB12A8"/>
    <w:rsid w:val="7ACB4191"/>
    <w:rsid w:val="7ACB7E54"/>
    <w:rsid w:val="7ACE12BE"/>
    <w:rsid w:val="7AD06E67"/>
    <w:rsid w:val="7AD22D68"/>
    <w:rsid w:val="7AD40053"/>
    <w:rsid w:val="7AD55C76"/>
    <w:rsid w:val="7AD92308"/>
    <w:rsid w:val="7ADE5A94"/>
    <w:rsid w:val="7ADE6FF6"/>
    <w:rsid w:val="7AE05283"/>
    <w:rsid w:val="7AE14413"/>
    <w:rsid w:val="7AE66081"/>
    <w:rsid w:val="7AE972D1"/>
    <w:rsid w:val="7AEB0251"/>
    <w:rsid w:val="7AEE0429"/>
    <w:rsid w:val="7AF228E5"/>
    <w:rsid w:val="7AF677D0"/>
    <w:rsid w:val="7AFB18C6"/>
    <w:rsid w:val="7AFD0C10"/>
    <w:rsid w:val="7AFF2163"/>
    <w:rsid w:val="7AFF3EBE"/>
    <w:rsid w:val="7B0005F9"/>
    <w:rsid w:val="7B0149BD"/>
    <w:rsid w:val="7B03523D"/>
    <w:rsid w:val="7B03532E"/>
    <w:rsid w:val="7B071E4C"/>
    <w:rsid w:val="7B0731D8"/>
    <w:rsid w:val="7B09231F"/>
    <w:rsid w:val="7B0A0C3E"/>
    <w:rsid w:val="7B0C14DA"/>
    <w:rsid w:val="7B0C334B"/>
    <w:rsid w:val="7B0C6BAA"/>
    <w:rsid w:val="7B102D08"/>
    <w:rsid w:val="7B1E020F"/>
    <w:rsid w:val="7B1E3A93"/>
    <w:rsid w:val="7B224DB0"/>
    <w:rsid w:val="7B2A24D5"/>
    <w:rsid w:val="7B2A5E1E"/>
    <w:rsid w:val="7B335078"/>
    <w:rsid w:val="7B360B35"/>
    <w:rsid w:val="7B361579"/>
    <w:rsid w:val="7B3A2E86"/>
    <w:rsid w:val="7B3E3B32"/>
    <w:rsid w:val="7B440254"/>
    <w:rsid w:val="7B4405EB"/>
    <w:rsid w:val="7B450EF3"/>
    <w:rsid w:val="7B4560BC"/>
    <w:rsid w:val="7B457340"/>
    <w:rsid w:val="7B4E3805"/>
    <w:rsid w:val="7B52028F"/>
    <w:rsid w:val="7B5E268D"/>
    <w:rsid w:val="7B601186"/>
    <w:rsid w:val="7B602A56"/>
    <w:rsid w:val="7B610C79"/>
    <w:rsid w:val="7B666080"/>
    <w:rsid w:val="7B686D42"/>
    <w:rsid w:val="7B697202"/>
    <w:rsid w:val="7B6A5C7B"/>
    <w:rsid w:val="7B6E0296"/>
    <w:rsid w:val="7B74602A"/>
    <w:rsid w:val="7B7A558B"/>
    <w:rsid w:val="7B7A645E"/>
    <w:rsid w:val="7B7E5691"/>
    <w:rsid w:val="7B7F39DB"/>
    <w:rsid w:val="7B804290"/>
    <w:rsid w:val="7B832CCA"/>
    <w:rsid w:val="7B841746"/>
    <w:rsid w:val="7B842632"/>
    <w:rsid w:val="7B85225F"/>
    <w:rsid w:val="7B8B4AD1"/>
    <w:rsid w:val="7B9600BC"/>
    <w:rsid w:val="7B9669D4"/>
    <w:rsid w:val="7B98633D"/>
    <w:rsid w:val="7B9C1882"/>
    <w:rsid w:val="7BA33BE8"/>
    <w:rsid w:val="7BA41DD0"/>
    <w:rsid w:val="7BA52F9E"/>
    <w:rsid w:val="7BAC1F15"/>
    <w:rsid w:val="7BB05C02"/>
    <w:rsid w:val="7BB1208B"/>
    <w:rsid w:val="7BB32E2D"/>
    <w:rsid w:val="7BB53A99"/>
    <w:rsid w:val="7BB73232"/>
    <w:rsid w:val="7BB7695C"/>
    <w:rsid w:val="7BB973DF"/>
    <w:rsid w:val="7BBC681A"/>
    <w:rsid w:val="7BC069D6"/>
    <w:rsid w:val="7BC704CF"/>
    <w:rsid w:val="7BC85D64"/>
    <w:rsid w:val="7BC9200A"/>
    <w:rsid w:val="7BCA7F78"/>
    <w:rsid w:val="7BCB2B9F"/>
    <w:rsid w:val="7BCC31A2"/>
    <w:rsid w:val="7BCE417B"/>
    <w:rsid w:val="7BD06915"/>
    <w:rsid w:val="7BDA70E5"/>
    <w:rsid w:val="7BDB40A0"/>
    <w:rsid w:val="7BDC3476"/>
    <w:rsid w:val="7BDE0650"/>
    <w:rsid w:val="7BE33AE9"/>
    <w:rsid w:val="7BE450FD"/>
    <w:rsid w:val="7BE5733C"/>
    <w:rsid w:val="7BF02C26"/>
    <w:rsid w:val="7BF055DA"/>
    <w:rsid w:val="7BF86706"/>
    <w:rsid w:val="7BFA4BF8"/>
    <w:rsid w:val="7BFF3B79"/>
    <w:rsid w:val="7C050B30"/>
    <w:rsid w:val="7C076AC9"/>
    <w:rsid w:val="7C092F3E"/>
    <w:rsid w:val="7C096BB6"/>
    <w:rsid w:val="7C0A7F09"/>
    <w:rsid w:val="7C0C1705"/>
    <w:rsid w:val="7C0D7367"/>
    <w:rsid w:val="7C1010E7"/>
    <w:rsid w:val="7C22162F"/>
    <w:rsid w:val="7C2351DA"/>
    <w:rsid w:val="7C253D8F"/>
    <w:rsid w:val="7C283ED7"/>
    <w:rsid w:val="7C291A2D"/>
    <w:rsid w:val="7C2F7B33"/>
    <w:rsid w:val="7C306439"/>
    <w:rsid w:val="7C313883"/>
    <w:rsid w:val="7C3706C8"/>
    <w:rsid w:val="7C391D96"/>
    <w:rsid w:val="7C396837"/>
    <w:rsid w:val="7C397F1E"/>
    <w:rsid w:val="7C3A2947"/>
    <w:rsid w:val="7C3E5EBF"/>
    <w:rsid w:val="7C3F0D37"/>
    <w:rsid w:val="7C445973"/>
    <w:rsid w:val="7C4604A3"/>
    <w:rsid w:val="7C4741D8"/>
    <w:rsid w:val="7C4845F2"/>
    <w:rsid w:val="7C4A46BF"/>
    <w:rsid w:val="7C4D4260"/>
    <w:rsid w:val="7C515C01"/>
    <w:rsid w:val="7C557A65"/>
    <w:rsid w:val="7C570984"/>
    <w:rsid w:val="7C5813E4"/>
    <w:rsid w:val="7C5A36F3"/>
    <w:rsid w:val="7C5A62FC"/>
    <w:rsid w:val="7C5F1002"/>
    <w:rsid w:val="7C605B0A"/>
    <w:rsid w:val="7C647670"/>
    <w:rsid w:val="7C6524AF"/>
    <w:rsid w:val="7C6710D8"/>
    <w:rsid w:val="7C677CA7"/>
    <w:rsid w:val="7C6C0F73"/>
    <w:rsid w:val="7C6C5AC7"/>
    <w:rsid w:val="7C6F52A5"/>
    <w:rsid w:val="7C6F564B"/>
    <w:rsid w:val="7C7103AB"/>
    <w:rsid w:val="7C7166D8"/>
    <w:rsid w:val="7C7275FF"/>
    <w:rsid w:val="7C73692B"/>
    <w:rsid w:val="7C74418C"/>
    <w:rsid w:val="7C7474D0"/>
    <w:rsid w:val="7C77761C"/>
    <w:rsid w:val="7C780ED2"/>
    <w:rsid w:val="7C7F07A5"/>
    <w:rsid w:val="7C804AE2"/>
    <w:rsid w:val="7C8546DC"/>
    <w:rsid w:val="7C872ECC"/>
    <w:rsid w:val="7C8F39E4"/>
    <w:rsid w:val="7C9219A6"/>
    <w:rsid w:val="7C9338EC"/>
    <w:rsid w:val="7C9B5B09"/>
    <w:rsid w:val="7C9E27C4"/>
    <w:rsid w:val="7CA0629E"/>
    <w:rsid w:val="7CA4059D"/>
    <w:rsid w:val="7CAB5EF9"/>
    <w:rsid w:val="7CAF22A8"/>
    <w:rsid w:val="7CB70A38"/>
    <w:rsid w:val="7CBC0CF0"/>
    <w:rsid w:val="7CBC50FB"/>
    <w:rsid w:val="7CBC5EAD"/>
    <w:rsid w:val="7CBD18C3"/>
    <w:rsid w:val="7CBF180C"/>
    <w:rsid w:val="7CC2020B"/>
    <w:rsid w:val="7CC25803"/>
    <w:rsid w:val="7CC46051"/>
    <w:rsid w:val="7CC6544B"/>
    <w:rsid w:val="7CC67388"/>
    <w:rsid w:val="7CC87029"/>
    <w:rsid w:val="7CC90CA8"/>
    <w:rsid w:val="7CCB7ACB"/>
    <w:rsid w:val="7CD13DB8"/>
    <w:rsid w:val="7CD42998"/>
    <w:rsid w:val="7CD5225F"/>
    <w:rsid w:val="7CD607A1"/>
    <w:rsid w:val="7CDD0A2D"/>
    <w:rsid w:val="7CE11358"/>
    <w:rsid w:val="7CE447A2"/>
    <w:rsid w:val="7CE75DE1"/>
    <w:rsid w:val="7CEE1AD5"/>
    <w:rsid w:val="7CEF256B"/>
    <w:rsid w:val="7CEF3C5F"/>
    <w:rsid w:val="7CF63447"/>
    <w:rsid w:val="7CFB1C12"/>
    <w:rsid w:val="7CFC0FDE"/>
    <w:rsid w:val="7CFD26D5"/>
    <w:rsid w:val="7D0239FF"/>
    <w:rsid w:val="7D0F0D7F"/>
    <w:rsid w:val="7D117287"/>
    <w:rsid w:val="7D1927D4"/>
    <w:rsid w:val="7D196E91"/>
    <w:rsid w:val="7D1A5AAA"/>
    <w:rsid w:val="7D1E6960"/>
    <w:rsid w:val="7D21474E"/>
    <w:rsid w:val="7D2152EE"/>
    <w:rsid w:val="7D2213BC"/>
    <w:rsid w:val="7D28005E"/>
    <w:rsid w:val="7D290A60"/>
    <w:rsid w:val="7D303577"/>
    <w:rsid w:val="7D317027"/>
    <w:rsid w:val="7D340582"/>
    <w:rsid w:val="7D364B78"/>
    <w:rsid w:val="7D364B8A"/>
    <w:rsid w:val="7D3769A4"/>
    <w:rsid w:val="7D3A5866"/>
    <w:rsid w:val="7D43530B"/>
    <w:rsid w:val="7D477911"/>
    <w:rsid w:val="7D4A0328"/>
    <w:rsid w:val="7D4B41FC"/>
    <w:rsid w:val="7D4C1A69"/>
    <w:rsid w:val="7D4F5C1E"/>
    <w:rsid w:val="7D537581"/>
    <w:rsid w:val="7D5466C3"/>
    <w:rsid w:val="7D5528C2"/>
    <w:rsid w:val="7D582DA5"/>
    <w:rsid w:val="7D59331E"/>
    <w:rsid w:val="7D5A592B"/>
    <w:rsid w:val="7D5B3CBD"/>
    <w:rsid w:val="7D5E40CD"/>
    <w:rsid w:val="7D5F25D3"/>
    <w:rsid w:val="7D610B4C"/>
    <w:rsid w:val="7D621437"/>
    <w:rsid w:val="7D6246D5"/>
    <w:rsid w:val="7D6341AB"/>
    <w:rsid w:val="7D637A1B"/>
    <w:rsid w:val="7D647E28"/>
    <w:rsid w:val="7D6964BE"/>
    <w:rsid w:val="7D6D26D6"/>
    <w:rsid w:val="7D6E7AF0"/>
    <w:rsid w:val="7D7145BD"/>
    <w:rsid w:val="7D75186F"/>
    <w:rsid w:val="7D766F26"/>
    <w:rsid w:val="7D7B3063"/>
    <w:rsid w:val="7D7C6420"/>
    <w:rsid w:val="7D7D70C7"/>
    <w:rsid w:val="7D80581B"/>
    <w:rsid w:val="7D8137FB"/>
    <w:rsid w:val="7D8169DD"/>
    <w:rsid w:val="7D852E2C"/>
    <w:rsid w:val="7D8A14A5"/>
    <w:rsid w:val="7D8B25A1"/>
    <w:rsid w:val="7D8B3F65"/>
    <w:rsid w:val="7D8C628F"/>
    <w:rsid w:val="7D8D4D0F"/>
    <w:rsid w:val="7D915AA1"/>
    <w:rsid w:val="7D923011"/>
    <w:rsid w:val="7D925A82"/>
    <w:rsid w:val="7D926818"/>
    <w:rsid w:val="7D932E7E"/>
    <w:rsid w:val="7D993578"/>
    <w:rsid w:val="7D9C0780"/>
    <w:rsid w:val="7D9F7BF3"/>
    <w:rsid w:val="7DA0454B"/>
    <w:rsid w:val="7DA33AAA"/>
    <w:rsid w:val="7DA40EBA"/>
    <w:rsid w:val="7DA5427B"/>
    <w:rsid w:val="7DB41157"/>
    <w:rsid w:val="7DB91159"/>
    <w:rsid w:val="7DBD59DB"/>
    <w:rsid w:val="7DBE13D6"/>
    <w:rsid w:val="7DBE16A4"/>
    <w:rsid w:val="7DBE2D09"/>
    <w:rsid w:val="7DCA5DE3"/>
    <w:rsid w:val="7DCD56F2"/>
    <w:rsid w:val="7DCF079F"/>
    <w:rsid w:val="7DCF274C"/>
    <w:rsid w:val="7DD11BF3"/>
    <w:rsid w:val="7DD54162"/>
    <w:rsid w:val="7DD70412"/>
    <w:rsid w:val="7DD82F48"/>
    <w:rsid w:val="7DDE3E6E"/>
    <w:rsid w:val="7DDF70C7"/>
    <w:rsid w:val="7DE02C05"/>
    <w:rsid w:val="7DE70B59"/>
    <w:rsid w:val="7DEC10B0"/>
    <w:rsid w:val="7DED511D"/>
    <w:rsid w:val="7DF55120"/>
    <w:rsid w:val="7DF664DE"/>
    <w:rsid w:val="7E1065B2"/>
    <w:rsid w:val="7E1B1BBF"/>
    <w:rsid w:val="7E1D1EDB"/>
    <w:rsid w:val="7E1D67FE"/>
    <w:rsid w:val="7E245D27"/>
    <w:rsid w:val="7E274ADB"/>
    <w:rsid w:val="7E2C5011"/>
    <w:rsid w:val="7E2E114E"/>
    <w:rsid w:val="7E2F550E"/>
    <w:rsid w:val="7E3005D2"/>
    <w:rsid w:val="7E323CF6"/>
    <w:rsid w:val="7E341083"/>
    <w:rsid w:val="7E341BDE"/>
    <w:rsid w:val="7E391987"/>
    <w:rsid w:val="7E397576"/>
    <w:rsid w:val="7E426A19"/>
    <w:rsid w:val="7E44560D"/>
    <w:rsid w:val="7E447195"/>
    <w:rsid w:val="7E471D75"/>
    <w:rsid w:val="7E4A60F7"/>
    <w:rsid w:val="7E4D6F73"/>
    <w:rsid w:val="7E5167A7"/>
    <w:rsid w:val="7E516BCE"/>
    <w:rsid w:val="7E5D3C3B"/>
    <w:rsid w:val="7E610EC2"/>
    <w:rsid w:val="7E615755"/>
    <w:rsid w:val="7E6365D2"/>
    <w:rsid w:val="7E661F7F"/>
    <w:rsid w:val="7E682CC6"/>
    <w:rsid w:val="7E684F68"/>
    <w:rsid w:val="7E705B21"/>
    <w:rsid w:val="7E7114ED"/>
    <w:rsid w:val="7E713A85"/>
    <w:rsid w:val="7E743B67"/>
    <w:rsid w:val="7E756DCD"/>
    <w:rsid w:val="7E7A15E8"/>
    <w:rsid w:val="7E7A3B74"/>
    <w:rsid w:val="7E7A50DF"/>
    <w:rsid w:val="7E7C0B18"/>
    <w:rsid w:val="7E7C56C3"/>
    <w:rsid w:val="7E7D6308"/>
    <w:rsid w:val="7E7D6DE1"/>
    <w:rsid w:val="7E7F080A"/>
    <w:rsid w:val="7E81057A"/>
    <w:rsid w:val="7E8237D0"/>
    <w:rsid w:val="7E8261C1"/>
    <w:rsid w:val="7E84562A"/>
    <w:rsid w:val="7E8628D0"/>
    <w:rsid w:val="7E8E6503"/>
    <w:rsid w:val="7E8F562C"/>
    <w:rsid w:val="7E913CC9"/>
    <w:rsid w:val="7E943599"/>
    <w:rsid w:val="7E94677B"/>
    <w:rsid w:val="7E947BA9"/>
    <w:rsid w:val="7E970D53"/>
    <w:rsid w:val="7E975078"/>
    <w:rsid w:val="7E9B2E87"/>
    <w:rsid w:val="7E9E19C8"/>
    <w:rsid w:val="7E9E69F0"/>
    <w:rsid w:val="7E9F69A7"/>
    <w:rsid w:val="7EA33A72"/>
    <w:rsid w:val="7EA373D3"/>
    <w:rsid w:val="7EB50DB2"/>
    <w:rsid w:val="7EB5251E"/>
    <w:rsid w:val="7EB83F3C"/>
    <w:rsid w:val="7EBB023F"/>
    <w:rsid w:val="7EBC070B"/>
    <w:rsid w:val="7EBC6AD4"/>
    <w:rsid w:val="7EBD0520"/>
    <w:rsid w:val="7EBD643C"/>
    <w:rsid w:val="7EBD7788"/>
    <w:rsid w:val="7EC17982"/>
    <w:rsid w:val="7EC349A5"/>
    <w:rsid w:val="7ECC15B7"/>
    <w:rsid w:val="7ED0644B"/>
    <w:rsid w:val="7ED15811"/>
    <w:rsid w:val="7ED15D09"/>
    <w:rsid w:val="7ED8194F"/>
    <w:rsid w:val="7EDC1EF4"/>
    <w:rsid w:val="7EDC2A6B"/>
    <w:rsid w:val="7EE362E9"/>
    <w:rsid w:val="7EE424DC"/>
    <w:rsid w:val="7EEE169C"/>
    <w:rsid w:val="7EF162BA"/>
    <w:rsid w:val="7EF45569"/>
    <w:rsid w:val="7EF56B68"/>
    <w:rsid w:val="7EF92D29"/>
    <w:rsid w:val="7EF96862"/>
    <w:rsid w:val="7EFC24ED"/>
    <w:rsid w:val="7EFD5FCC"/>
    <w:rsid w:val="7F001CE7"/>
    <w:rsid w:val="7F027CBC"/>
    <w:rsid w:val="7F036FAB"/>
    <w:rsid w:val="7F044EA0"/>
    <w:rsid w:val="7F0F6023"/>
    <w:rsid w:val="7F100CE6"/>
    <w:rsid w:val="7F150722"/>
    <w:rsid w:val="7F1519AB"/>
    <w:rsid w:val="7F152C68"/>
    <w:rsid w:val="7F154A68"/>
    <w:rsid w:val="7F183617"/>
    <w:rsid w:val="7F1B7E15"/>
    <w:rsid w:val="7F1C44F0"/>
    <w:rsid w:val="7F1E443F"/>
    <w:rsid w:val="7F24188C"/>
    <w:rsid w:val="7F2B760B"/>
    <w:rsid w:val="7F2D429E"/>
    <w:rsid w:val="7F31076E"/>
    <w:rsid w:val="7F32495C"/>
    <w:rsid w:val="7F332B22"/>
    <w:rsid w:val="7F3564D1"/>
    <w:rsid w:val="7F364B9A"/>
    <w:rsid w:val="7F3A2807"/>
    <w:rsid w:val="7F3B7B18"/>
    <w:rsid w:val="7F3C3F05"/>
    <w:rsid w:val="7F47519F"/>
    <w:rsid w:val="7F481763"/>
    <w:rsid w:val="7F4C59F2"/>
    <w:rsid w:val="7F4F67EC"/>
    <w:rsid w:val="7F531847"/>
    <w:rsid w:val="7F542922"/>
    <w:rsid w:val="7F5745FD"/>
    <w:rsid w:val="7F5B40C3"/>
    <w:rsid w:val="7F6A62D8"/>
    <w:rsid w:val="7F6D6A41"/>
    <w:rsid w:val="7F754AD2"/>
    <w:rsid w:val="7F762101"/>
    <w:rsid w:val="7F7670CB"/>
    <w:rsid w:val="7F772E46"/>
    <w:rsid w:val="7F792C6B"/>
    <w:rsid w:val="7F84199A"/>
    <w:rsid w:val="7F8518D8"/>
    <w:rsid w:val="7F8A39E1"/>
    <w:rsid w:val="7F8A45EC"/>
    <w:rsid w:val="7F8B69E4"/>
    <w:rsid w:val="7F8E7EF7"/>
    <w:rsid w:val="7F8F36CB"/>
    <w:rsid w:val="7F90716E"/>
    <w:rsid w:val="7F927AE7"/>
    <w:rsid w:val="7F944639"/>
    <w:rsid w:val="7F962F06"/>
    <w:rsid w:val="7F9922EB"/>
    <w:rsid w:val="7F9F0618"/>
    <w:rsid w:val="7F9F4C1C"/>
    <w:rsid w:val="7FA05DAF"/>
    <w:rsid w:val="7FA06BB7"/>
    <w:rsid w:val="7FA42CE1"/>
    <w:rsid w:val="7FA65C19"/>
    <w:rsid w:val="7FA70ACD"/>
    <w:rsid w:val="7FA95C61"/>
    <w:rsid w:val="7FAC618B"/>
    <w:rsid w:val="7FAD29F8"/>
    <w:rsid w:val="7FAE7971"/>
    <w:rsid w:val="7FB27A48"/>
    <w:rsid w:val="7FB865EE"/>
    <w:rsid w:val="7FBB456D"/>
    <w:rsid w:val="7FBE0C03"/>
    <w:rsid w:val="7FBE4ABA"/>
    <w:rsid w:val="7FBF676D"/>
    <w:rsid w:val="7FBF6A3E"/>
    <w:rsid w:val="7FC11E8E"/>
    <w:rsid w:val="7FC64D3F"/>
    <w:rsid w:val="7FC754FE"/>
    <w:rsid w:val="7FC75BC1"/>
    <w:rsid w:val="7FC81E83"/>
    <w:rsid w:val="7FCA7091"/>
    <w:rsid w:val="7FCC547A"/>
    <w:rsid w:val="7FCC6F4D"/>
    <w:rsid w:val="7FD10AA8"/>
    <w:rsid w:val="7FD24597"/>
    <w:rsid w:val="7FD47296"/>
    <w:rsid w:val="7FD83715"/>
    <w:rsid w:val="7FDA05BC"/>
    <w:rsid w:val="7FDD2CC2"/>
    <w:rsid w:val="7FE209F4"/>
    <w:rsid w:val="7FE46007"/>
    <w:rsid w:val="7FE47E50"/>
    <w:rsid w:val="7FE60788"/>
    <w:rsid w:val="7FE938A8"/>
    <w:rsid w:val="7FE9776D"/>
    <w:rsid w:val="7FEB190C"/>
    <w:rsid w:val="7FEC704D"/>
    <w:rsid w:val="7FF32CC6"/>
    <w:rsid w:val="7FF3494D"/>
    <w:rsid w:val="7FF67C1F"/>
    <w:rsid w:val="7FFA7B69"/>
    <w:rsid w:val="7FFC2381"/>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semiHidden="0" w:name="heading 2" w:locked="1"/>
    <w:lsdException w:qFormat="1" w:unhideWhenUsed="0" w:uiPriority="9" w:semiHidden="0" w:name="heading 3" w:locked="1"/>
    <w:lsdException w:qFormat="1" w:unhideWhenUsed="0" w:uiPriority="1" w:semiHidden="0" w:name="heading 4" w:locked="1"/>
    <w:lsdException w:qFormat="1" w:uiPriority="0" w:name="heading 5" w:locked="1"/>
    <w:lsdException w:qFormat="1" w:uiPriority="0" w:name="heading 6" w:locked="1"/>
    <w:lsdException w:qFormat="1" w:unhideWhenUsed="0" w:uiPriority="1" w:semiHidden="0" w:name="heading 7" w:locked="1"/>
    <w:lsdException w:qFormat="1" w:uiPriority="0" w:semiHidden="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qFormat="1" w:uiPriority="99"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qFormat="1"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qFormat="1"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iPriority="99"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unhideWhenUsed/>
    <w:qFormat/>
    <w:locked/>
    <w:uiPriority w:val="0"/>
    <w:pPr>
      <w:keepNext/>
      <w:keepLines/>
      <w:widowControl w:val="0"/>
      <w:suppressLineNumbers w:val="0"/>
      <w:suppressAutoHyphens/>
      <w:topLinePunct/>
      <w:spacing w:before="0" w:beforeAutospacing="0" w:after="0" w:afterAutospacing="0" w:line="360" w:lineRule="auto"/>
      <w:ind w:left="0" w:right="0" w:firstLine="0" w:firstLineChars="0"/>
      <w:jc w:val="both"/>
      <w:outlineLvl w:val="1"/>
    </w:pPr>
    <w:rPr>
      <w:rFonts w:hint="default" w:ascii="Times New Roman" w:hAnsi="Times New Roman" w:eastAsia="黑体" w:cs="Times New Roman"/>
      <w:b/>
      <w:kern w:val="2"/>
      <w:sz w:val="28"/>
      <w:szCs w:val="28"/>
      <w:lang w:val="en-US" w:eastAsia="zh-CN" w:bidi="ar"/>
    </w:rPr>
  </w:style>
  <w:style w:type="paragraph" w:styleId="4">
    <w:name w:val="heading 3"/>
    <w:basedOn w:val="1"/>
    <w:next w:val="1"/>
    <w:qFormat/>
    <w:locked/>
    <w:uiPriority w:val="9"/>
    <w:pPr>
      <w:keepNext/>
      <w:keepLines/>
      <w:numPr>
        <w:ilvl w:val="2"/>
        <w:numId w:val="1"/>
      </w:numPr>
      <w:ind w:firstLineChars="0"/>
      <w:outlineLvl w:val="2"/>
    </w:pPr>
    <w:rPr>
      <w:b/>
      <w:kern w:val="0"/>
      <w:szCs w:val="20"/>
    </w:rPr>
  </w:style>
  <w:style w:type="paragraph" w:styleId="5">
    <w:name w:val="heading 4"/>
    <w:basedOn w:val="1"/>
    <w:next w:val="1"/>
    <w:qFormat/>
    <w:locked/>
    <w:uiPriority w:val="1"/>
    <w:pPr>
      <w:ind w:left="977"/>
      <w:outlineLvl w:val="3"/>
    </w:pPr>
    <w:rPr>
      <w:rFonts w:ascii="宋体" w:hAnsi="宋体" w:eastAsia="宋体" w:cs="宋体"/>
      <w:b/>
      <w:bCs/>
      <w:sz w:val="24"/>
      <w:szCs w:val="24"/>
      <w:lang w:val="zh-CN" w:eastAsia="zh-CN" w:bidi="zh-CN"/>
    </w:rPr>
  </w:style>
  <w:style w:type="paragraph" w:styleId="6">
    <w:name w:val="heading 7"/>
    <w:basedOn w:val="1"/>
    <w:next w:val="1"/>
    <w:qFormat/>
    <w:locked/>
    <w:uiPriority w:val="1"/>
    <w:pPr>
      <w:ind w:left="922"/>
      <w:outlineLvl w:val="6"/>
    </w:pPr>
    <w:rPr>
      <w:rFonts w:ascii="宋体" w:hAnsi="宋体" w:eastAsia="宋体" w:cs="宋体"/>
      <w:b/>
      <w:bCs/>
      <w:sz w:val="24"/>
      <w:szCs w:val="24"/>
      <w:lang w:val="fr-FR" w:eastAsia="fr-FR" w:bidi="fr-FR"/>
    </w:rPr>
  </w:style>
  <w:style w:type="paragraph" w:styleId="7">
    <w:name w:val="heading 8"/>
    <w:basedOn w:val="1"/>
    <w:next w:val="1"/>
    <w:unhideWhenUsed/>
    <w:qFormat/>
    <w:locked/>
    <w:uiPriority w:val="0"/>
    <w:pPr>
      <w:keepNext/>
      <w:keepLines/>
      <w:spacing w:before="240" w:beforeLines="0" w:beforeAutospacing="0" w:after="64" w:afterLines="0" w:afterAutospacing="0" w:line="317" w:lineRule="auto"/>
      <w:outlineLvl w:val="7"/>
    </w:pPr>
    <w:rPr>
      <w:rFonts w:ascii="Arial" w:hAnsi="Arial" w:eastAsia="黑体"/>
      <w:sz w:val="24"/>
    </w:rPr>
  </w:style>
  <w:style w:type="character" w:default="1" w:styleId="32">
    <w:name w:val="Default Paragraph Font"/>
    <w:semiHidden/>
    <w:qFormat/>
    <w:uiPriority w:val="0"/>
  </w:style>
  <w:style w:type="table" w:default="1" w:styleId="30">
    <w:name w:val="Normal Table"/>
    <w:semiHidden/>
    <w:qFormat/>
    <w:uiPriority w:val="0"/>
    <w:tblPr>
      <w:tblCellMar>
        <w:top w:w="0" w:type="dxa"/>
        <w:left w:w="108" w:type="dxa"/>
        <w:bottom w:w="0" w:type="dxa"/>
        <w:right w:w="108" w:type="dxa"/>
      </w:tblCellMar>
    </w:tblPr>
  </w:style>
  <w:style w:type="paragraph" w:styleId="8">
    <w:name w:val="List 3"/>
    <w:basedOn w:val="1"/>
    <w:next w:val="1"/>
    <w:qFormat/>
    <w:locked/>
    <w:uiPriority w:val="0"/>
    <w:pPr>
      <w:ind w:left="100" w:leftChars="400" w:hanging="200" w:hangingChars="200"/>
    </w:pPr>
    <w:rPr>
      <w:rFonts w:ascii="Times New Roman" w:hAnsi="Times New Roman" w:eastAsia="宋体" w:cs="Times New Roman"/>
    </w:rPr>
  </w:style>
  <w:style w:type="paragraph" w:styleId="9">
    <w:name w:val="Normal Indent"/>
    <w:basedOn w:val="1"/>
    <w:qFormat/>
    <w:locked/>
    <w:uiPriority w:val="0"/>
    <w:pPr>
      <w:widowControl w:val="0"/>
      <w:ind w:firstLine="420"/>
      <w:jc w:val="both"/>
    </w:pPr>
    <w:rPr>
      <w:kern w:val="0"/>
      <w:sz w:val="28"/>
      <w:szCs w:val="20"/>
    </w:rPr>
  </w:style>
  <w:style w:type="paragraph" w:styleId="10">
    <w:name w:val="toa heading"/>
    <w:basedOn w:val="1"/>
    <w:next w:val="1"/>
    <w:qFormat/>
    <w:locked/>
    <w:uiPriority w:val="0"/>
    <w:pPr>
      <w:spacing w:before="240" w:after="120" w:line="240" w:lineRule="auto"/>
      <w:ind w:firstLine="0" w:firstLineChars="0"/>
      <w:jc w:val="center"/>
    </w:pPr>
    <w:rPr>
      <w:smallCaps/>
      <w:sz w:val="22"/>
      <w:szCs w:val="22"/>
      <w:u w:val="single"/>
    </w:rPr>
  </w:style>
  <w:style w:type="paragraph" w:styleId="11">
    <w:name w:val="annotation text"/>
    <w:basedOn w:val="1"/>
    <w:link w:val="38"/>
    <w:semiHidden/>
    <w:qFormat/>
    <w:uiPriority w:val="0"/>
    <w:pPr>
      <w:jc w:val="left"/>
    </w:pPr>
    <w:rPr>
      <w:kern w:val="0"/>
      <w:sz w:val="24"/>
      <w:szCs w:val="20"/>
    </w:rPr>
  </w:style>
  <w:style w:type="paragraph" w:styleId="12">
    <w:name w:val="Body Text"/>
    <w:basedOn w:val="1"/>
    <w:next w:val="1"/>
    <w:link w:val="46"/>
    <w:qFormat/>
    <w:uiPriority w:val="0"/>
    <w:pPr>
      <w:widowControl/>
      <w:snapToGrid w:val="0"/>
      <w:spacing w:before="60" w:after="160" w:line="259" w:lineRule="auto"/>
      <w:ind w:right="113"/>
    </w:pPr>
    <w:rPr>
      <w:kern w:val="0"/>
      <w:sz w:val="18"/>
      <w:szCs w:val="20"/>
    </w:rPr>
  </w:style>
  <w:style w:type="paragraph" w:styleId="13">
    <w:name w:val="Body Text Indent"/>
    <w:basedOn w:val="1"/>
    <w:next w:val="14"/>
    <w:link w:val="39"/>
    <w:qFormat/>
    <w:uiPriority w:val="0"/>
    <w:pPr>
      <w:spacing w:after="120"/>
      <w:ind w:left="420" w:leftChars="200"/>
    </w:pPr>
    <w:rPr>
      <w:kern w:val="0"/>
      <w:sz w:val="24"/>
      <w:szCs w:val="20"/>
    </w:rPr>
  </w:style>
  <w:style w:type="paragraph" w:styleId="14">
    <w:name w:val="header"/>
    <w:basedOn w:val="1"/>
    <w:next w:val="15"/>
    <w:link w:val="40"/>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15">
    <w:name w:val="样式5"/>
    <w:basedOn w:val="16"/>
    <w:qFormat/>
    <w:uiPriority w:val="0"/>
    <w:pPr>
      <w:ind w:firstLine="480" w:firstLineChars="200"/>
      <w:jc w:val="left"/>
    </w:pPr>
    <w:rPr>
      <w:rFonts w:ascii="Times New Roman"/>
    </w:rPr>
  </w:style>
  <w:style w:type="paragraph" w:customStyle="1" w:styleId="16">
    <w:name w:val="正文1"/>
    <w:basedOn w:val="1"/>
    <w:next w:val="1"/>
    <w:qFormat/>
    <w:uiPriority w:val="0"/>
    <w:pPr>
      <w:adjustRightInd w:val="0"/>
      <w:snapToGrid w:val="0"/>
      <w:spacing w:line="500" w:lineRule="atLeast"/>
      <w:ind w:firstLine="567"/>
    </w:pPr>
    <w:rPr>
      <w:sz w:val="28"/>
    </w:rPr>
  </w:style>
  <w:style w:type="paragraph" w:styleId="17">
    <w:name w:val="Plain Text"/>
    <w:basedOn w:val="1"/>
    <w:qFormat/>
    <w:locked/>
    <w:uiPriority w:val="0"/>
    <w:pPr>
      <w:spacing w:line="480" w:lineRule="exact"/>
    </w:pPr>
    <w:rPr>
      <w:rFonts w:ascii="宋体" w:hAnsi="Courier New"/>
      <w:kern w:val="0"/>
      <w:sz w:val="28"/>
      <w:szCs w:val="21"/>
    </w:rPr>
  </w:style>
  <w:style w:type="paragraph" w:styleId="18">
    <w:name w:val="Date"/>
    <w:basedOn w:val="1"/>
    <w:next w:val="1"/>
    <w:link w:val="41"/>
    <w:qFormat/>
    <w:uiPriority w:val="0"/>
    <w:pPr>
      <w:ind w:left="100" w:leftChars="2500"/>
    </w:pPr>
    <w:rPr>
      <w:kern w:val="0"/>
      <w:sz w:val="24"/>
      <w:szCs w:val="20"/>
    </w:rPr>
  </w:style>
  <w:style w:type="paragraph" w:styleId="19">
    <w:name w:val="Body Text Indent 2"/>
    <w:basedOn w:val="1"/>
    <w:next w:val="1"/>
    <w:qFormat/>
    <w:locked/>
    <w:uiPriority w:val="0"/>
    <w:pPr>
      <w:spacing w:line="500" w:lineRule="exact"/>
      <w:ind w:firstLine="480" w:firstLineChars="0"/>
    </w:pPr>
    <w:rPr>
      <w:rFonts w:ascii="宋体"/>
      <w:sz w:val="28"/>
    </w:rPr>
  </w:style>
  <w:style w:type="paragraph" w:styleId="20">
    <w:name w:val="Balloon Text"/>
    <w:basedOn w:val="1"/>
    <w:link w:val="42"/>
    <w:semiHidden/>
    <w:qFormat/>
    <w:uiPriority w:val="0"/>
    <w:rPr>
      <w:kern w:val="0"/>
      <w:sz w:val="18"/>
      <w:szCs w:val="20"/>
    </w:rPr>
  </w:style>
  <w:style w:type="paragraph" w:styleId="21">
    <w:name w:val="footer"/>
    <w:basedOn w:val="1"/>
    <w:link w:val="43"/>
    <w:qFormat/>
    <w:uiPriority w:val="99"/>
    <w:pPr>
      <w:tabs>
        <w:tab w:val="center" w:pos="4153"/>
        <w:tab w:val="right" w:pos="8306"/>
      </w:tabs>
      <w:snapToGrid w:val="0"/>
      <w:jc w:val="left"/>
    </w:pPr>
    <w:rPr>
      <w:kern w:val="0"/>
      <w:sz w:val="18"/>
      <w:szCs w:val="20"/>
    </w:rPr>
  </w:style>
  <w:style w:type="paragraph" w:styleId="22">
    <w:name w:val="List"/>
    <w:basedOn w:val="1"/>
    <w:qFormat/>
    <w:locked/>
    <w:uiPriority w:val="0"/>
    <w:pPr>
      <w:widowControl/>
      <w:spacing w:line="440" w:lineRule="exact"/>
      <w:ind w:left="200" w:hanging="200"/>
      <w:jc w:val="left"/>
    </w:pPr>
    <w:rPr>
      <w:kern w:val="0"/>
      <w:sz w:val="24"/>
      <w:szCs w:val="20"/>
    </w:rPr>
  </w:style>
  <w:style w:type="paragraph" w:styleId="23">
    <w:name w:val="Body Text Indent 3"/>
    <w:basedOn w:val="1"/>
    <w:qFormat/>
    <w:locked/>
    <w:uiPriority w:val="0"/>
    <w:pPr>
      <w:adjustRightInd w:val="0"/>
      <w:spacing w:line="360" w:lineRule="auto"/>
      <w:ind w:firstLine="426"/>
      <w:jc w:val="left"/>
      <w:textAlignment w:val="baseline"/>
    </w:pPr>
    <w:rPr>
      <w:rFonts w:ascii="仿宋_GB2312" w:eastAsia="仿宋_GB2312"/>
      <w:kern w:val="0"/>
      <w:szCs w:val="20"/>
    </w:rPr>
  </w:style>
  <w:style w:type="paragraph" w:styleId="24">
    <w:name w:val="table of figures"/>
    <w:basedOn w:val="1"/>
    <w:next w:val="1"/>
    <w:unhideWhenUsed/>
    <w:qFormat/>
    <w:locked/>
    <w:uiPriority w:val="99"/>
    <w:pPr>
      <w:ind w:left="200" w:leftChars="200" w:hanging="200" w:hangingChars="200"/>
    </w:pPr>
  </w:style>
  <w:style w:type="paragraph" w:styleId="25">
    <w:name w:val="Normal (Web)"/>
    <w:basedOn w:val="1"/>
    <w:link w:val="44"/>
    <w:qFormat/>
    <w:uiPriority w:val="0"/>
    <w:pPr>
      <w:widowControl/>
      <w:spacing w:before="100" w:beforeAutospacing="1" w:after="100" w:afterAutospacing="1"/>
      <w:jc w:val="left"/>
    </w:pPr>
    <w:rPr>
      <w:rFonts w:ascii="宋体" w:hAnsi="宋体"/>
      <w:kern w:val="0"/>
      <w:sz w:val="24"/>
      <w:szCs w:val="20"/>
    </w:rPr>
  </w:style>
  <w:style w:type="paragraph" w:styleId="26">
    <w:name w:val="Title"/>
    <w:basedOn w:val="1"/>
    <w:next w:val="1"/>
    <w:qFormat/>
    <w:locked/>
    <w:uiPriority w:val="0"/>
    <w:pPr>
      <w:spacing w:before="240" w:after="60"/>
      <w:ind w:firstLine="200"/>
      <w:outlineLvl w:val="0"/>
    </w:pPr>
    <w:rPr>
      <w:rFonts w:ascii="Cambria" w:hAnsi="Cambria"/>
      <w:b/>
      <w:sz w:val="30"/>
      <w:szCs w:val="20"/>
    </w:rPr>
  </w:style>
  <w:style w:type="paragraph" w:styleId="27">
    <w:name w:val="annotation subject"/>
    <w:basedOn w:val="11"/>
    <w:next w:val="11"/>
    <w:link w:val="45"/>
    <w:semiHidden/>
    <w:qFormat/>
    <w:uiPriority w:val="0"/>
    <w:rPr>
      <w:b/>
      <w:sz w:val="24"/>
      <w:szCs w:val="20"/>
    </w:rPr>
  </w:style>
  <w:style w:type="paragraph" w:styleId="28">
    <w:name w:val="Body Text First Indent"/>
    <w:basedOn w:val="12"/>
    <w:next w:val="1"/>
    <w:unhideWhenUsed/>
    <w:qFormat/>
    <w:locked/>
    <w:uiPriority w:val="99"/>
    <w:pPr>
      <w:ind w:firstLine="420" w:firstLineChars="100"/>
    </w:pPr>
    <w:rPr>
      <w:szCs w:val="22"/>
    </w:rPr>
  </w:style>
  <w:style w:type="paragraph" w:styleId="29">
    <w:name w:val="Body Text First Indent 2"/>
    <w:basedOn w:val="13"/>
    <w:next w:val="1"/>
    <w:qFormat/>
    <w:locked/>
    <w:uiPriority w:val="0"/>
    <w:pPr>
      <w:spacing w:after="120" w:line="240" w:lineRule="auto"/>
      <w:ind w:left="420" w:leftChars="200" w:firstLine="420" w:firstLineChars="200"/>
    </w:pPr>
    <w:rPr>
      <w:rFonts w:ascii="Times New Roman"/>
      <w:sz w:val="21"/>
      <w:szCs w:val="24"/>
    </w:rPr>
  </w:style>
  <w:style w:type="table" w:styleId="31">
    <w:name w:val="Table Grid"/>
    <w:basedOn w:val="30"/>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page number"/>
    <w:basedOn w:val="32"/>
    <w:qFormat/>
    <w:locked/>
    <w:uiPriority w:val="0"/>
  </w:style>
  <w:style w:type="character" w:styleId="34">
    <w:name w:val="Hyperlink"/>
    <w:basedOn w:val="32"/>
    <w:qFormat/>
    <w:locked/>
    <w:uiPriority w:val="0"/>
    <w:rPr>
      <w:color w:val="0000FF"/>
      <w:u w:val="single"/>
    </w:rPr>
  </w:style>
  <w:style w:type="character" w:styleId="35">
    <w:name w:val="annotation reference"/>
    <w:semiHidden/>
    <w:qFormat/>
    <w:uiPriority w:val="0"/>
    <w:rPr>
      <w:sz w:val="21"/>
    </w:rPr>
  </w:style>
  <w:style w:type="paragraph" w:customStyle="1" w:styleId="36">
    <w:name w:val="Default1"/>
    <w:unhideWhenUsed/>
    <w:qFormat/>
    <w:uiPriority w:val="0"/>
    <w:pPr>
      <w:widowControl w:val="0"/>
      <w:autoSpaceDE w:val="0"/>
      <w:autoSpaceDN w:val="0"/>
      <w:adjustRightInd w:val="0"/>
    </w:pPr>
    <w:rPr>
      <w:rFonts w:hint="eastAsia" w:ascii="宋体" w:hAnsi="Times New Roman" w:eastAsia="宋体" w:cs="Times New Roman"/>
      <w:color w:val="000000"/>
      <w:sz w:val="24"/>
      <w:szCs w:val="22"/>
      <w:lang w:val="en-US" w:eastAsia="zh-CN" w:bidi="ar-SA"/>
    </w:rPr>
  </w:style>
  <w:style w:type="character" w:customStyle="1" w:styleId="37">
    <w:name w:val="正文文本 Char"/>
    <w:link w:val="12"/>
    <w:qFormat/>
    <w:locked/>
    <w:uiPriority w:val="0"/>
    <w:rPr>
      <w:sz w:val="18"/>
    </w:rPr>
  </w:style>
  <w:style w:type="character" w:customStyle="1" w:styleId="38">
    <w:name w:val="批注文字 Char"/>
    <w:link w:val="11"/>
    <w:qFormat/>
    <w:locked/>
    <w:uiPriority w:val="0"/>
    <w:rPr>
      <w:rFonts w:ascii="Times New Roman" w:hAnsi="Times New Roman" w:eastAsia="宋体"/>
      <w:sz w:val="24"/>
    </w:rPr>
  </w:style>
  <w:style w:type="character" w:customStyle="1" w:styleId="39">
    <w:name w:val="正文文本缩进 Char"/>
    <w:link w:val="13"/>
    <w:semiHidden/>
    <w:qFormat/>
    <w:locked/>
    <w:uiPriority w:val="0"/>
    <w:rPr>
      <w:rFonts w:ascii="Times New Roman" w:hAnsi="Times New Roman" w:eastAsia="宋体"/>
      <w:sz w:val="24"/>
    </w:rPr>
  </w:style>
  <w:style w:type="character" w:customStyle="1" w:styleId="40">
    <w:name w:val="页眉 Char"/>
    <w:link w:val="14"/>
    <w:qFormat/>
    <w:locked/>
    <w:uiPriority w:val="0"/>
    <w:rPr>
      <w:sz w:val="18"/>
    </w:rPr>
  </w:style>
  <w:style w:type="character" w:customStyle="1" w:styleId="41">
    <w:name w:val="日期 Char"/>
    <w:link w:val="18"/>
    <w:qFormat/>
    <w:locked/>
    <w:uiPriority w:val="0"/>
    <w:rPr>
      <w:rFonts w:ascii="Times New Roman" w:hAnsi="Times New Roman" w:eastAsia="宋体"/>
      <w:sz w:val="24"/>
    </w:rPr>
  </w:style>
  <w:style w:type="character" w:customStyle="1" w:styleId="42">
    <w:name w:val="批注框文本 Char"/>
    <w:link w:val="20"/>
    <w:semiHidden/>
    <w:qFormat/>
    <w:locked/>
    <w:uiPriority w:val="0"/>
    <w:rPr>
      <w:rFonts w:ascii="Times New Roman" w:hAnsi="Times New Roman" w:eastAsia="宋体"/>
      <w:sz w:val="18"/>
    </w:rPr>
  </w:style>
  <w:style w:type="character" w:customStyle="1" w:styleId="43">
    <w:name w:val="页脚 Char"/>
    <w:link w:val="21"/>
    <w:qFormat/>
    <w:locked/>
    <w:uiPriority w:val="99"/>
    <w:rPr>
      <w:sz w:val="18"/>
    </w:rPr>
  </w:style>
  <w:style w:type="character" w:customStyle="1" w:styleId="44">
    <w:name w:val="普通(网站) Char"/>
    <w:link w:val="25"/>
    <w:qFormat/>
    <w:locked/>
    <w:uiPriority w:val="0"/>
    <w:rPr>
      <w:rFonts w:ascii="宋体" w:hAnsi="宋体" w:eastAsia="宋体"/>
      <w:sz w:val="24"/>
    </w:rPr>
  </w:style>
  <w:style w:type="character" w:customStyle="1" w:styleId="45">
    <w:name w:val="批注主题 Char"/>
    <w:link w:val="27"/>
    <w:semiHidden/>
    <w:qFormat/>
    <w:locked/>
    <w:uiPriority w:val="0"/>
    <w:rPr>
      <w:rFonts w:ascii="Times New Roman" w:hAnsi="Times New Roman" w:eastAsia="宋体"/>
      <w:b/>
      <w:kern w:val="2"/>
      <w:sz w:val="24"/>
    </w:rPr>
  </w:style>
  <w:style w:type="character" w:customStyle="1" w:styleId="46">
    <w:name w:val="正文文本 字符"/>
    <w:link w:val="12"/>
    <w:qFormat/>
    <w:uiPriority w:val="0"/>
    <w:rPr>
      <w:rFonts w:ascii="宋体" w:hAnsi="宋体" w:cs="宋体"/>
      <w:sz w:val="24"/>
      <w:szCs w:val="24"/>
    </w:rPr>
  </w:style>
  <w:style w:type="paragraph" w:customStyle="1" w:styleId="47">
    <w:name w:val="样式3"/>
    <w:basedOn w:val="22"/>
    <w:next w:val="12"/>
    <w:qFormat/>
    <w:uiPriority w:val="0"/>
    <w:pPr>
      <w:adjustRightInd w:val="0"/>
      <w:snapToGrid w:val="0"/>
      <w:spacing w:line="360" w:lineRule="auto"/>
      <w:ind w:firstLine="480" w:firstLineChars="200"/>
    </w:pPr>
    <w:rPr>
      <w:rFonts w:eastAsia="Times New Roman"/>
      <w:snapToGrid w:val="0"/>
      <w:color w:val="0000FF"/>
      <w:kern w:val="0"/>
      <w:sz w:val="24"/>
    </w:rPr>
  </w:style>
  <w:style w:type="paragraph" w:customStyle="1" w:styleId="48">
    <w:name w:val="Default"/>
    <w:basedOn w:val="49"/>
    <w:next w:val="12"/>
    <w:qFormat/>
    <w:uiPriority w:val="99"/>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49">
    <w:name w:val="标题 段落4级"/>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50">
    <w:name w:val="纯文本1"/>
    <w:basedOn w:val="1"/>
    <w:qFormat/>
    <w:uiPriority w:val="99"/>
    <w:pPr>
      <w:autoSpaceDE w:val="0"/>
      <w:autoSpaceDN w:val="0"/>
      <w:adjustRightInd w:val="0"/>
      <w:textAlignment w:val="baseline"/>
    </w:pPr>
    <w:rPr>
      <w:rFonts w:ascii="宋体"/>
      <w:szCs w:val="20"/>
    </w:rPr>
  </w:style>
  <w:style w:type="character" w:customStyle="1" w:styleId="51">
    <w:name w:val="日期 字符"/>
    <w:semiHidden/>
    <w:qFormat/>
    <w:uiPriority w:val="0"/>
    <w:rPr>
      <w:rFonts w:ascii="Times New Roman" w:hAnsi="Times New Roman" w:eastAsia="宋体"/>
      <w:sz w:val="24"/>
    </w:rPr>
  </w:style>
  <w:style w:type="character" w:customStyle="1" w:styleId="52">
    <w:name w:val="页脚 字符"/>
    <w:basedOn w:val="32"/>
    <w:qFormat/>
    <w:uiPriority w:val="99"/>
  </w:style>
  <w:style w:type="character" w:customStyle="1" w:styleId="53">
    <w:name w:val="表格 Char"/>
    <w:link w:val="54"/>
    <w:qFormat/>
    <w:locked/>
    <w:uiPriority w:val="0"/>
    <w:rPr>
      <w:rFonts w:ascii="宋体"/>
      <w:sz w:val="21"/>
    </w:rPr>
  </w:style>
  <w:style w:type="paragraph" w:customStyle="1" w:styleId="54">
    <w:name w:val="表格"/>
    <w:basedOn w:val="55"/>
    <w:next w:val="1"/>
    <w:link w:val="53"/>
    <w:qFormat/>
    <w:uiPriority w:val="0"/>
    <w:pPr>
      <w:adjustRightInd w:val="0"/>
      <w:snapToGrid w:val="0"/>
      <w:spacing w:beforeLines="10" w:afterLines="10" w:line="259" w:lineRule="auto"/>
      <w:jc w:val="center"/>
    </w:pPr>
    <w:rPr>
      <w:rFonts w:ascii="宋体"/>
      <w:kern w:val="0"/>
      <w:szCs w:val="20"/>
    </w:rPr>
  </w:style>
  <w:style w:type="paragraph" w:customStyle="1" w:styleId="55">
    <w:name w:val="表格文字"/>
    <w:basedOn w:val="17"/>
    <w:next w:val="1"/>
    <w:qFormat/>
    <w:uiPriority w:val="0"/>
    <w:pPr>
      <w:widowControl w:val="0"/>
      <w:adjustRightInd w:val="0"/>
      <w:snapToGrid w:val="0"/>
      <w:spacing w:line="360" w:lineRule="exact"/>
      <w:ind w:left="-106" w:leftChars="-44"/>
      <w:jc w:val="center"/>
    </w:pPr>
    <w:rPr>
      <w:sz w:val="20"/>
      <w:szCs w:val="20"/>
    </w:rPr>
  </w:style>
  <w:style w:type="character" w:customStyle="1" w:styleId="56">
    <w:name w:val="批注文字 字符1"/>
    <w:semiHidden/>
    <w:qFormat/>
    <w:uiPriority w:val="0"/>
    <w:rPr>
      <w:rFonts w:ascii="Times New Roman" w:hAnsi="Times New Roman" w:eastAsia="宋体"/>
      <w:sz w:val="24"/>
    </w:rPr>
  </w:style>
  <w:style w:type="character" w:customStyle="1" w:styleId="57">
    <w:name w:val="正文文本 字符1"/>
    <w:semiHidden/>
    <w:qFormat/>
    <w:uiPriority w:val="0"/>
    <w:rPr>
      <w:rFonts w:ascii="Times New Roman" w:hAnsi="Times New Roman" w:eastAsia="宋体"/>
      <w:sz w:val="24"/>
    </w:rPr>
  </w:style>
  <w:style w:type="paragraph" w:styleId="58">
    <w:name w:val="List Paragraph"/>
    <w:basedOn w:val="1"/>
    <w:qFormat/>
    <w:uiPriority w:val="1"/>
    <w:pPr>
      <w:ind w:left="896" w:hanging="601"/>
    </w:pPr>
    <w:rPr>
      <w:rFonts w:ascii="宋体" w:hAnsi="宋体" w:eastAsia="宋体" w:cs="宋体"/>
      <w:lang w:val="zh-CN" w:eastAsia="zh-CN" w:bidi="zh-CN"/>
    </w:rPr>
  </w:style>
  <w:style w:type="paragraph" w:customStyle="1" w:styleId="59">
    <w:name w:val="Table Paragraph"/>
    <w:basedOn w:val="1"/>
    <w:qFormat/>
    <w:uiPriority w:val="1"/>
    <w:pPr>
      <w:jc w:val="center"/>
    </w:pPr>
    <w:rPr>
      <w:rFonts w:ascii="宋体" w:hAnsi="宋体" w:eastAsia="宋体" w:cs="宋体"/>
      <w:lang w:val="zh-CN" w:eastAsia="zh-CN" w:bidi="zh-CN"/>
    </w:rPr>
  </w:style>
  <w:style w:type="paragraph" w:customStyle="1" w:styleId="60">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1">
    <w:name w:val="Normal_38"/>
    <w:qFormat/>
    <w:uiPriority w:val="0"/>
    <w:pPr>
      <w:spacing w:before="120" w:after="240"/>
      <w:jc w:val="both"/>
    </w:pPr>
    <w:rPr>
      <w:rFonts w:ascii="Calibri" w:hAnsi="Calibri" w:eastAsia="Calibri" w:cs="Times New Roman"/>
      <w:sz w:val="22"/>
      <w:szCs w:val="22"/>
      <w:lang w:val="ru-RU" w:eastAsia="en-US" w:bidi="ar-SA"/>
    </w:rPr>
  </w:style>
  <w:style w:type="paragraph" w:customStyle="1" w:styleId="62">
    <w:name w:val="表头"/>
    <w:basedOn w:val="63"/>
    <w:qFormat/>
    <w:uiPriority w:val="0"/>
    <w:pPr>
      <w:spacing w:line="240" w:lineRule="auto"/>
      <w:ind w:firstLine="0" w:firstLineChars="0"/>
    </w:pPr>
    <w:rPr>
      <w:rFonts w:eastAsia="宋体"/>
      <w:b/>
      <w:sz w:val="21"/>
      <w:szCs w:val="24"/>
    </w:rPr>
  </w:style>
  <w:style w:type="paragraph" w:customStyle="1" w:styleId="63">
    <w:name w:val="表文"/>
    <w:basedOn w:val="12"/>
    <w:next w:val="9"/>
    <w:qFormat/>
    <w:uiPriority w:val="0"/>
    <w:pPr>
      <w:widowControl w:val="0"/>
      <w:spacing w:after="0" w:afterLines="0" w:line="360" w:lineRule="auto"/>
      <w:jc w:val="center"/>
    </w:pPr>
    <w:rPr>
      <w:rFonts w:eastAsia="FangSong_GB2312"/>
      <w:sz w:val="24"/>
    </w:rPr>
  </w:style>
  <w:style w:type="paragraph" w:customStyle="1" w:styleId="64">
    <w:name w:val="正文何昌泽"/>
    <w:basedOn w:val="1"/>
    <w:qFormat/>
    <w:uiPriority w:val="0"/>
    <w:pPr>
      <w:adjustRightInd w:val="0"/>
      <w:snapToGrid w:val="0"/>
      <w:spacing w:line="360" w:lineRule="auto"/>
      <w:ind w:firstLine="200" w:firstLineChars="200"/>
    </w:pPr>
    <w:rPr>
      <w:sz w:val="24"/>
    </w:rPr>
  </w:style>
  <w:style w:type="paragraph" w:customStyle="1" w:styleId="65">
    <w:name w:val="常用样式（方正仿宋简）"/>
    <w:basedOn w:val="1"/>
    <w:next w:val="1"/>
    <w:qFormat/>
    <w:uiPriority w:val="99"/>
    <w:pPr>
      <w:spacing w:line="560" w:lineRule="exact"/>
      <w:ind w:firstLine="640" w:firstLineChars="200"/>
    </w:pPr>
    <w:rPr>
      <w:rFonts w:eastAsia="方正仿宋简体"/>
      <w:sz w:val="32"/>
      <w:szCs w:val="32"/>
    </w:rPr>
  </w:style>
  <w:style w:type="paragraph" w:customStyle="1" w:styleId="66">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67">
    <w:name w:val="表头-2章"/>
    <w:basedOn w:val="62"/>
    <w:qFormat/>
    <w:uiPriority w:val="0"/>
    <w:pPr>
      <w:numPr>
        <w:ilvl w:val="0"/>
        <w:numId w:val="2"/>
      </w:numPr>
      <w:ind w:left="0" w:firstLine="0"/>
    </w:pPr>
  </w:style>
  <w:style w:type="paragraph" w:customStyle="1" w:styleId="68">
    <w:name w:val="Normal_39"/>
    <w:qFormat/>
    <w:uiPriority w:val="0"/>
    <w:pPr>
      <w:spacing w:before="120" w:after="240"/>
      <w:jc w:val="both"/>
    </w:pPr>
    <w:rPr>
      <w:rFonts w:ascii="Calibri" w:hAnsi="Calibri" w:eastAsia="Calibri" w:cs="Times New Roman"/>
      <w:sz w:val="22"/>
      <w:szCs w:val="22"/>
      <w:lang w:val="ru-RU" w:eastAsia="en-US" w:bidi="ar-SA"/>
    </w:rPr>
  </w:style>
  <w:style w:type="paragraph" w:customStyle="1" w:styleId="69">
    <w:name w:val="正文lcc"/>
    <w:basedOn w:val="1"/>
    <w:qFormat/>
    <w:uiPriority w:val="0"/>
    <w:pPr>
      <w:widowControl/>
      <w:adjustRightInd w:val="0"/>
      <w:snapToGrid w:val="0"/>
      <w:spacing w:line="360" w:lineRule="auto"/>
      <w:ind w:firstLine="200" w:firstLineChars="200"/>
      <w:jc w:val="left"/>
    </w:pPr>
    <w:rPr>
      <w:rFonts w:eastAsia="Times New Roman"/>
      <w:sz w:val="24"/>
    </w:rPr>
  </w:style>
  <w:style w:type="character" w:customStyle="1" w:styleId="70">
    <w:name w:val="fontstyle01"/>
    <w:qFormat/>
    <w:uiPriority w:val="0"/>
    <w:rPr>
      <w:rFonts w:ascii="新宋体" w:hAnsi="新宋体" w:eastAsia="新宋体" w:cs="新宋体"/>
      <w:color w:val="000000"/>
      <w:sz w:val="20"/>
      <w:szCs w:val="20"/>
    </w:rPr>
  </w:style>
  <w:style w:type="paragraph" w:customStyle="1" w:styleId="71">
    <w:name w:val="正文-欣欣"/>
    <w:basedOn w:val="1"/>
    <w:next w:val="1"/>
    <w:qFormat/>
    <w:uiPriority w:val="0"/>
    <w:pPr>
      <w:spacing w:line="360" w:lineRule="auto"/>
      <w:ind w:firstLine="480" w:firstLineChars="200"/>
    </w:pPr>
    <w:rPr>
      <w:bCs/>
      <w:sz w:val="24"/>
    </w:rPr>
  </w:style>
  <w:style w:type="paragraph" w:customStyle="1" w:styleId="72">
    <w:name w:val="章标题"/>
    <w:basedOn w:val="1"/>
    <w:next w:val="73"/>
    <w:qFormat/>
    <w:uiPriority w:val="0"/>
    <w:pPr>
      <w:widowControl/>
      <w:spacing w:before="158" w:beforeLines="0" w:after="153" w:afterLines="0" w:line="323" w:lineRule="atLeast"/>
      <w:ind w:right="-120"/>
      <w:jc w:val="center"/>
      <w:textAlignment w:val="baseline"/>
    </w:pPr>
    <w:rPr>
      <w:color w:val="FF0000"/>
      <w:kern w:val="0"/>
      <w:sz w:val="18"/>
      <w:szCs w:val="18"/>
    </w:rPr>
  </w:style>
  <w:style w:type="paragraph" w:customStyle="1" w:styleId="73">
    <w:name w:val="节标题"/>
    <w:basedOn w:val="1"/>
    <w:next w:val="1"/>
    <w:qFormat/>
    <w:uiPriority w:val="0"/>
    <w:pPr>
      <w:widowControl/>
      <w:spacing w:line="289" w:lineRule="atLeast"/>
      <w:jc w:val="center"/>
      <w:textAlignment w:val="baseline"/>
    </w:pPr>
    <w:rPr>
      <w:color w:val="000000"/>
      <w:kern w:val="0"/>
      <w:sz w:val="28"/>
      <w:szCs w:val="20"/>
      <w:u w:val="none" w:color="000000"/>
    </w:rPr>
  </w:style>
  <w:style w:type="table" w:customStyle="1" w:styleId="74">
    <w:name w:val="Table Normal"/>
    <w:basedOn w:val="30"/>
    <w:unhideWhenUsed/>
    <w:qFormat/>
    <w:uiPriority w:val="2"/>
    <w:pPr>
      <w:widowControl w:val="0"/>
    </w:pPr>
    <w:rPr>
      <w:rFonts w:ascii="Calibri" w:hAnsi="Calibri" w:eastAsia="宋体" w:cs="Times New Roman"/>
      <w:sz w:val="22"/>
      <w:szCs w:val="22"/>
      <w:lang w:eastAsia="en-US"/>
    </w:rPr>
    <w:tblPr>
      <w:tblCellMar>
        <w:top w:w="0" w:type="dxa"/>
        <w:left w:w="0" w:type="dxa"/>
        <w:bottom w:w="0" w:type="dxa"/>
        <w:right w:w="0" w:type="dxa"/>
      </w:tblCellMar>
    </w:tblPr>
  </w:style>
  <w:style w:type="character" w:customStyle="1" w:styleId="75">
    <w:name w:val="fontstyle11"/>
    <w:qFormat/>
    <w:uiPriority w:val="0"/>
    <w:rPr>
      <w:rFonts w:hint="eastAsia" w:ascii="宋体" w:hAnsi="宋体" w:eastAsia="宋体" w:cs="宋体"/>
      <w:color w:val="000000"/>
      <w:sz w:val="24"/>
      <w:szCs w:val="24"/>
    </w:rPr>
  </w:style>
  <w:style w:type="paragraph" w:customStyle="1" w:styleId="76">
    <w:name w:val="表中表格"/>
    <w:basedOn w:val="1"/>
    <w:qFormat/>
    <w:uiPriority w:val="0"/>
    <w:pPr>
      <w:widowControl/>
      <w:adjustRightInd w:val="0"/>
      <w:snapToGrid w:val="0"/>
      <w:spacing w:line="240" w:lineRule="auto"/>
      <w:ind w:firstLine="0" w:firstLineChars="0"/>
      <w:jc w:val="center"/>
    </w:pPr>
    <w:rPr>
      <w:kern w:val="0"/>
      <w:sz w:val="21"/>
      <w:szCs w:val="21"/>
    </w:rPr>
  </w:style>
  <w:style w:type="paragraph" w:customStyle="1" w:styleId="77">
    <w:name w:val="样式2"/>
    <w:basedOn w:val="1"/>
    <w:qFormat/>
    <w:uiPriority w:val="0"/>
    <w:pPr>
      <w:adjustRightInd w:val="0"/>
      <w:ind w:left="170"/>
      <w:jc w:val="left"/>
      <w:textAlignment w:val="baseline"/>
    </w:pPr>
    <w:rPr>
      <w:b/>
      <w:kern w:val="0"/>
      <w:sz w:val="24"/>
      <w:szCs w:val="20"/>
    </w:rPr>
  </w:style>
  <w:style w:type="paragraph" w:customStyle="1" w:styleId="78">
    <w:name w:val="报告"/>
    <w:basedOn w:val="1"/>
    <w:qFormat/>
    <w:uiPriority w:val="0"/>
    <w:pPr>
      <w:adjustRightInd w:val="0"/>
      <w:spacing w:line="360" w:lineRule="auto"/>
      <w:ind w:firstLine="505"/>
      <w:textAlignment w:val="center"/>
    </w:pPr>
    <w:rPr>
      <w:rFonts w:ascii="TimesNewRoman" w:hAnsi="TimesNewRoman"/>
      <w:bCs/>
      <w:kern w:val="0"/>
      <w:sz w:val="24"/>
    </w:rPr>
  </w:style>
  <w:style w:type="paragraph" w:customStyle="1" w:styleId="79">
    <w:name w:val="正文样式"/>
    <w:basedOn w:val="1"/>
    <w:qFormat/>
    <w:uiPriority w:val="0"/>
    <w:pPr>
      <w:ind w:firstLine="560"/>
    </w:pPr>
    <w:rPr>
      <w:rFonts w:cs="宋体"/>
      <w:szCs w:val="20"/>
    </w:rPr>
  </w:style>
  <w:style w:type="paragraph" w:customStyle="1" w:styleId="80">
    <w:name w:val="表头样式1"/>
    <w:basedOn w:val="1"/>
    <w:qFormat/>
    <w:uiPriority w:val="0"/>
    <w:pPr>
      <w:spacing w:before="240" w:after="120" w:line="380" w:lineRule="atLeast"/>
      <w:jc w:val="center"/>
    </w:pPr>
    <w:rPr>
      <w:rFonts w:eastAsia="黑体"/>
      <w:b/>
      <w:sz w:val="24"/>
      <w:szCs w:val="20"/>
    </w:rPr>
  </w:style>
  <w:style w:type="paragraph" w:customStyle="1" w:styleId="81">
    <w:name w:val="1、XX"/>
    <w:basedOn w:val="1"/>
    <w:qFormat/>
    <w:uiPriority w:val="0"/>
    <w:pPr>
      <w:autoSpaceDE w:val="0"/>
      <w:autoSpaceDN w:val="0"/>
      <w:adjustRightInd w:val="0"/>
      <w:snapToGrid w:val="0"/>
      <w:spacing w:line="360" w:lineRule="auto"/>
      <w:ind w:firstLine="200" w:firstLineChars="200"/>
    </w:pPr>
    <w:rPr>
      <w:b/>
      <w:color w:val="00B050"/>
      <w:sz w:val="24"/>
    </w:rPr>
  </w:style>
  <w:style w:type="paragraph" w:customStyle="1" w:styleId="82">
    <w:name w:val="表格中文字"/>
    <w:basedOn w:val="1"/>
    <w:qFormat/>
    <w:uiPriority w:val="0"/>
    <w:pPr>
      <w:adjustRightInd w:val="0"/>
      <w:snapToGrid w:val="0"/>
      <w:jc w:val="center"/>
    </w:pPr>
    <w:rPr>
      <w:kern w:val="18"/>
      <w:szCs w:val="21"/>
    </w:rPr>
  </w:style>
  <w:style w:type="paragraph" w:customStyle="1" w:styleId="83">
    <w:name w:val="表例"/>
    <w:basedOn w:val="1"/>
    <w:qFormat/>
    <w:uiPriority w:val="0"/>
    <w:pPr>
      <w:spacing w:line="240" w:lineRule="auto"/>
      <w:ind w:firstLine="0" w:firstLineChars="0"/>
      <w:jc w:val="center"/>
    </w:pPr>
    <w:rPr>
      <w:b/>
    </w:rPr>
  </w:style>
  <w:style w:type="paragraph" w:customStyle="1" w:styleId="84">
    <w:name w:val="表格内容"/>
    <w:basedOn w:val="1"/>
    <w:next w:val="1"/>
    <w:qFormat/>
    <w:uiPriority w:val="0"/>
    <w:pPr>
      <w:adjustRightInd w:val="0"/>
      <w:snapToGrid w:val="0"/>
      <w:spacing w:line="280" w:lineRule="exact"/>
      <w:ind w:firstLine="0" w:firstLineChars="0"/>
      <w:jc w:val="center"/>
    </w:pPr>
    <w:rPr>
      <w:bCs/>
      <w:sz w:val="20"/>
    </w:rPr>
  </w:style>
  <w:style w:type="paragraph" w:customStyle="1" w:styleId="85">
    <w:name w:val="表格文字2"/>
    <w:basedOn w:val="55"/>
    <w:qFormat/>
    <w:uiPriority w:val="0"/>
    <w:pPr>
      <w:autoSpaceDE/>
      <w:autoSpaceDN/>
      <w:spacing w:before="60"/>
      <w:jc w:val="center"/>
    </w:pPr>
    <w:rPr>
      <w:color w:val="auto"/>
    </w:rPr>
  </w:style>
  <w:style w:type="paragraph" w:customStyle="1" w:styleId="86">
    <w:name w:val="表内容"/>
    <w:basedOn w:val="1"/>
    <w:qFormat/>
    <w:uiPriority w:val="0"/>
    <w:pPr>
      <w:spacing w:line="0" w:lineRule="atLeast"/>
    </w:pPr>
    <w:rPr>
      <w:rFonts w:ascii="Times New Roman" w:hAnsi="Times New Roman"/>
    </w:rPr>
  </w:style>
  <w:style w:type="paragraph" w:customStyle="1" w:styleId="87">
    <w:name w:val="表格首行"/>
    <w:basedOn w:val="1"/>
    <w:next w:val="2"/>
    <w:qFormat/>
    <w:uiPriority w:val="0"/>
    <w:pPr>
      <w:adjustRightInd w:val="0"/>
      <w:jc w:val="center"/>
    </w:pPr>
    <w:rPr>
      <w:rFonts w:cs="宋体"/>
      <w:b/>
    </w:rPr>
  </w:style>
  <w:style w:type="paragraph" w:customStyle="1" w:styleId="88">
    <w:name w:val=" Char1"/>
    <w:basedOn w:val="1"/>
    <w:qFormat/>
    <w:uiPriority w:val="0"/>
    <w:pPr>
      <w:spacing w:line="360" w:lineRule="auto"/>
      <w:ind w:firstLine="200" w:firstLineChars="200"/>
    </w:pPr>
    <w:rPr>
      <w:rFonts w:ascii="宋体" w:hAnsi="宋体" w:cs="宋体"/>
      <w:sz w:val="24"/>
    </w:rPr>
  </w:style>
  <w:style w:type="paragraph" w:customStyle="1" w:styleId="89">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rPr>
  </w:style>
  <w:style w:type="character" w:customStyle="1" w:styleId="90">
    <w:name w:val="报告正文 Char"/>
    <w:link w:val="91"/>
    <w:qFormat/>
    <w:uiPriority w:val="0"/>
    <w:rPr>
      <w:color w:val="000000"/>
      <w:sz w:val="24"/>
    </w:rPr>
  </w:style>
  <w:style w:type="paragraph" w:customStyle="1" w:styleId="91">
    <w:name w:val="报告正文"/>
    <w:basedOn w:val="1"/>
    <w:link w:val="90"/>
    <w:qFormat/>
    <w:uiPriority w:val="0"/>
    <w:pPr>
      <w:spacing w:line="480" w:lineRule="exact"/>
      <w:ind w:firstLine="200" w:firstLineChars="200"/>
    </w:pPr>
    <w:rPr>
      <w:color w:val="000000"/>
      <w:sz w:val="24"/>
    </w:rPr>
  </w:style>
  <w:style w:type="paragraph" w:customStyle="1" w:styleId="92">
    <w:name w:val="！正文 段前: 7.8 磅 行距: 1.5 倍行距"/>
    <w:basedOn w:val="1"/>
    <w:qFormat/>
    <w:uiPriority w:val="0"/>
    <w:pPr>
      <w:spacing w:line="360" w:lineRule="auto"/>
      <w:ind w:firstLine="560" w:firstLineChars="200"/>
    </w:pPr>
    <w:rPr>
      <w:rFonts w:cs="宋体"/>
      <w:kern w:val="0"/>
      <w:sz w:val="20"/>
      <w:szCs w:val="20"/>
    </w:rPr>
  </w:style>
  <w:style w:type="paragraph" w:customStyle="1" w:styleId="93">
    <w:name w:val="报告表正文"/>
    <w:basedOn w:val="1"/>
    <w:qFormat/>
    <w:uiPriority w:val="0"/>
    <w:pPr>
      <w:widowControl/>
      <w:adjustRightInd w:val="0"/>
      <w:spacing w:line="312" w:lineRule="auto"/>
      <w:ind w:left="113" w:right="113" w:firstLine="482"/>
      <w:jc w:val="left"/>
      <w:textAlignment w:val="baseline"/>
    </w:pPr>
    <w:rPr>
      <w:kern w:val="0"/>
      <w:sz w:val="24"/>
      <w:szCs w:val="20"/>
    </w:rPr>
  </w:style>
  <w:style w:type="paragraph" w:customStyle="1" w:styleId="94">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rPr>
  </w:style>
  <w:style w:type="table" w:customStyle="1" w:styleId="95">
    <w:name w:val="Table Grid_0"/>
    <w:basedOn w:val="30"/>
    <w:qFormat/>
    <w:uiPriority w:val="0"/>
    <w:rPr>
      <w:rFonts w:ascii="Times New Roman" w:hAnsi="Times New Roman" w:eastAsia="仿宋"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6">
    <w:name w:val="标题4"/>
    <w:basedOn w:val="1"/>
    <w:qFormat/>
    <w:uiPriority w:val="0"/>
    <w:pPr>
      <w:ind w:firstLine="562"/>
    </w:pPr>
    <w:rPr>
      <w:rFonts w:ascii="Calibri" w:hAnsi="Calibri" w:eastAsia="宋体"/>
      <w:bCs/>
      <w:kern w:val="2"/>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2.wmf"/><Relationship Id="rId22" Type="http://schemas.openxmlformats.org/officeDocument/2006/relationships/oleObject" Target="embeddings/oleObject3.bin"/><Relationship Id="rId21" Type="http://schemas.openxmlformats.org/officeDocument/2006/relationships/image" Target="media/image11.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wmf"/><Relationship Id="rId17" Type="http://schemas.openxmlformats.org/officeDocument/2006/relationships/oleObject" Target="embeddings/oleObject1.bin"/><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55</Pages>
  <Words>7631</Words>
  <Characters>7996</Characters>
  <Lines>13</Lines>
  <Paragraphs>3</Paragraphs>
  <TotalTime>22</TotalTime>
  <ScaleCrop>false</ScaleCrop>
  <LinksUpToDate>false</LinksUpToDate>
  <CharactersWithSpaces>8076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大海</cp:lastModifiedBy>
  <cp:lastPrinted>2020-12-29T02:43:00Z</cp:lastPrinted>
  <dcterms:modified xsi:type="dcterms:W3CDTF">2025-08-08T01:57:10Z</dcterms:modified>
  <dc:title>附件2</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857C5669208444B7B6D4D000C75C3226_13</vt:lpwstr>
  </property>
  <property fmtid="{D5CDD505-2E9C-101B-9397-08002B2CF9AE}" pid="4" name="KSOTemplateDocerSaveRecord">
    <vt:lpwstr>eyJoZGlkIjoiYjIyOWY3M2UwYzgwOGYxYjljNWJhYTU0NDAwNDBmOTYiLCJ1c2VySWQiOiIyNjcxNjQzNTQifQ==</vt:lpwstr>
  </property>
</Properties>
</file>